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67071C9">
      <w:pPr>
        <w:rPr>
          <w:rFonts w:hint="eastAsia"/>
          <w:lang w:eastAsia="zh-CN"/>
        </w:rPr>
      </w:pPr>
      <w:r>
        <w:rPr>
          <w:rFonts w:hint="eastAsia"/>
          <w:lang w:eastAsia="zh-CN"/>
        </w:rPr>
        <w:drawing>
          <wp:inline distT="0" distB="0" distL="114300" distR="114300">
            <wp:extent cx="6035040" cy="8421370"/>
            <wp:effectExtent l="0" t="0" r="3810" b="17780"/>
            <wp:docPr id="37" name="图片 37" descr="5c2fc42083e366d71de80cf184bb4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5c2fc42083e366d71de80cf184bb4d3"/>
                    <pic:cNvPicPr>
                      <a:picLocks noChangeAspect="1"/>
                    </pic:cNvPicPr>
                  </pic:nvPicPr>
                  <pic:blipFill>
                    <a:blip r:embed="rId11"/>
                    <a:stretch>
                      <a:fillRect/>
                    </a:stretch>
                  </pic:blipFill>
                  <pic:spPr>
                    <a:xfrm>
                      <a:off x="0" y="0"/>
                      <a:ext cx="6035040" cy="8421370"/>
                    </a:xfrm>
                    <a:prstGeom prst="rect">
                      <a:avLst/>
                    </a:prstGeom>
                  </pic:spPr>
                </pic:pic>
              </a:graphicData>
            </a:graphic>
          </wp:inline>
        </w:drawing>
      </w:r>
    </w:p>
    <w:p w14:paraId="75272639">
      <w:pPr>
        <w:widowControl/>
        <w:jc w:val="center"/>
        <w:rPr>
          <w:rFonts w:hint="eastAsia" w:eastAsia="宋体"/>
          <w:b/>
          <w:bCs/>
          <w:sz w:val="24"/>
          <w:lang w:eastAsia="zh-CN"/>
        </w:rPr>
        <w:sectPr>
          <w:headerReference r:id="rId3" w:type="default"/>
          <w:headerReference r:id="rId4" w:type="even"/>
          <w:pgSz w:w="11906" w:h="16838"/>
          <w:pgMar w:top="1418" w:right="1134" w:bottom="1134" w:left="1247" w:header="851" w:footer="992" w:gutter="0"/>
          <w:pgBorders>
            <w:top w:val="none" w:sz="0" w:space="0"/>
            <w:left w:val="none" w:sz="0" w:space="0"/>
            <w:bottom w:val="none" w:sz="0" w:space="0"/>
            <w:right w:val="none" w:sz="0" w:space="0"/>
          </w:pgBorders>
          <w:pgNumType w:start="1"/>
          <w:cols w:space="720" w:num="1"/>
          <w:docGrid w:type="linesAndChars" w:linePitch="312" w:charSpace="0"/>
        </w:sectPr>
      </w:pPr>
      <w:r>
        <w:rPr>
          <w:rFonts w:hint="eastAsia" w:eastAsia="宋体"/>
          <w:b/>
          <w:bCs/>
          <w:sz w:val="24"/>
          <w:lang w:eastAsia="zh-CN"/>
        </w:rPr>
        <w:drawing>
          <wp:inline distT="0" distB="0" distL="114300" distR="114300">
            <wp:extent cx="5887085" cy="9058910"/>
            <wp:effectExtent l="0" t="0" r="18415" b="8890"/>
            <wp:docPr id="38" name="图片 38" descr="6960c1e232ce8b43bd47467a7d80c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6960c1e232ce8b43bd47467a7d80c9d"/>
                    <pic:cNvPicPr>
                      <a:picLocks noChangeAspect="1"/>
                    </pic:cNvPicPr>
                  </pic:nvPicPr>
                  <pic:blipFill>
                    <a:blip r:embed="rId12"/>
                    <a:stretch>
                      <a:fillRect/>
                    </a:stretch>
                  </pic:blipFill>
                  <pic:spPr>
                    <a:xfrm>
                      <a:off x="0" y="0"/>
                      <a:ext cx="5887085" cy="9058910"/>
                    </a:xfrm>
                    <a:prstGeom prst="rect">
                      <a:avLst/>
                    </a:prstGeom>
                  </pic:spPr>
                </pic:pic>
              </a:graphicData>
            </a:graphic>
          </wp:inline>
        </w:drawing>
      </w:r>
      <w:r>
        <w:rPr>
          <w:rFonts w:hint="eastAsia" w:eastAsia="宋体"/>
          <w:b/>
          <w:bCs/>
          <w:sz w:val="24"/>
          <w:lang w:eastAsia="zh-CN"/>
        </w:rPr>
        <w:drawing>
          <wp:inline distT="0" distB="0" distL="114300" distR="114300">
            <wp:extent cx="5702300" cy="9070340"/>
            <wp:effectExtent l="0" t="0" r="12700" b="16510"/>
            <wp:docPr id="41" name="图片 41" descr="1f16d3f094e9212684cec5e3776d0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1f16d3f094e9212684cec5e3776d0d3"/>
                    <pic:cNvPicPr>
                      <a:picLocks noChangeAspect="1"/>
                    </pic:cNvPicPr>
                  </pic:nvPicPr>
                  <pic:blipFill>
                    <a:blip r:embed="rId13"/>
                    <a:stretch>
                      <a:fillRect/>
                    </a:stretch>
                  </pic:blipFill>
                  <pic:spPr>
                    <a:xfrm>
                      <a:off x="0" y="0"/>
                      <a:ext cx="5702300" cy="9070340"/>
                    </a:xfrm>
                    <a:prstGeom prst="rect">
                      <a:avLst/>
                    </a:prstGeom>
                  </pic:spPr>
                </pic:pic>
              </a:graphicData>
            </a:graphic>
          </wp:inline>
        </w:drawing>
      </w:r>
    </w:p>
    <w:p w14:paraId="09AA34C5">
      <w:pPr>
        <w:pStyle w:val="71"/>
        <w:keepNext w:val="0"/>
        <w:keepLines w:val="0"/>
        <w:pageBreakBefore w:val="0"/>
        <w:widowControl/>
        <w:kinsoku/>
        <w:wordWrap/>
        <w:overflowPunct/>
        <w:topLinePunct w:val="0"/>
        <w:autoSpaceDE/>
        <w:autoSpaceDN/>
        <w:bidi w:val="0"/>
        <w:adjustRightInd/>
        <w:snapToGrid/>
        <w:spacing w:line="280" w:lineRule="exact"/>
        <w:textAlignment w:val="auto"/>
        <w:outlineLvl w:val="0"/>
        <w:rPr>
          <w:rFonts w:hint="eastAsia" w:ascii="Times New Roman" w:hAnsi="Times New Roman"/>
          <w:snapToGrid w:val="0"/>
          <w:sz w:val="30"/>
          <w:szCs w:val="30"/>
          <w:lang w:eastAsia="zh-CN"/>
        </w:rPr>
      </w:pPr>
      <w:r>
        <w:rPr>
          <w:rFonts w:hint="eastAsia" w:ascii="Times New Roman" w:hAnsi="Times New Roman"/>
          <w:snapToGrid w:val="0"/>
          <w:sz w:val="30"/>
          <w:szCs w:val="30"/>
          <w:lang w:eastAsia="zh-CN"/>
        </w:rPr>
        <w:t>工程师现场照片</w:t>
      </w:r>
    </w:p>
    <w:tbl>
      <w:tblPr>
        <w:tblStyle w:val="7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01C114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4" w:hRule="atLeast"/>
        </w:trPr>
        <w:tc>
          <w:tcPr>
            <w:tcW w:w="8522" w:type="dxa"/>
          </w:tcPr>
          <w:p w14:paraId="283E4FB0">
            <w:pPr>
              <w:pStyle w:val="71"/>
              <w:jc w:val="center"/>
              <w:outlineLvl w:val="0"/>
              <w:rPr>
                <w:rFonts w:hint="eastAsia" w:ascii="Times New Roman" w:hAnsi="Times New Roman"/>
                <w:snapToGrid w:val="0"/>
                <w:sz w:val="30"/>
                <w:szCs w:val="30"/>
                <w:vertAlign w:val="baseline"/>
                <w:lang w:eastAsia="zh-CN"/>
              </w:rPr>
            </w:pPr>
            <w:r>
              <w:rPr>
                <w:rFonts w:ascii="宋体" w:hAnsi="宋体" w:eastAsia="宋体" w:cs="宋体"/>
                <w:sz w:val="24"/>
                <w:szCs w:val="24"/>
              </w:rPr>
              <w:drawing>
                <wp:inline distT="0" distB="0" distL="114300" distR="114300">
                  <wp:extent cx="4671695" cy="4276725"/>
                  <wp:effectExtent l="0" t="0" r="14605" b="9525"/>
                  <wp:docPr id="15"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descr="IMG_256"/>
                          <pic:cNvPicPr>
                            <a:picLocks noChangeAspect="1"/>
                          </pic:cNvPicPr>
                        </pic:nvPicPr>
                        <pic:blipFill>
                          <a:blip r:embed="rId14"/>
                          <a:srcRect t="22584" b="1023"/>
                          <a:stretch>
                            <a:fillRect/>
                          </a:stretch>
                        </pic:blipFill>
                        <pic:spPr>
                          <a:xfrm>
                            <a:off x="0" y="0"/>
                            <a:ext cx="4671695" cy="4276725"/>
                          </a:xfrm>
                          <a:prstGeom prst="rect">
                            <a:avLst/>
                          </a:prstGeom>
                          <a:noFill/>
                          <a:ln w="9525">
                            <a:noFill/>
                          </a:ln>
                        </pic:spPr>
                      </pic:pic>
                    </a:graphicData>
                  </a:graphic>
                </wp:inline>
              </w:drawing>
            </w:r>
          </w:p>
        </w:tc>
      </w:tr>
      <w:tr w14:paraId="4200AA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9" w:hRule="atLeast"/>
        </w:trPr>
        <w:tc>
          <w:tcPr>
            <w:tcW w:w="8522" w:type="dxa"/>
          </w:tcPr>
          <w:p w14:paraId="4EE56847">
            <w:pPr>
              <w:pStyle w:val="71"/>
              <w:outlineLvl w:val="0"/>
              <w:rPr>
                <w:rFonts w:hint="eastAsia" w:ascii="Times New Roman" w:hAnsi="Times New Roman"/>
                <w:snapToGrid w:val="0"/>
                <w:sz w:val="30"/>
                <w:szCs w:val="30"/>
                <w:vertAlign w:val="baseline"/>
                <w:lang w:eastAsia="zh-CN"/>
              </w:rPr>
            </w:pPr>
            <w:r>
              <w:rPr>
                <w:rFonts w:hint="eastAsia"/>
                <w:lang w:eastAsia="zh-CN"/>
              </w:rPr>
              <w:drawing>
                <wp:inline distT="0" distB="0" distL="114300" distR="114300">
                  <wp:extent cx="3852545" cy="5546725"/>
                  <wp:effectExtent l="0" t="0" r="15875" b="14605"/>
                  <wp:docPr id="16" name="图片 2" descr="64322ac289532cf551587d65cd50f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 descr="64322ac289532cf551587d65cd50fdd"/>
                          <pic:cNvPicPr>
                            <a:picLocks noChangeAspect="1"/>
                          </pic:cNvPicPr>
                        </pic:nvPicPr>
                        <pic:blipFill>
                          <a:blip r:embed="rId15"/>
                          <a:srcRect l="6812" t="5865" r="6429" b="5795"/>
                          <a:stretch>
                            <a:fillRect/>
                          </a:stretch>
                        </pic:blipFill>
                        <pic:spPr>
                          <a:xfrm rot="5400000">
                            <a:off x="0" y="0"/>
                            <a:ext cx="3852545" cy="5546725"/>
                          </a:xfrm>
                          <a:prstGeom prst="rect">
                            <a:avLst/>
                          </a:prstGeom>
                          <a:noFill/>
                          <a:ln>
                            <a:noFill/>
                          </a:ln>
                        </pic:spPr>
                      </pic:pic>
                    </a:graphicData>
                  </a:graphic>
                </wp:inline>
              </w:drawing>
            </w:r>
          </w:p>
        </w:tc>
      </w:tr>
    </w:tbl>
    <w:p w14:paraId="2F46E780">
      <w:pPr>
        <w:pStyle w:val="71"/>
        <w:outlineLvl w:val="0"/>
        <w:rPr>
          <w:rFonts w:hint="eastAsia" w:ascii="Times New Roman" w:hAnsi="Times New Roman"/>
          <w:snapToGrid w:val="0"/>
          <w:sz w:val="30"/>
          <w:szCs w:val="30"/>
          <w:lang w:eastAsia="zh-CN"/>
        </w:rPr>
        <w:sectPr>
          <w:footerReference r:id="rId5" w:type="default"/>
          <w:pgSz w:w="11906" w:h="16838"/>
          <w:pgMar w:top="1440" w:right="1800" w:bottom="1440" w:left="1800" w:header="851" w:footer="1077" w:gutter="0"/>
          <w:pgBorders>
            <w:top w:val="none" w:sz="0" w:space="0"/>
            <w:left w:val="none" w:sz="0" w:space="0"/>
            <w:bottom w:val="none" w:sz="0" w:space="0"/>
            <w:right w:val="none" w:sz="0" w:space="0"/>
          </w:pgBorders>
          <w:pgNumType w:start="1"/>
          <w:cols w:space="720" w:num="1"/>
          <w:docGrid w:linePitch="312" w:charSpace="0"/>
        </w:sectPr>
      </w:pPr>
    </w:p>
    <w:p w14:paraId="461CCD6B">
      <w:pPr>
        <w:pStyle w:val="71"/>
        <w:outlineLvl w:val="0"/>
        <w:sectPr>
          <w:footerReference r:id="rId6" w:type="default"/>
          <w:pgSz w:w="11906" w:h="16838"/>
          <w:pgMar w:top="1440" w:right="1800" w:bottom="1440" w:left="1800" w:header="851" w:footer="1077" w:gutter="0"/>
          <w:pgBorders>
            <w:top w:val="none" w:sz="0" w:space="0"/>
            <w:left w:val="none" w:sz="0" w:space="0"/>
            <w:bottom w:val="none" w:sz="0" w:space="0"/>
            <w:right w:val="none" w:sz="0" w:space="0"/>
          </w:pgBorders>
          <w:pgNumType w:start="1"/>
          <w:cols w:space="720" w:num="1"/>
          <w:docGrid w:linePitch="312" w:charSpace="0"/>
        </w:sectPr>
      </w:pPr>
      <w:r>
        <w:drawing>
          <wp:inline distT="0" distB="0" distL="114300" distR="114300">
            <wp:extent cx="5272405" cy="4841875"/>
            <wp:effectExtent l="0" t="0" r="4445" b="15875"/>
            <wp:docPr id="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
                    <pic:cNvPicPr>
                      <a:picLocks noChangeAspect="1"/>
                    </pic:cNvPicPr>
                  </pic:nvPicPr>
                  <pic:blipFill>
                    <a:blip r:embed="rId16"/>
                    <a:stretch>
                      <a:fillRect/>
                    </a:stretch>
                  </pic:blipFill>
                  <pic:spPr>
                    <a:xfrm>
                      <a:off x="0" y="0"/>
                      <a:ext cx="5272405" cy="4841875"/>
                    </a:xfrm>
                    <a:prstGeom prst="rect">
                      <a:avLst/>
                    </a:prstGeom>
                    <a:noFill/>
                    <a:ln>
                      <a:noFill/>
                    </a:ln>
                  </pic:spPr>
                </pic:pic>
              </a:graphicData>
            </a:graphic>
          </wp:inline>
        </w:drawing>
      </w:r>
    </w:p>
    <w:p w14:paraId="2D2C91D3">
      <w:pPr>
        <w:pStyle w:val="71"/>
        <w:outlineLvl w:val="0"/>
        <w:rPr>
          <w:rFonts w:ascii="Times New Roman" w:hAnsi="Times New Roman"/>
          <w:snapToGrid w:val="0"/>
          <w:sz w:val="30"/>
          <w:szCs w:val="30"/>
        </w:rPr>
      </w:pPr>
      <w:r>
        <w:rPr>
          <w:rFonts w:ascii="Times New Roman" w:hAnsi="Times New Roman"/>
          <w:snapToGrid w:val="0"/>
          <w:sz w:val="30"/>
          <w:szCs w:val="30"/>
        </w:rPr>
        <w:t>一</w:t>
      </w:r>
      <w:r>
        <w:rPr>
          <w:rFonts w:hint="eastAsia" w:ascii="Times New Roman" w:hAnsi="Times New Roman" w:eastAsia="微软雅黑"/>
          <w:snapToGrid w:val="0"/>
          <w:sz w:val="30"/>
          <w:szCs w:val="30"/>
          <w:lang w:eastAsia="zh-CN"/>
        </w:rPr>
        <w:t>、</w:t>
      </w:r>
      <w:r>
        <w:rPr>
          <w:rFonts w:ascii="Times New Roman" w:hAnsi="Times New Roman"/>
          <w:snapToGrid w:val="0"/>
          <w:sz w:val="30"/>
          <w:szCs w:val="30"/>
        </w:rPr>
        <w:t>建设项目基本情况</w:t>
      </w:r>
    </w:p>
    <w:tbl>
      <w:tblPr>
        <w:tblStyle w:val="77"/>
        <w:tblW w:w="498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031"/>
        <w:gridCol w:w="2093"/>
        <w:gridCol w:w="1702"/>
        <w:gridCol w:w="3486"/>
      </w:tblGrid>
      <w:tr w14:paraId="72CBC8E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38" w:type="dxa"/>
            <w:tcMar>
              <w:top w:w="16" w:type="dxa"/>
              <w:left w:w="16" w:type="dxa"/>
              <w:right w:w="16" w:type="dxa"/>
            </w:tcMar>
            <w:vAlign w:val="center"/>
          </w:tcPr>
          <w:p w14:paraId="40F68B26">
            <w:pPr>
              <w:adjustRightInd w:val="0"/>
              <w:snapToGrid w:val="0"/>
              <w:jc w:val="center"/>
              <w:rPr>
                <w:sz w:val="24"/>
              </w:rPr>
            </w:pPr>
            <w:r>
              <w:rPr>
                <w:sz w:val="24"/>
              </w:rPr>
              <w:t>建设项</w:t>
            </w:r>
          </w:p>
          <w:p w14:paraId="4A0612C0">
            <w:pPr>
              <w:adjustRightInd w:val="0"/>
              <w:snapToGrid w:val="0"/>
              <w:jc w:val="center"/>
              <w:rPr>
                <w:sz w:val="24"/>
              </w:rPr>
            </w:pPr>
            <w:r>
              <w:rPr>
                <w:sz w:val="24"/>
              </w:rPr>
              <w:t>目名称</w:t>
            </w:r>
          </w:p>
        </w:tc>
        <w:tc>
          <w:tcPr>
            <w:tcW w:w="7281" w:type="dxa"/>
            <w:gridSpan w:val="3"/>
            <w:vAlign w:val="center"/>
          </w:tcPr>
          <w:p w14:paraId="281E1242">
            <w:pPr>
              <w:pStyle w:val="512"/>
              <w:ind w:firstLine="0" w:firstLineChars="0"/>
              <w:jc w:val="center"/>
            </w:pPr>
            <w:r>
              <w:rPr>
                <w:rFonts w:hint="eastAsia"/>
                <w:lang w:eastAsia="zh-CN"/>
              </w:rPr>
              <w:t>江苏省环境资源有限公司小微集中收集贮存点（连云港）项目</w:t>
            </w:r>
          </w:p>
        </w:tc>
      </w:tr>
      <w:tr w14:paraId="444924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38" w:type="dxa"/>
            <w:tcMar>
              <w:top w:w="16" w:type="dxa"/>
              <w:left w:w="16" w:type="dxa"/>
              <w:right w:w="16" w:type="dxa"/>
            </w:tcMar>
            <w:vAlign w:val="center"/>
          </w:tcPr>
          <w:p w14:paraId="27FC95E6">
            <w:pPr>
              <w:adjustRightInd w:val="0"/>
              <w:snapToGrid w:val="0"/>
              <w:jc w:val="center"/>
              <w:rPr>
                <w:sz w:val="24"/>
              </w:rPr>
            </w:pPr>
            <w:r>
              <w:rPr>
                <w:sz w:val="24"/>
              </w:rPr>
              <w:t>项目代码</w:t>
            </w:r>
          </w:p>
        </w:tc>
        <w:tc>
          <w:tcPr>
            <w:tcW w:w="7281" w:type="dxa"/>
            <w:gridSpan w:val="3"/>
            <w:vAlign w:val="center"/>
          </w:tcPr>
          <w:p w14:paraId="329135FA">
            <w:pPr>
              <w:pStyle w:val="512"/>
              <w:ind w:firstLine="0" w:firstLineChars="0"/>
              <w:jc w:val="center"/>
            </w:pPr>
            <w:r>
              <w:rPr>
                <w:rFonts w:hint="eastAsia"/>
              </w:rPr>
              <w:t>2409-320771-89-01-486323</w:t>
            </w:r>
          </w:p>
        </w:tc>
      </w:tr>
      <w:tr w14:paraId="3F0286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38" w:type="dxa"/>
            <w:tcMar>
              <w:top w:w="16" w:type="dxa"/>
              <w:left w:w="16" w:type="dxa"/>
              <w:right w:w="16" w:type="dxa"/>
            </w:tcMar>
            <w:vAlign w:val="center"/>
          </w:tcPr>
          <w:p w14:paraId="4082200D">
            <w:pPr>
              <w:adjustRightInd w:val="0"/>
              <w:snapToGrid w:val="0"/>
              <w:jc w:val="center"/>
              <w:rPr>
                <w:sz w:val="24"/>
              </w:rPr>
            </w:pPr>
            <w:r>
              <w:rPr>
                <w:sz w:val="24"/>
              </w:rPr>
              <w:t>建设单位</w:t>
            </w:r>
          </w:p>
          <w:p w14:paraId="6AE8149D">
            <w:pPr>
              <w:adjustRightInd w:val="0"/>
              <w:snapToGrid w:val="0"/>
              <w:jc w:val="center"/>
              <w:rPr>
                <w:sz w:val="24"/>
              </w:rPr>
            </w:pPr>
            <w:r>
              <w:rPr>
                <w:sz w:val="24"/>
              </w:rPr>
              <w:t>联系人</w:t>
            </w:r>
          </w:p>
        </w:tc>
        <w:tc>
          <w:tcPr>
            <w:tcW w:w="2093" w:type="dxa"/>
            <w:vAlign w:val="center"/>
          </w:tcPr>
          <w:p w14:paraId="7B18668D">
            <w:pPr>
              <w:pStyle w:val="512"/>
              <w:ind w:firstLine="0" w:firstLineChars="0"/>
              <w:jc w:val="center"/>
              <w:rPr>
                <w:rFonts w:hint="eastAsia" w:eastAsia="宋体"/>
                <w:lang w:eastAsia="zh-CN"/>
              </w:rPr>
            </w:pPr>
            <w:r>
              <w:rPr>
                <w:rFonts w:hint="eastAsia"/>
                <w:lang w:eastAsia="zh-CN"/>
              </w:rPr>
              <w:t>吴疆</w:t>
            </w:r>
          </w:p>
        </w:tc>
        <w:tc>
          <w:tcPr>
            <w:tcW w:w="1702" w:type="dxa"/>
            <w:vAlign w:val="center"/>
          </w:tcPr>
          <w:p w14:paraId="17E211FC">
            <w:pPr>
              <w:adjustRightInd w:val="0"/>
              <w:snapToGrid w:val="0"/>
              <w:jc w:val="center"/>
              <w:rPr>
                <w:sz w:val="24"/>
              </w:rPr>
            </w:pPr>
            <w:r>
              <w:rPr>
                <w:sz w:val="24"/>
              </w:rPr>
              <w:t>联系方式</w:t>
            </w:r>
          </w:p>
        </w:tc>
        <w:tc>
          <w:tcPr>
            <w:tcW w:w="3486" w:type="dxa"/>
            <w:vAlign w:val="center"/>
          </w:tcPr>
          <w:p w14:paraId="3D2F8035">
            <w:pPr>
              <w:pStyle w:val="512"/>
              <w:ind w:firstLine="0" w:firstLineChars="0"/>
              <w:jc w:val="center"/>
            </w:pPr>
            <w:r>
              <w:rPr>
                <w:rFonts w:hint="eastAsia"/>
                <w:highlight w:val="none"/>
              </w:rPr>
              <w:t>15151832661</w:t>
            </w:r>
          </w:p>
        </w:tc>
      </w:tr>
      <w:tr w14:paraId="267DD3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38" w:type="dxa"/>
            <w:tcMar>
              <w:top w:w="16" w:type="dxa"/>
              <w:left w:w="16" w:type="dxa"/>
              <w:right w:w="16" w:type="dxa"/>
            </w:tcMar>
            <w:vAlign w:val="center"/>
          </w:tcPr>
          <w:p w14:paraId="4D62BF8B">
            <w:pPr>
              <w:adjustRightInd w:val="0"/>
              <w:snapToGrid w:val="0"/>
              <w:jc w:val="center"/>
              <w:rPr>
                <w:sz w:val="24"/>
              </w:rPr>
            </w:pPr>
            <w:r>
              <w:rPr>
                <w:sz w:val="24"/>
              </w:rPr>
              <w:t>建设地点</w:t>
            </w:r>
          </w:p>
        </w:tc>
        <w:tc>
          <w:tcPr>
            <w:tcW w:w="7281" w:type="dxa"/>
            <w:gridSpan w:val="3"/>
            <w:vAlign w:val="center"/>
          </w:tcPr>
          <w:p w14:paraId="472B46F6">
            <w:pPr>
              <w:adjustRightInd w:val="0"/>
              <w:snapToGrid w:val="0"/>
              <w:jc w:val="center"/>
              <w:rPr>
                <w:rFonts w:hint="eastAsia" w:eastAsia="宋体"/>
                <w:sz w:val="24"/>
                <w:u w:val="single"/>
                <w:lang w:eastAsia="zh-CN"/>
              </w:rPr>
            </w:pPr>
            <w:r>
              <w:rPr>
                <w:rFonts w:hint="eastAsia"/>
                <w:sz w:val="24"/>
                <w:u w:val="single"/>
                <w:lang w:eastAsia="zh-CN"/>
              </w:rPr>
              <w:t>江苏省连云港市连云港经济技术开发区昌圩路北、金桥路西</w:t>
            </w:r>
          </w:p>
        </w:tc>
      </w:tr>
      <w:tr w14:paraId="23B8F8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38" w:type="dxa"/>
            <w:tcMar>
              <w:top w:w="16" w:type="dxa"/>
              <w:left w:w="16" w:type="dxa"/>
              <w:right w:w="16" w:type="dxa"/>
            </w:tcMar>
            <w:vAlign w:val="center"/>
          </w:tcPr>
          <w:p w14:paraId="5CA5A7B4">
            <w:pPr>
              <w:adjustRightInd w:val="0"/>
              <w:snapToGrid w:val="0"/>
              <w:jc w:val="center"/>
              <w:rPr>
                <w:sz w:val="24"/>
              </w:rPr>
            </w:pPr>
            <w:r>
              <w:rPr>
                <w:sz w:val="24"/>
              </w:rPr>
              <w:t>地理坐标</w:t>
            </w:r>
          </w:p>
        </w:tc>
        <w:tc>
          <w:tcPr>
            <w:tcW w:w="7281" w:type="dxa"/>
            <w:gridSpan w:val="3"/>
            <w:vAlign w:val="center"/>
          </w:tcPr>
          <w:p w14:paraId="6CDD4A6A">
            <w:pPr>
              <w:jc w:val="center"/>
              <w:rPr>
                <w:sz w:val="24"/>
              </w:rPr>
            </w:pPr>
            <w:r>
              <w:rPr>
                <w:sz w:val="24"/>
              </w:rPr>
              <w:t>（</w:t>
            </w:r>
            <w:r>
              <w:rPr>
                <w:sz w:val="24"/>
                <w:u w:val="single"/>
              </w:rPr>
              <w:t>119</w:t>
            </w:r>
            <w:r>
              <w:rPr>
                <w:sz w:val="24"/>
              </w:rPr>
              <w:t>度</w:t>
            </w:r>
            <w:r>
              <w:rPr>
                <w:rFonts w:hint="eastAsia"/>
                <w:sz w:val="24"/>
                <w:u w:val="single"/>
                <w:lang w:val="en-US" w:eastAsia="zh-CN"/>
              </w:rPr>
              <w:t>13</w:t>
            </w:r>
            <w:r>
              <w:rPr>
                <w:sz w:val="24"/>
              </w:rPr>
              <w:t>分</w:t>
            </w:r>
            <w:r>
              <w:rPr>
                <w:rFonts w:hint="eastAsia"/>
                <w:sz w:val="24"/>
                <w:u w:val="single"/>
                <w:lang w:val="en-US" w:eastAsia="zh-CN"/>
              </w:rPr>
              <w:t>41.224</w:t>
            </w:r>
            <w:r>
              <w:rPr>
                <w:sz w:val="24"/>
              </w:rPr>
              <w:t>秒，</w:t>
            </w:r>
            <w:r>
              <w:rPr>
                <w:sz w:val="24"/>
                <w:u w:val="single"/>
              </w:rPr>
              <w:t>34</w:t>
            </w:r>
            <w:r>
              <w:rPr>
                <w:sz w:val="24"/>
              </w:rPr>
              <w:t>度</w:t>
            </w:r>
            <w:r>
              <w:rPr>
                <w:sz w:val="24"/>
                <w:u w:val="single"/>
              </w:rPr>
              <w:t>4</w:t>
            </w:r>
            <w:r>
              <w:rPr>
                <w:rFonts w:hint="eastAsia"/>
                <w:sz w:val="24"/>
                <w:u w:val="single"/>
                <w:lang w:val="en-US" w:eastAsia="zh-CN"/>
              </w:rPr>
              <w:t>1</w:t>
            </w:r>
            <w:r>
              <w:rPr>
                <w:sz w:val="24"/>
              </w:rPr>
              <w:t>分</w:t>
            </w:r>
            <w:r>
              <w:rPr>
                <w:rFonts w:hint="eastAsia"/>
                <w:sz w:val="24"/>
                <w:u w:val="single"/>
                <w:lang w:val="en-US" w:eastAsia="zh-CN"/>
              </w:rPr>
              <w:t>50.753</w:t>
            </w:r>
            <w:r>
              <w:rPr>
                <w:sz w:val="24"/>
              </w:rPr>
              <w:t>秒）</w:t>
            </w:r>
          </w:p>
        </w:tc>
      </w:tr>
      <w:tr w14:paraId="0670F0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038" w:type="dxa"/>
            <w:tcMar>
              <w:top w:w="16" w:type="dxa"/>
              <w:left w:w="16" w:type="dxa"/>
              <w:right w:w="16" w:type="dxa"/>
            </w:tcMar>
            <w:vAlign w:val="center"/>
          </w:tcPr>
          <w:p w14:paraId="450D3CCB">
            <w:pPr>
              <w:adjustRightInd w:val="0"/>
              <w:snapToGrid w:val="0"/>
              <w:jc w:val="center"/>
              <w:rPr>
                <w:sz w:val="24"/>
              </w:rPr>
            </w:pPr>
            <w:r>
              <w:rPr>
                <w:sz w:val="24"/>
              </w:rPr>
              <w:t>国民经济</w:t>
            </w:r>
          </w:p>
          <w:p w14:paraId="7973A94D">
            <w:pPr>
              <w:adjustRightInd w:val="0"/>
              <w:snapToGrid w:val="0"/>
              <w:jc w:val="center"/>
              <w:rPr>
                <w:sz w:val="24"/>
              </w:rPr>
            </w:pPr>
            <w:r>
              <w:rPr>
                <w:sz w:val="24"/>
              </w:rPr>
              <w:t>行业类别</w:t>
            </w:r>
          </w:p>
        </w:tc>
        <w:tc>
          <w:tcPr>
            <w:tcW w:w="2093" w:type="dxa"/>
            <w:vAlign w:val="center"/>
          </w:tcPr>
          <w:p w14:paraId="7756E133">
            <w:pPr>
              <w:pStyle w:val="512"/>
              <w:ind w:firstLine="0" w:firstLineChars="0"/>
              <w:jc w:val="center"/>
            </w:pPr>
            <w:r>
              <w:rPr>
                <w:color w:val="000000"/>
                <w:sz w:val="24"/>
              </w:rPr>
              <w:t>N7724 危险废物治理</w:t>
            </w:r>
          </w:p>
        </w:tc>
        <w:tc>
          <w:tcPr>
            <w:tcW w:w="1702" w:type="dxa"/>
            <w:vAlign w:val="center"/>
          </w:tcPr>
          <w:p w14:paraId="4A39E8E1">
            <w:pPr>
              <w:adjustRightInd w:val="0"/>
              <w:snapToGrid w:val="0"/>
              <w:jc w:val="center"/>
              <w:rPr>
                <w:sz w:val="24"/>
              </w:rPr>
            </w:pPr>
            <w:bookmarkStart w:id="0" w:name="_Hlk49843745"/>
            <w:r>
              <w:rPr>
                <w:sz w:val="24"/>
              </w:rPr>
              <w:t>建设项目</w:t>
            </w:r>
          </w:p>
          <w:p w14:paraId="74634026">
            <w:pPr>
              <w:adjustRightInd w:val="0"/>
              <w:snapToGrid w:val="0"/>
              <w:jc w:val="center"/>
              <w:rPr>
                <w:sz w:val="24"/>
              </w:rPr>
            </w:pPr>
            <w:r>
              <w:rPr>
                <w:sz w:val="24"/>
              </w:rPr>
              <w:t>行业类别</w:t>
            </w:r>
            <w:bookmarkEnd w:id="0"/>
          </w:p>
        </w:tc>
        <w:tc>
          <w:tcPr>
            <w:tcW w:w="3486" w:type="dxa"/>
            <w:vAlign w:val="center"/>
          </w:tcPr>
          <w:p w14:paraId="7DF692E5">
            <w:pPr>
              <w:pStyle w:val="512"/>
              <w:ind w:firstLine="0" w:firstLineChars="0"/>
              <w:jc w:val="center"/>
            </w:pPr>
            <w:r>
              <w:rPr>
                <w:color w:val="000000"/>
                <w:sz w:val="24"/>
              </w:rPr>
              <w:t>四十七、生态保护和环境治理业 101 危险废物（不含医疗废物）利用及处置</w:t>
            </w:r>
          </w:p>
        </w:tc>
      </w:tr>
      <w:tr w14:paraId="5D34F6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038" w:type="dxa"/>
            <w:tcMar>
              <w:top w:w="16" w:type="dxa"/>
              <w:left w:w="16" w:type="dxa"/>
              <w:right w:w="16" w:type="dxa"/>
            </w:tcMar>
            <w:vAlign w:val="center"/>
          </w:tcPr>
          <w:p w14:paraId="5C91C7A3">
            <w:pPr>
              <w:adjustRightInd w:val="0"/>
              <w:snapToGrid w:val="0"/>
              <w:jc w:val="center"/>
              <w:rPr>
                <w:sz w:val="24"/>
              </w:rPr>
            </w:pPr>
            <w:r>
              <w:rPr>
                <w:sz w:val="24"/>
              </w:rPr>
              <w:t>建设性质</w:t>
            </w:r>
          </w:p>
        </w:tc>
        <w:tc>
          <w:tcPr>
            <w:tcW w:w="2093" w:type="dxa"/>
            <w:vAlign w:val="center"/>
          </w:tcPr>
          <w:p w14:paraId="601942A9">
            <w:pPr>
              <w:jc w:val="left"/>
              <w:rPr>
                <w:sz w:val="24"/>
              </w:rPr>
            </w:pPr>
            <w:r>
              <w:rPr>
                <w:rFonts w:ascii="Segoe UI Symbol" w:hAnsi="Segoe UI Symbol" w:cs="Segoe UI Symbol"/>
                <w:sz w:val="24"/>
              </w:rPr>
              <w:t>☑</w:t>
            </w:r>
            <w:r>
              <w:rPr>
                <w:sz w:val="24"/>
              </w:rPr>
              <w:t>新建（迁建）</w:t>
            </w:r>
          </w:p>
          <w:p w14:paraId="4CAE540F">
            <w:pPr>
              <w:jc w:val="left"/>
              <w:rPr>
                <w:sz w:val="24"/>
              </w:rPr>
            </w:pPr>
            <w:r>
              <w:rPr>
                <w:rFonts w:hint="eastAsia" w:ascii="Segoe UI Symbol" w:hAnsi="Segoe UI Symbol" w:cs="Segoe UI Symbol"/>
                <w:sz w:val="24"/>
                <w:lang w:eastAsia="zh-CN"/>
              </w:rPr>
              <w:t>□</w:t>
            </w:r>
            <w:r>
              <w:rPr>
                <w:sz w:val="24"/>
              </w:rPr>
              <w:t>改建</w:t>
            </w:r>
          </w:p>
          <w:p w14:paraId="22C5EF5A">
            <w:pPr>
              <w:jc w:val="left"/>
              <w:rPr>
                <w:sz w:val="24"/>
              </w:rPr>
            </w:pPr>
            <w:r>
              <w:rPr>
                <w:rFonts w:hint="eastAsia" w:ascii="Segoe UI Symbol" w:hAnsi="Segoe UI Symbol" w:cs="Segoe UI Symbol"/>
                <w:sz w:val="24"/>
                <w:lang w:eastAsia="zh-CN"/>
              </w:rPr>
              <w:t>□</w:t>
            </w:r>
            <w:r>
              <w:rPr>
                <w:sz w:val="24"/>
              </w:rPr>
              <w:t>扩建</w:t>
            </w:r>
          </w:p>
          <w:p w14:paraId="1CC5A1C1">
            <w:pPr>
              <w:jc w:val="left"/>
              <w:rPr>
                <w:sz w:val="24"/>
              </w:rPr>
            </w:pPr>
            <w:r>
              <w:rPr>
                <w:rFonts w:hint="eastAsia" w:ascii="Segoe UI Symbol" w:hAnsi="Segoe UI Symbol" w:cs="Segoe UI Symbol"/>
                <w:sz w:val="24"/>
                <w:lang w:eastAsia="zh-CN"/>
              </w:rPr>
              <w:t>□</w:t>
            </w:r>
            <w:r>
              <w:rPr>
                <w:sz w:val="24"/>
              </w:rPr>
              <w:t>技术改造</w:t>
            </w:r>
          </w:p>
        </w:tc>
        <w:tc>
          <w:tcPr>
            <w:tcW w:w="1702" w:type="dxa"/>
            <w:vAlign w:val="center"/>
          </w:tcPr>
          <w:p w14:paraId="7D35BDD1">
            <w:pPr>
              <w:adjustRightInd w:val="0"/>
              <w:snapToGrid w:val="0"/>
              <w:jc w:val="center"/>
              <w:rPr>
                <w:sz w:val="24"/>
              </w:rPr>
            </w:pPr>
            <w:r>
              <w:rPr>
                <w:sz w:val="24"/>
              </w:rPr>
              <w:t>建设项目</w:t>
            </w:r>
          </w:p>
          <w:p w14:paraId="61AEC759">
            <w:pPr>
              <w:adjustRightInd w:val="0"/>
              <w:snapToGrid w:val="0"/>
              <w:jc w:val="center"/>
              <w:rPr>
                <w:sz w:val="24"/>
              </w:rPr>
            </w:pPr>
            <w:r>
              <w:rPr>
                <w:sz w:val="24"/>
              </w:rPr>
              <w:t>申报情形</w:t>
            </w:r>
          </w:p>
        </w:tc>
        <w:tc>
          <w:tcPr>
            <w:tcW w:w="3486" w:type="dxa"/>
            <w:vAlign w:val="center"/>
          </w:tcPr>
          <w:p w14:paraId="07420152">
            <w:pPr>
              <w:jc w:val="left"/>
              <w:rPr>
                <w:sz w:val="24"/>
              </w:rPr>
            </w:pPr>
            <w:r>
              <w:rPr>
                <w:rFonts w:ascii="Segoe UI Symbol" w:hAnsi="Segoe UI Symbol" w:cs="Segoe UI Symbol"/>
                <w:sz w:val="24"/>
              </w:rPr>
              <w:t>☑</w:t>
            </w:r>
            <w:r>
              <w:rPr>
                <w:sz w:val="24"/>
              </w:rPr>
              <w:t xml:space="preserve">首次申报项目             </w:t>
            </w:r>
          </w:p>
          <w:p w14:paraId="77DBB0E3">
            <w:pPr>
              <w:jc w:val="left"/>
              <w:rPr>
                <w:sz w:val="24"/>
              </w:rPr>
            </w:pPr>
            <w:r>
              <w:rPr>
                <w:rFonts w:hint="eastAsia" w:ascii="Segoe UI Symbol" w:hAnsi="Segoe UI Symbol" w:cs="Segoe UI Symbol"/>
                <w:sz w:val="24"/>
                <w:lang w:eastAsia="zh-CN"/>
              </w:rPr>
              <w:t>□</w:t>
            </w:r>
            <w:r>
              <w:rPr>
                <w:sz w:val="24"/>
              </w:rPr>
              <w:t>不予批准后再次申报项目</w:t>
            </w:r>
          </w:p>
          <w:p w14:paraId="0CAA1236">
            <w:pPr>
              <w:jc w:val="left"/>
              <w:rPr>
                <w:sz w:val="24"/>
              </w:rPr>
            </w:pPr>
            <w:r>
              <w:rPr>
                <w:rFonts w:hint="eastAsia" w:ascii="Segoe UI Symbol" w:hAnsi="Segoe UI Symbol" w:cs="Segoe UI Symbol"/>
                <w:sz w:val="24"/>
                <w:lang w:eastAsia="zh-CN"/>
              </w:rPr>
              <w:t>□</w:t>
            </w:r>
            <w:r>
              <w:rPr>
                <w:sz w:val="24"/>
              </w:rPr>
              <w:t xml:space="preserve">超五年重新审核项目     </w:t>
            </w:r>
          </w:p>
          <w:p w14:paraId="4F4AC03B">
            <w:pPr>
              <w:jc w:val="left"/>
              <w:rPr>
                <w:sz w:val="24"/>
              </w:rPr>
            </w:pPr>
            <w:r>
              <w:rPr>
                <w:rFonts w:hint="eastAsia" w:ascii="Segoe UI Symbol" w:hAnsi="Segoe UI Symbol" w:cs="Segoe UI Symbol"/>
                <w:sz w:val="24"/>
                <w:lang w:eastAsia="zh-CN"/>
              </w:rPr>
              <w:t>□</w:t>
            </w:r>
            <w:r>
              <w:rPr>
                <w:sz w:val="24"/>
              </w:rPr>
              <w:t>重大变动重新报批项目</w:t>
            </w:r>
          </w:p>
        </w:tc>
      </w:tr>
      <w:tr w14:paraId="1B159F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038" w:type="dxa"/>
            <w:tcMar>
              <w:top w:w="16" w:type="dxa"/>
              <w:left w:w="16" w:type="dxa"/>
              <w:right w:w="16" w:type="dxa"/>
            </w:tcMar>
            <w:vAlign w:val="center"/>
          </w:tcPr>
          <w:p w14:paraId="024EAF81">
            <w:pPr>
              <w:adjustRightInd w:val="0"/>
              <w:snapToGrid w:val="0"/>
              <w:jc w:val="center"/>
              <w:rPr>
                <w:sz w:val="24"/>
              </w:rPr>
            </w:pPr>
            <w:r>
              <w:rPr>
                <w:sz w:val="24"/>
              </w:rPr>
              <w:t>项目审批（核准/</w:t>
            </w:r>
          </w:p>
          <w:p w14:paraId="20BAEC23">
            <w:pPr>
              <w:adjustRightInd w:val="0"/>
              <w:snapToGrid w:val="0"/>
              <w:jc w:val="center"/>
              <w:rPr>
                <w:sz w:val="24"/>
              </w:rPr>
            </w:pPr>
            <w:r>
              <w:rPr>
                <w:sz w:val="24"/>
              </w:rPr>
              <w:t>备案）部门（选填）</w:t>
            </w:r>
          </w:p>
        </w:tc>
        <w:tc>
          <w:tcPr>
            <w:tcW w:w="2093" w:type="dxa"/>
            <w:vAlign w:val="center"/>
          </w:tcPr>
          <w:p w14:paraId="19374FFE">
            <w:pPr>
              <w:pStyle w:val="512"/>
              <w:ind w:firstLine="0" w:firstLineChars="0"/>
              <w:jc w:val="center"/>
              <w:rPr>
                <w:rFonts w:hint="eastAsia" w:eastAsia="宋体"/>
                <w:lang w:eastAsia="zh-CN"/>
              </w:rPr>
            </w:pPr>
            <w:r>
              <w:rPr>
                <w:rFonts w:hint="eastAsia"/>
                <w:lang w:eastAsia="zh-CN"/>
              </w:rPr>
              <w:t>连云港经济技术开发区行政审批局</w:t>
            </w:r>
          </w:p>
        </w:tc>
        <w:tc>
          <w:tcPr>
            <w:tcW w:w="1702" w:type="dxa"/>
            <w:vAlign w:val="center"/>
          </w:tcPr>
          <w:p w14:paraId="432ED2FC">
            <w:pPr>
              <w:adjustRightInd w:val="0"/>
              <w:snapToGrid w:val="0"/>
              <w:jc w:val="center"/>
              <w:rPr>
                <w:sz w:val="24"/>
              </w:rPr>
            </w:pPr>
            <w:r>
              <w:rPr>
                <w:sz w:val="24"/>
              </w:rPr>
              <w:t>项目审批（核准/备案）文号（选填）</w:t>
            </w:r>
          </w:p>
        </w:tc>
        <w:tc>
          <w:tcPr>
            <w:tcW w:w="3486" w:type="dxa"/>
            <w:vAlign w:val="center"/>
          </w:tcPr>
          <w:p w14:paraId="681D4EDD">
            <w:pPr>
              <w:pStyle w:val="512"/>
              <w:ind w:left="0" w:leftChars="0" w:firstLine="0" w:firstLineChars="0"/>
              <w:jc w:val="center"/>
              <w:rPr>
                <w:rFonts w:hint="default" w:eastAsia="宋体"/>
                <w:lang w:val="en-US" w:eastAsia="zh-CN"/>
              </w:rPr>
            </w:pPr>
            <w:r>
              <w:rPr>
                <w:rFonts w:hint="eastAsia"/>
                <w:lang w:eastAsia="zh-CN"/>
              </w:rPr>
              <w:t>连行审备</w:t>
            </w:r>
            <w:r>
              <w:rPr>
                <w:rFonts w:hint="eastAsia"/>
                <w:lang w:val="en-US" w:eastAsia="zh-CN"/>
              </w:rPr>
              <w:t>[2024]264号</w:t>
            </w:r>
          </w:p>
        </w:tc>
      </w:tr>
      <w:tr w14:paraId="234A652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38" w:type="dxa"/>
            <w:tcMar>
              <w:top w:w="16" w:type="dxa"/>
              <w:left w:w="16" w:type="dxa"/>
              <w:right w:w="16" w:type="dxa"/>
            </w:tcMar>
            <w:vAlign w:val="center"/>
          </w:tcPr>
          <w:p w14:paraId="09F892E4">
            <w:pPr>
              <w:adjustRightInd w:val="0"/>
              <w:snapToGrid w:val="0"/>
              <w:jc w:val="center"/>
              <w:rPr>
                <w:sz w:val="24"/>
              </w:rPr>
            </w:pPr>
            <w:r>
              <w:rPr>
                <w:sz w:val="24"/>
              </w:rPr>
              <w:t>总投资（万元）</w:t>
            </w:r>
          </w:p>
        </w:tc>
        <w:tc>
          <w:tcPr>
            <w:tcW w:w="2093" w:type="dxa"/>
            <w:vAlign w:val="center"/>
          </w:tcPr>
          <w:p w14:paraId="2ED925EF">
            <w:pPr>
              <w:pStyle w:val="512"/>
              <w:ind w:firstLine="0" w:firstLineChars="0"/>
              <w:jc w:val="center"/>
              <w:rPr>
                <w:rFonts w:hint="default" w:eastAsia="宋体"/>
                <w:lang w:val="en-US" w:eastAsia="zh-CN"/>
              </w:rPr>
            </w:pPr>
            <w:r>
              <w:rPr>
                <w:rFonts w:hint="eastAsia"/>
                <w:lang w:val="en-US" w:eastAsia="zh-CN"/>
              </w:rPr>
              <w:t>100</w:t>
            </w:r>
          </w:p>
        </w:tc>
        <w:tc>
          <w:tcPr>
            <w:tcW w:w="1702" w:type="dxa"/>
            <w:tcMar>
              <w:top w:w="16" w:type="dxa"/>
              <w:left w:w="16" w:type="dxa"/>
              <w:right w:w="16" w:type="dxa"/>
            </w:tcMar>
            <w:vAlign w:val="center"/>
          </w:tcPr>
          <w:p w14:paraId="1FDE1A54">
            <w:pPr>
              <w:adjustRightInd w:val="0"/>
              <w:snapToGrid w:val="0"/>
              <w:jc w:val="center"/>
              <w:rPr>
                <w:sz w:val="24"/>
              </w:rPr>
            </w:pPr>
            <w:r>
              <w:rPr>
                <w:sz w:val="24"/>
              </w:rPr>
              <w:t>环保投资（万元）</w:t>
            </w:r>
          </w:p>
        </w:tc>
        <w:tc>
          <w:tcPr>
            <w:tcW w:w="3486" w:type="dxa"/>
            <w:vAlign w:val="center"/>
          </w:tcPr>
          <w:p w14:paraId="67ADDC0D">
            <w:pPr>
              <w:adjustRightInd w:val="0"/>
              <w:snapToGrid w:val="0"/>
              <w:jc w:val="center"/>
              <w:rPr>
                <w:rFonts w:hint="default" w:eastAsia="宋体"/>
                <w:sz w:val="24"/>
                <w:lang w:val="en-US" w:eastAsia="zh-CN"/>
              </w:rPr>
            </w:pPr>
            <w:r>
              <w:rPr>
                <w:rFonts w:hint="eastAsia"/>
                <w:sz w:val="24"/>
                <w:lang w:val="en-US" w:eastAsia="zh-CN"/>
              </w:rPr>
              <w:t>50</w:t>
            </w:r>
          </w:p>
        </w:tc>
      </w:tr>
      <w:tr w14:paraId="3026A31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38" w:type="dxa"/>
            <w:tcMar>
              <w:top w:w="16" w:type="dxa"/>
              <w:left w:w="16" w:type="dxa"/>
              <w:right w:w="16" w:type="dxa"/>
            </w:tcMar>
            <w:vAlign w:val="center"/>
          </w:tcPr>
          <w:p w14:paraId="3A9509EC">
            <w:pPr>
              <w:adjustRightInd w:val="0"/>
              <w:snapToGrid w:val="0"/>
              <w:jc w:val="center"/>
              <w:rPr>
                <w:sz w:val="24"/>
              </w:rPr>
            </w:pPr>
            <w:r>
              <w:rPr>
                <w:sz w:val="24"/>
              </w:rPr>
              <w:t>环保投资占比（%）</w:t>
            </w:r>
          </w:p>
        </w:tc>
        <w:tc>
          <w:tcPr>
            <w:tcW w:w="2093" w:type="dxa"/>
            <w:vAlign w:val="center"/>
          </w:tcPr>
          <w:p w14:paraId="1AF33F23">
            <w:pPr>
              <w:pStyle w:val="512"/>
              <w:ind w:firstLine="0" w:firstLineChars="0"/>
              <w:jc w:val="center"/>
              <w:rPr>
                <w:rFonts w:hint="default" w:eastAsia="宋体"/>
                <w:lang w:val="en-US" w:eastAsia="zh-CN"/>
              </w:rPr>
            </w:pPr>
            <w:r>
              <w:rPr>
                <w:rFonts w:hint="eastAsia"/>
                <w:lang w:val="en-US" w:eastAsia="zh-CN"/>
              </w:rPr>
              <w:t>50</w:t>
            </w:r>
          </w:p>
        </w:tc>
        <w:tc>
          <w:tcPr>
            <w:tcW w:w="1702" w:type="dxa"/>
            <w:tcMar>
              <w:top w:w="16" w:type="dxa"/>
              <w:left w:w="16" w:type="dxa"/>
              <w:right w:w="16" w:type="dxa"/>
            </w:tcMar>
            <w:vAlign w:val="center"/>
          </w:tcPr>
          <w:p w14:paraId="3227594A">
            <w:pPr>
              <w:adjustRightInd w:val="0"/>
              <w:snapToGrid w:val="0"/>
              <w:jc w:val="center"/>
              <w:rPr>
                <w:sz w:val="24"/>
              </w:rPr>
            </w:pPr>
            <w:r>
              <w:rPr>
                <w:sz w:val="24"/>
              </w:rPr>
              <w:t>施工工期</w:t>
            </w:r>
          </w:p>
        </w:tc>
        <w:tc>
          <w:tcPr>
            <w:tcW w:w="3486" w:type="dxa"/>
            <w:vAlign w:val="center"/>
          </w:tcPr>
          <w:p w14:paraId="60FD1231">
            <w:pPr>
              <w:pStyle w:val="512"/>
              <w:ind w:firstLine="0" w:firstLineChars="0"/>
              <w:jc w:val="center"/>
            </w:pPr>
            <w:r>
              <w:rPr>
                <w:rFonts w:hint="eastAsia"/>
                <w:lang w:val="en-US" w:eastAsia="zh-CN"/>
              </w:rPr>
              <w:t>1</w:t>
            </w:r>
            <w:r>
              <w:rPr>
                <w:rFonts w:hint="eastAsia"/>
              </w:rPr>
              <w:t>个月</w:t>
            </w:r>
          </w:p>
        </w:tc>
      </w:tr>
      <w:tr w14:paraId="310AE0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38" w:type="dxa"/>
            <w:tcMar>
              <w:top w:w="16" w:type="dxa"/>
              <w:left w:w="16" w:type="dxa"/>
              <w:right w:w="16" w:type="dxa"/>
            </w:tcMar>
            <w:vAlign w:val="center"/>
          </w:tcPr>
          <w:p w14:paraId="4F9F8181">
            <w:pPr>
              <w:adjustRightInd w:val="0"/>
              <w:snapToGrid w:val="0"/>
              <w:jc w:val="center"/>
              <w:rPr>
                <w:sz w:val="24"/>
              </w:rPr>
            </w:pPr>
            <w:r>
              <w:rPr>
                <w:sz w:val="24"/>
              </w:rPr>
              <w:t>是否开工建设</w:t>
            </w:r>
          </w:p>
        </w:tc>
        <w:tc>
          <w:tcPr>
            <w:tcW w:w="2093" w:type="dxa"/>
            <w:vAlign w:val="center"/>
          </w:tcPr>
          <w:p w14:paraId="17DDED32">
            <w:pPr>
              <w:adjustRightInd w:val="0"/>
              <w:snapToGrid w:val="0"/>
              <w:rPr>
                <w:sz w:val="24"/>
              </w:rPr>
            </w:pPr>
            <w:r>
              <w:rPr>
                <w:rFonts w:ascii="Segoe UI Symbol" w:hAnsi="Segoe UI Symbol" w:cs="Segoe UI Symbol"/>
                <w:sz w:val="24"/>
              </w:rPr>
              <w:t>☑</w:t>
            </w:r>
            <w:r>
              <w:rPr>
                <w:sz w:val="24"/>
              </w:rPr>
              <w:t>否</w:t>
            </w:r>
          </w:p>
          <w:p w14:paraId="32742E43">
            <w:pPr>
              <w:adjustRightInd w:val="0"/>
              <w:snapToGrid w:val="0"/>
              <w:rPr>
                <w:sz w:val="24"/>
              </w:rPr>
            </w:pPr>
            <w:r>
              <w:rPr>
                <w:rFonts w:hint="eastAsia"/>
                <w:sz w:val="24"/>
                <w:lang w:eastAsia="zh-CN"/>
              </w:rPr>
              <w:t>（</w:t>
            </w:r>
            <w:r>
              <w:rPr>
                <w:sz w:val="24"/>
              </w:rPr>
              <w:t>是：</w:t>
            </w:r>
            <w:r>
              <w:rPr>
                <w:sz w:val="24"/>
                <w:u w:val="single"/>
              </w:rPr>
              <w:t xml:space="preserve">             </w:t>
            </w:r>
          </w:p>
        </w:tc>
        <w:tc>
          <w:tcPr>
            <w:tcW w:w="1702" w:type="dxa"/>
            <w:tcMar>
              <w:top w:w="16" w:type="dxa"/>
              <w:left w:w="16" w:type="dxa"/>
              <w:right w:w="16" w:type="dxa"/>
            </w:tcMar>
            <w:vAlign w:val="center"/>
          </w:tcPr>
          <w:p w14:paraId="0AA22646">
            <w:pPr>
              <w:adjustRightInd w:val="0"/>
              <w:snapToGrid w:val="0"/>
              <w:jc w:val="center"/>
              <w:rPr>
                <w:spacing w:val="-6"/>
                <w:sz w:val="24"/>
              </w:rPr>
            </w:pPr>
            <w:r>
              <w:rPr>
                <w:spacing w:val="-6"/>
                <w:sz w:val="24"/>
              </w:rPr>
              <w:t>用地（用海）</w:t>
            </w:r>
          </w:p>
          <w:p w14:paraId="72A8152C">
            <w:pPr>
              <w:adjustRightInd w:val="0"/>
              <w:snapToGrid w:val="0"/>
              <w:jc w:val="center"/>
              <w:rPr>
                <w:sz w:val="24"/>
              </w:rPr>
            </w:pPr>
            <w:r>
              <w:rPr>
                <w:spacing w:val="-6"/>
                <w:sz w:val="24"/>
              </w:rPr>
              <w:t>面积（m</w:t>
            </w:r>
            <w:r>
              <w:rPr>
                <w:spacing w:val="-6"/>
                <w:sz w:val="24"/>
                <w:vertAlign w:val="superscript"/>
              </w:rPr>
              <w:t>2</w:t>
            </w:r>
            <w:r>
              <w:rPr>
                <w:spacing w:val="-6"/>
                <w:sz w:val="24"/>
              </w:rPr>
              <w:t>）</w:t>
            </w:r>
          </w:p>
        </w:tc>
        <w:tc>
          <w:tcPr>
            <w:tcW w:w="3486" w:type="dxa"/>
            <w:vAlign w:val="center"/>
          </w:tcPr>
          <w:p w14:paraId="46D95EDA">
            <w:pPr>
              <w:pStyle w:val="512"/>
              <w:ind w:firstLine="1320" w:firstLineChars="550"/>
            </w:pPr>
            <w:r>
              <w:rPr>
                <w:rFonts w:hint="eastAsia"/>
                <w:szCs w:val="21"/>
                <w:lang w:val="en-US" w:eastAsia="zh-CN"/>
              </w:rPr>
              <w:t>176.22m</w:t>
            </w:r>
            <w:r>
              <w:rPr>
                <w:rFonts w:hint="eastAsia"/>
                <w:szCs w:val="21"/>
                <w:vertAlign w:val="superscript"/>
                <w:lang w:val="en-US" w:eastAsia="zh-CN"/>
              </w:rPr>
              <w:t>2</w:t>
            </w:r>
          </w:p>
        </w:tc>
      </w:tr>
      <w:tr w14:paraId="2B26762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038" w:type="dxa"/>
            <w:vAlign w:val="center"/>
          </w:tcPr>
          <w:p w14:paraId="35CD0976">
            <w:pPr>
              <w:autoSpaceDE w:val="0"/>
              <w:autoSpaceDN w:val="0"/>
              <w:adjustRightInd w:val="0"/>
              <w:snapToGrid w:val="0"/>
              <w:jc w:val="center"/>
              <w:rPr>
                <w:kern w:val="0"/>
                <w:sz w:val="24"/>
              </w:rPr>
            </w:pPr>
            <w:r>
              <w:rPr>
                <w:kern w:val="0"/>
                <w:sz w:val="24"/>
              </w:rPr>
              <w:t>专项评价设置情况</w:t>
            </w:r>
          </w:p>
        </w:tc>
        <w:tc>
          <w:tcPr>
            <w:tcW w:w="7281" w:type="dxa"/>
            <w:gridSpan w:val="3"/>
            <w:vAlign w:val="center"/>
          </w:tcPr>
          <w:p w14:paraId="1DB3D510">
            <w:pPr>
              <w:pStyle w:val="512"/>
              <w:bidi w:val="0"/>
              <w:ind w:left="0" w:leftChars="0" w:firstLine="0" w:firstLineChars="0"/>
              <w:jc w:val="center"/>
            </w:pPr>
            <w:r>
              <w:rPr>
                <w:rFonts w:hint="eastAsia"/>
                <w:lang w:eastAsia="zh-CN"/>
              </w:rPr>
              <w:t>因本项目有毒有害和易燃易爆危险物资存储量超过临界量，设置环境风险专项评价。</w:t>
            </w:r>
          </w:p>
        </w:tc>
      </w:tr>
      <w:tr w14:paraId="48C3C1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038" w:type="dxa"/>
            <w:vAlign w:val="center"/>
          </w:tcPr>
          <w:p w14:paraId="55E26177">
            <w:pPr>
              <w:autoSpaceDE w:val="0"/>
              <w:autoSpaceDN w:val="0"/>
              <w:adjustRightInd w:val="0"/>
              <w:snapToGrid w:val="0"/>
              <w:jc w:val="center"/>
              <w:rPr>
                <w:kern w:val="0"/>
                <w:sz w:val="24"/>
              </w:rPr>
            </w:pPr>
            <w:r>
              <w:rPr>
                <w:sz w:val="24"/>
              </w:rPr>
              <w:t>规划情况</w:t>
            </w:r>
          </w:p>
        </w:tc>
        <w:tc>
          <w:tcPr>
            <w:tcW w:w="7281" w:type="dxa"/>
            <w:gridSpan w:val="3"/>
            <w:vAlign w:val="center"/>
          </w:tcPr>
          <w:p w14:paraId="7C87B8B4">
            <w:pPr>
              <w:pStyle w:val="512"/>
              <w:keepNext w:val="0"/>
              <w:keepLines w:val="0"/>
              <w:pageBreakBefore w:val="0"/>
              <w:widowControl w:val="0"/>
              <w:kinsoku/>
              <w:wordWrap/>
              <w:overflowPunct/>
              <w:topLinePunct w:val="0"/>
              <w:autoSpaceDE/>
              <w:autoSpaceDN/>
              <w:bidi w:val="0"/>
              <w:adjustRightInd/>
              <w:snapToGrid/>
              <w:ind w:firstLine="0" w:firstLineChars="0"/>
              <w:textAlignment w:val="auto"/>
            </w:pPr>
            <w:r>
              <w:rPr>
                <w:rFonts w:hint="eastAsia"/>
              </w:rPr>
              <w:t>规划名称：《中华药港产业发展规划》</w:t>
            </w:r>
          </w:p>
          <w:p w14:paraId="68ED6AA8">
            <w:pPr>
              <w:pStyle w:val="512"/>
              <w:keepNext w:val="0"/>
              <w:keepLines w:val="0"/>
              <w:pageBreakBefore w:val="0"/>
              <w:widowControl w:val="0"/>
              <w:kinsoku/>
              <w:wordWrap/>
              <w:overflowPunct/>
              <w:topLinePunct w:val="0"/>
              <w:autoSpaceDE/>
              <w:autoSpaceDN/>
              <w:bidi w:val="0"/>
              <w:adjustRightInd/>
              <w:snapToGrid/>
              <w:ind w:firstLine="0" w:firstLineChars="0"/>
              <w:textAlignment w:val="auto"/>
            </w:pPr>
            <w:r>
              <w:rPr>
                <w:rFonts w:hint="eastAsia"/>
              </w:rPr>
              <w:t>审批机关</w:t>
            </w:r>
            <w:r>
              <w:t>/</w:t>
            </w:r>
            <w:r>
              <w:rPr>
                <w:rFonts w:hint="eastAsia"/>
              </w:rPr>
              <w:t>审批文件名称及文号：连开委</w:t>
            </w:r>
            <w:r>
              <w:rPr>
                <w:rFonts w:hint="eastAsia"/>
                <w:lang w:eastAsia="zh-CN"/>
              </w:rPr>
              <w:t>[</w:t>
            </w:r>
            <w:r>
              <w:t>2020</w:t>
            </w:r>
            <w:r>
              <w:rPr>
                <w:rFonts w:hint="eastAsia"/>
                <w:lang w:eastAsia="zh-CN"/>
              </w:rPr>
              <w:t>]</w:t>
            </w:r>
            <w:r>
              <w:t>115</w:t>
            </w:r>
            <w:r>
              <w:rPr>
                <w:rFonts w:hint="eastAsia"/>
              </w:rPr>
              <w:t>号</w:t>
            </w:r>
          </w:p>
          <w:p w14:paraId="1D6C25D1">
            <w:pPr>
              <w:pStyle w:val="512"/>
              <w:keepNext w:val="0"/>
              <w:keepLines w:val="0"/>
              <w:pageBreakBefore w:val="0"/>
              <w:widowControl w:val="0"/>
              <w:kinsoku/>
              <w:wordWrap/>
              <w:overflowPunct/>
              <w:topLinePunct w:val="0"/>
              <w:autoSpaceDE/>
              <w:autoSpaceDN/>
              <w:bidi w:val="0"/>
              <w:adjustRightInd/>
              <w:snapToGrid/>
              <w:ind w:firstLine="0" w:firstLineChars="0"/>
              <w:textAlignment w:val="auto"/>
            </w:pPr>
            <w:r>
              <w:rPr>
                <w:rFonts w:hint="eastAsia"/>
              </w:rPr>
              <w:t>规划名称：《连云港经济技术开发区东方大道以南片区（</w:t>
            </w:r>
            <w:r>
              <w:t>KF-13</w:t>
            </w:r>
            <w:r>
              <w:rPr>
                <w:rFonts w:hint="eastAsia"/>
              </w:rPr>
              <w:t>、</w:t>
            </w:r>
            <w:r>
              <w:t>14</w:t>
            </w:r>
            <w:r>
              <w:rPr>
                <w:rFonts w:hint="eastAsia"/>
              </w:rPr>
              <w:t>）控制性详细规划》</w:t>
            </w:r>
          </w:p>
          <w:p w14:paraId="508FC0E9">
            <w:pPr>
              <w:pStyle w:val="512"/>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rPr>
            </w:pPr>
            <w:r>
              <w:rPr>
                <w:rFonts w:hint="eastAsia"/>
              </w:rPr>
              <w:t>审批机关</w:t>
            </w:r>
            <w:r>
              <w:t>/</w:t>
            </w:r>
            <w:r>
              <w:rPr>
                <w:rFonts w:hint="eastAsia"/>
              </w:rPr>
              <w:t>审批文件名称及文号：连政复</w:t>
            </w:r>
            <w:r>
              <w:rPr>
                <w:rFonts w:hint="eastAsia"/>
                <w:lang w:eastAsia="zh-CN"/>
              </w:rPr>
              <w:t>[</w:t>
            </w:r>
            <w:r>
              <w:t>2020</w:t>
            </w:r>
            <w:r>
              <w:rPr>
                <w:rFonts w:hint="eastAsia"/>
                <w:lang w:eastAsia="zh-CN"/>
              </w:rPr>
              <w:t>]</w:t>
            </w:r>
            <w:r>
              <w:t>22</w:t>
            </w:r>
            <w:r>
              <w:rPr>
                <w:rFonts w:hint="eastAsia"/>
              </w:rPr>
              <w:t>号</w:t>
            </w:r>
          </w:p>
          <w:p w14:paraId="72533E29">
            <w:pPr>
              <w:pStyle w:val="512"/>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rPr>
            </w:pPr>
            <w:r>
              <w:rPr>
                <w:rFonts w:hint="eastAsia"/>
              </w:rPr>
              <w:t>规划名称：</w:t>
            </w:r>
            <w:r>
              <w:t>《连云港经济技术开发区（大浦片区、临港产业区西北片区、江宁工业城</w:t>
            </w:r>
            <w:r>
              <w:rPr>
                <w:rFonts w:hint="eastAsia"/>
              </w:rPr>
              <w:t>、一带一路国际物流园</w:t>
            </w:r>
            <w:r>
              <w:t>）产业发展规划》</w:t>
            </w:r>
          </w:p>
        </w:tc>
      </w:tr>
      <w:tr w14:paraId="0E57699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05" w:hRule="atLeast"/>
          <w:jc w:val="center"/>
        </w:trPr>
        <w:tc>
          <w:tcPr>
            <w:tcW w:w="1038" w:type="dxa"/>
            <w:vAlign w:val="center"/>
          </w:tcPr>
          <w:p w14:paraId="253A3584">
            <w:pPr>
              <w:adjustRightInd w:val="0"/>
              <w:snapToGrid w:val="0"/>
              <w:jc w:val="center"/>
              <w:rPr>
                <w:sz w:val="24"/>
              </w:rPr>
            </w:pPr>
            <w:r>
              <w:rPr>
                <w:sz w:val="24"/>
              </w:rPr>
              <w:t>规划环境影响评价情况</w:t>
            </w:r>
          </w:p>
        </w:tc>
        <w:tc>
          <w:tcPr>
            <w:tcW w:w="7281" w:type="dxa"/>
            <w:gridSpan w:val="3"/>
            <w:vAlign w:val="center"/>
          </w:tcPr>
          <w:p w14:paraId="5FB1DC68">
            <w:pPr>
              <w:pStyle w:val="512"/>
              <w:bidi w:val="0"/>
            </w:pPr>
            <w:r>
              <w:t>2017</w:t>
            </w:r>
            <w:r>
              <w:rPr>
                <w:rFonts w:hint="eastAsia"/>
              </w:rPr>
              <w:t>年，连云港经济技术开发区管理委员会委托江苏绿源工程设计研究有限公司编制《连云港经济技术开发区（大浦片区、临港产业区西北片区、江宁工业城）产业发展规划》环境影响报告书，产业发展规划环境影响评价工作已基本完成，目前处于报批阶段。</w:t>
            </w:r>
          </w:p>
        </w:tc>
      </w:tr>
      <w:tr w14:paraId="4C24CC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038" w:type="dxa"/>
            <w:vAlign w:val="center"/>
          </w:tcPr>
          <w:p w14:paraId="6908A01F">
            <w:pPr>
              <w:autoSpaceDE w:val="0"/>
              <w:autoSpaceDN w:val="0"/>
              <w:adjustRightInd w:val="0"/>
              <w:snapToGrid w:val="0"/>
              <w:jc w:val="center"/>
              <w:rPr>
                <w:kern w:val="0"/>
                <w:sz w:val="24"/>
              </w:rPr>
            </w:pPr>
            <w:r>
              <w:rPr>
                <w:kern w:val="0"/>
                <w:sz w:val="24"/>
              </w:rPr>
              <w:t>规划及规划环境影响评价符合性分析</w:t>
            </w:r>
          </w:p>
        </w:tc>
        <w:tc>
          <w:tcPr>
            <w:tcW w:w="7281" w:type="dxa"/>
            <w:gridSpan w:val="3"/>
            <w:vAlign w:val="center"/>
          </w:tcPr>
          <w:p w14:paraId="53202CC3">
            <w:pPr>
              <w:pStyle w:val="512"/>
              <w:bidi w:val="0"/>
            </w:pPr>
            <w:r>
              <w:t>1</w:t>
            </w:r>
            <w:r>
              <w:rPr>
                <w:rFonts w:hint="eastAsia"/>
              </w:rPr>
              <w:t>、产业定位相符性分析</w:t>
            </w:r>
          </w:p>
          <w:p w14:paraId="3D587C97">
            <w:pPr>
              <w:pStyle w:val="512"/>
              <w:bidi w:val="0"/>
              <w:rPr>
                <w:rFonts w:hint="eastAsia"/>
              </w:rPr>
            </w:pPr>
            <w:r>
              <w:rPr>
                <w:rFonts w:hint="eastAsia"/>
              </w:rPr>
              <w:t>根据《连云港经济技术开发区（大浦片区、临港产业区西北片区、江宁工业城）产业发展规划》，</w:t>
            </w:r>
            <w:r>
              <w:t>临港产业区西北片区包括</w:t>
            </w:r>
            <w:r>
              <w:rPr>
                <w:rFonts w:hint="eastAsia"/>
              </w:rPr>
              <w:t>生物医药产业园西园（中华药港西园）、中华药港核心区、新能源产业园、新材料产业园、新业态产业园和高端装备制备产业园等。</w:t>
            </w:r>
          </w:p>
          <w:p w14:paraId="388DD88C">
            <w:pPr>
              <w:pStyle w:val="512"/>
              <w:bidi w:val="0"/>
              <w:rPr>
                <w:rFonts w:hint="eastAsia"/>
              </w:rPr>
            </w:pPr>
            <w:r>
              <w:rPr>
                <w:rFonts w:hint="eastAsia"/>
                <w:lang w:eastAsia="zh-CN"/>
              </w:rPr>
              <w:t>本项目位于中华药港。</w:t>
            </w:r>
            <w:r>
              <w:rPr>
                <w:rFonts w:hint="eastAsia"/>
              </w:rPr>
              <w:t>生物医药产业园</w:t>
            </w:r>
            <w:r>
              <w:t>西园</w:t>
            </w:r>
            <w:r>
              <w:rPr>
                <w:rFonts w:hint="eastAsia"/>
              </w:rPr>
              <w:t>重点发展生物药、化学药、原料药、医疗器械、特医食品、药用辅料和制药装备产业</w:t>
            </w:r>
            <w:r>
              <w:t>。</w:t>
            </w:r>
            <w:r>
              <w:rPr>
                <w:rFonts w:hint="eastAsia"/>
              </w:rPr>
              <w:t>中华药港核心区重点布局商务办公、展示交易、研发孵化、技术与服务外包、生产制造、精准医疗、物流配送、生活配套等功能，聚焦高端化学药、生物药、现代中药、高端医疗器械、特医食品以及医药服务。</w:t>
            </w:r>
          </w:p>
          <w:p w14:paraId="0051DF89">
            <w:pPr>
              <w:pStyle w:val="512"/>
              <w:bidi w:val="0"/>
            </w:pPr>
            <w:r>
              <w:t>本项目</w:t>
            </w:r>
            <w:r>
              <w:rPr>
                <w:rFonts w:hint="eastAsia"/>
                <w:lang w:eastAsia="zh-CN"/>
              </w:rPr>
              <w:t>对中华药港园区内企业和连云港市小微企业</w:t>
            </w:r>
            <w:r>
              <w:rPr>
                <w:rFonts w:hint="eastAsia"/>
                <w:lang w:val="en-US" w:eastAsia="zh-CN"/>
              </w:rPr>
              <w:t>以及</w:t>
            </w:r>
            <w:r>
              <w:rPr>
                <w:color w:val="000000"/>
                <w:kern w:val="0"/>
              </w:rPr>
              <w:t>科研院所、高等学校、各类检测机构、机动车维修机构、加油站等</w:t>
            </w:r>
            <w:r>
              <w:rPr>
                <w:rFonts w:hint="eastAsia"/>
                <w:lang w:eastAsia="zh-CN"/>
              </w:rPr>
              <w:t>产生的危险废物进行集中收集、贮存和委托处置，使危废管理更加规范化、合规化，消除危废贮存安全环境风险。本项目属于生态保护和环境治理业行业，属于中华药港配套设施项目</w:t>
            </w:r>
            <w:r>
              <w:t>，符合</w:t>
            </w:r>
            <w:r>
              <w:rPr>
                <w:rFonts w:hint="eastAsia"/>
                <w:lang w:eastAsia="zh-CN"/>
              </w:rPr>
              <w:t>园区定位</w:t>
            </w:r>
            <w:r>
              <w:t>。</w:t>
            </w:r>
          </w:p>
        </w:tc>
      </w:tr>
      <w:tr w14:paraId="057AF2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038" w:type="dxa"/>
            <w:vAlign w:val="center"/>
          </w:tcPr>
          <w:p w14:paraId="3A0F9111">
            <w:pPr>
              <w:autoSpaceDE w:val="0"/>
              <w:autoSpaceDN w:val="0"/>
              <w:adjustRightInd w:val="0"/>
              <w:snapToGrid w:val="0"/>
              <w:jc w:val="center"/>
              <w:rPr>
                <w:kern w:val="0"/>
                <w:sz w:val="24"/>
              </w:rPr>
            </w:pPr>
            <w:r>
              <w:rPr>
                <w:kern w:val="0"/>
                <w:sz w:val="24"/>
              </w:rPr>
              <w:t>其他符合性分析</w:t>
            </w:r>
          </w:p>
        </w:tc>
        <w:tc>
          <w:tcPr>
            <w:tcW w:w="7281" w:type="dxa"/>
            <w:gridSpan w:val="3"/>
            <w:vAlign w:val="center"/>
          </w:tcPr>
          <w:p w14:paraId="76C3A105">
            <w:pPr>
              <w:pStyle w:val="512"/>
              <w:bidi w:val="0"/>
            </w:pPr>
            <w:r>
              <w:rPr>
                <w:rFonts w:hint="eastAsia"/>
              </w:rPr>
              <w:t>1、产业政策相符性</w:t>
            </w:r>
          </w:p>
          <w:p w14:paraId="3BBCD5FE">
            <w:pPr>
              <w:pStyle w:val="512"/>
              <w:bidi w:val="0"/>
              <w:rPr>
                <w:rFonts w:hint="eastAsia"/>
              </w:rPr>
            </w:pPr>
            <w:r>
              <w:rPr>
                <w:rFonts w:hint="eastAsia"/>
                <w:lang w:eastAsia="zh-CN"/>
              </w:rPr>
              <w:t>本项目为危险废物仓储项目，</w:t>
            </w:r>
            <w:r>
              <w:t>对照国家《产业结构调整指导目录（</w:t>
            </w:r>
            <w:r>
              <w:rPr>
                <w:rFonts w:hint="eastAsia"/>
                <w:lang w:val="en-US" w:eastAsia="zh-CN"/>
              </w:rPr>
              <w:t>2024</w:t>
            </w:r>
            <w:r>
              <w:t>年）》，本项目</w:t>
            </w:r>
            <w:r>
              <w:rPr>
                <w:rFonts w:hint="eastAsia"/>
                <w:lang w:eastAsia="zh-CN"/>
              </w:rPr>
              <w:t>不属于其中的限制及淘汰类，属于允许类</w:t>
            </w:r>
            <w:r>
              <w:rPr>
                <w:rFonts w:hint="eastAsia"/>
              </w:rPr>
              <w:t>，符合我国的产业政策。</w:t>
            </w:r>
          </w:p>
          <w:p w14:paraId="735DBEF9">
            <w:pPr>
              <w:pStyle w:val="512"/>
              <w:bidi w:val="0"/>
              <w:rPr>
                <w:rFonts w:hint="eastAsia" w:eastAsia="宋体"/>
                <w:lang w:eastAsia="zh-CN"/>
              </w:rPr>
            </w:pPr>
            <w:r>
              <w:t>项目已取得</w:t>
            </w:r>
            <w:r>
              <w:rPr>
                <w:rFonts w:hint="eastAsia"/>
              </w:rPr>
              <w:t>连云港经济技术开发区行政审批局备案</w:t>
            </w:r>
            <w:r>
              <w:t>，项目代码为：</w:t>
            </w:r>
            <w:r>
              <w:rPr>
                <w:rFonts w:hint="eastAsia"/>
              </w:rPr>
              <w:t>2409-320771-89-01-486323</w:t>
            </w:r>
            <w:r>
              <w:rPr>
                <w:rFonts w:hint="eastAsia"/>
                <w:lang w:eastAsia="zh-CN"/>
              </w:rPr>
              <w:t>。</w:t>
            </w:r>
          </w:p>
          <w:p w14:paraId="4E6D6CFF">
            <w:pPr>
              <w:pStyle w:val="512"/>
              <w:bidi w:val="0"/>
            </w:pPr>
            <w:r>
              <w:rPr>
                <w:rFonts w:hint="eastAsia"/>
              </w:rPr>
              <w:t>2、</w:t>
            </w:r>
            <w:r>
              <w:rPr>
                <w:rFonts w:hint="eastAsia"/>
                <w:lang w:eastAsia="zh-CN"/>
              </w:rPr>
              <w:t>用地政策相符性</w:t>
            </w:r>
            <w:r>
              <w:rPr>
                <w:rFonts w:hint="eastAsia"/>
              </w:rPr>
              <w:t>分析</w:t>
            </w:r>
          </w:p>
          <w:p w14:paraId="4A06F85A">
            <w:pPr>
              <w:pStyle w:val="512"/>
              <w:bidi w:val="0"/>
            </w:pPr>
            <w:r>
              <w:rPr>
                <w:rFonts w:hint="eastAsia"/>
              </w:rPr>
              <w:t>本项目用地不在《限制用地项目目录（2012年本）》、《禁止用地项目目录（2012年本）》和《江苏省限制用地项目目录（2013年本）》、《江苏省禁止用地项目目录（2013年本）》等中的“限制用地项目”和“禁止用地项目”名录内。</w:t>
            </w:r>
          </w:p>
          <w:p w14:paraId="370673E8">
            <w:pPr>
              <w:pStyle w:val="512"/>
              <w:bidi w:val="0"/>
              <w:rPr>
                <w:rFonts w:hint="eastAsia"/>
                <w:lang w:eastAsia="zh-CN"/>
              </w:rPr>
            </w:pPr>
            <w:r>
              <w:rPr>
                <w:rFonts w:hint="eastAsia"/>
              </w:rPr>
              <w:t>项目位于江苏省连云港市连云港经济技术开发区花果山大道中华药港，属于工业用地，与上述产业发展规划中土地利用规划相符</w:t>
            </w:r>
            <w:r>
              <w:rPr>
                <w:rFonts w:hint="eastAsia"/>
                <w:lang w:eastAsia="zh-CN"/>
              </w:rPr>
              <w:t>。</w:t>
            </w:r>
          </w:p>
          <w:p w14:paraId="4C30A6AC">
            <w:pPr>
              <w:pStyle w:val="512"/>
              <w:bidi w:val="0"/>
              <w:rPr>
                <w:rFonts w:hint="eastAsia"/>
                <w:lang w:eastAsia="zh-CN"/>
              </w:rPr>
            </w:pPr>
            <w:r>
              <w:rPr>
                <w:rFonts w:hint="eastAsia"/>
              </w:rPr>
              <w:t>终上所述，本项目符合相关用地政策要求。</w:t>
            </w:r>
          </w:p>
          <w:p w14:paraId="4791FA5C">
            <w:pPr>
              <w:pStyle w:val="512"/>
              <w:numPr>
                <w:ilvl w:val="0"/>
                <w:numId w:val="7"/>
              </w:numPr>
              <w:rPr>
                <w:rFonts w:hint="eastAsia"/>
                <w:lang w:eastAsia="zh-CN"/>
              </w:rPr>
            </w:pPr>
            <w:r>
              <w:rPr>
                <w:rFonts w:hint="eastAsia"/>
                <w:lang w:eastAsia="zh-CN"/>
              </w:rPr>
              <w:t>与《连云港市国土空间总体规划（</w:t>
            </w:r>
            <w:r>
              <w:rPr>
                <w:rFonts w:hint="eastAsia"/>
                <w:lang w:val="en-US" w:eastAsia="zh-CN"/>
              </w:rPr>
              <w:t>2021-2035年</w:t>
            </w:r>
            <w:r>
              <w:rPr>
                <w:rFonts w:hint="eastAsia"/>
                <w:lang w:eastAsia="zh-CN"/>
              </w:rPr>
              <w:t>）》相符性分析</w:t>
            </w:r>
          </w:p>
          <w:p w14:paraId="79C3E639">
            <w:pPr>
              <w:pStyle w:val="512"/>
              <w:bidi w:val="0"/>
              <w:rPr>
                <w:rFonts w:hint="eastAsia"/>
                <w:lang w:val="en-US" w:eastAsia="zh-CN"/>
              </w:rPr>
            </w:pPr>
            <w:r>
              <w:rPr>
                <w:rFonts w:hint="eastAsia"/>
                <w:lang w:val="en-US" w:eastAsia="zh-CN"/>
              </w:rPr>
              <w:t>根据</w:t>
            </w:r>
            <w:r>
              <w:rPr>
                <w:rFonts w:hint="eastAsia"/>
                <w:lang w:eastAsia="zh-CN"/>
              </w:rPr>
              <w:t>《连云港市国土空间总体规划（</w:t>
            </w:r>
            <w:r>
              <w:rPr>
                <w:rFonts w:hint="eastAsia"/>
                <w:lang w:val="en-US" w:eastAsia="zh-CN"/>
              </w:rPr>
              <w:t>2021-2035年</w:t>
            </w:r>
            <w:r>
              <w:rPr>
                <w:rFonts w:hint="eastAsia"/>
                <w:lang w:eastAsia="zh-CN"/>
              </w:rPr>
              <w:t>）》：以资源环境承载能力和国土空间开发适宜性为基础，结合省级、市级国土空间的资源保护和生态修复、优化空间结构和布局、促进自然资源的节约集约利用为目的，合理配置空间资源，将全市国土空间划分为生态保护红线区、生态控制区、永久基本农田保护区、城镇发展区、乡村发展区、海洋发展区，并配套实行分区管制制度进行差异化管理。城镇发展区：划定城镇发展区。将城镇开发边界划定为城镇发展区，包括居住生活区、综合服务区、商业商务区、工业发展区、物流仓储区、绿地休闲区、交通枢纽区、战略预留区和城镇弹性发展区。城镇发展区外原则上不得进行城镇集中建设，以防止城镇蔓延、无序扩张和低效开发。</w:t>
            </w:r>
          </w:p>
          <w:p w14:paraId="2313ACF2">
            <w:pPr>
              <w:pStyle w:val="512"/>
              <w:bidi w:val="0"/>
              <w:rPr>
                <w:rFonts w:hint="eastAsia"/>
                <w:lang w:eastAsia="zh-CN"/>
              </w:rPr>
            </w:pPr>
            <w:r>
              <w:rPr>
                <w:rFonts w:hint="eastAsia"/>
                <w:lang w:val="en-US" w:eastAsia="zh-CN"/>
              </w:rPr>
              <w:t>根据《连云港市国土空间总体规划（2021-2035年）》中市域国土空间控制线规划图，本项目位置位于城镇发展区范围内，且不涉及生态保护红线、生态控制区、永久基本农田保护区，且项目所涉区域未涉及自然保护区、风景名胜区、森林公园等环境敏感区域。</w:t>
            </w:r>
          </w:p>
          <w:p w14:paraId="5C0AA902">
            <w:pPr>
              <w:pStyle w:val="512"/>
            </w:pPr>
            <w:r>
              <w:rPr>
                <w:rFonts w:hint="eastAsia"/>
                <w:lang w:val="en-US" w:eastAsia="zh-CN"/>
              </w:rPr>
              <w:t>4、</w:t>
            </w:r>
            <w:r>
              <w:rPr>
                <w:rFonts w:hint="eastAsia"/>
              </w:rPr>
              <w:t>“三线一单”相符性分析</w:t>
            </w:r>
          </w:p>
          <w:p w14:paraId="6A6FC3C4">
            <w:pPr>
              <w:pStyle w:val="512"/>
              <w:bidi w:val="0"/>
            </w:pPr>
            <w:r>
              <w:rPr>
                <w:rFonts w:hint="eastAsia"/>
              </w:rPr>
              <w:t>（1）</w:t>
            </w:r>
            <w:r>
              <w:t>与生态红线及生态红线管控区相符性分析</w:t>
            </w:r>
          </w:p>
          <w:p w14:paraId="2AFF8564">
            <w:pPr>
              <w:pStyle w:val="512"/>
              <w:bidi w:val="0"/>
            </w:pPr>
            <w:r>
              <w:rPr>
                <w:rFonts w:hint="eastAsia"/>
                <w:lang w:eastAsia="zh-CN"/>
              </w:rPr>
              <w:t>根据《</w:t>
            </w:r>
            <w:r>
              <w:t>江苏省国家级生态保护红线规划》（苏政发[2018]74号）</w:t>
            </w:r>
            <w:r>
              <w:rPr>
                <w:rFonts w:hint="eastAsia"/>
                <w:lang w:eastAsia="zh-CN"/>
              </w:rPr>
              <w:t>、</w:t>
            </w:r>
            <w:r>
              <w:rPr>
                <w:rFonts w:hint="eastAsia"/>
              </w:rPr>
              <w:t>《江苏省生态空间管控区域规划》（苏政发[</w:t>
            </w:r>
            <w:r>
              <w:t>2020]1</w:t>
            </w:r>
            <w:r>
              <w:rPr>
                <w:rFonts w:hint="eastAsia"/>
              </w:rPr>
              <w:t>号）</w:t>
            </w:r>
            <w:r>
              <w:rPr>
                <w:rFonts w:hint="eastAsia"/>
                <w:lang w:eastAsia="zh-CN"/>
              </w:rPr>
              <w:t>和</w:t>
            </w:r>
            <w:r>
              <w:t>《省政府</w:t>
            </w:r>
            <w:r>
              <w:rPr>
                <w:rFonts w:ascii="Times New Roman" w:eastAsia="宋体"/>
                <w:bCs/>
              </w:rPr>
              <w:t>办公厅关于印发&lt;江苏省生态空间管控区域调整管理办法&gt;的通知》（苏政办发[2021]3号），本项目距离最近的生态空间管控区域为临洪河重要湿地，距离约1.</w:t>
            </w:r>
            <w:r>
              <w:rPr>
                <w:rFonts w:hint="eastAsia"/>
                <w:bCs/>
                <w:lang w:val="en-US" w:eastAsia="zh-CN"/>
              </w:rPr>
              <w:t>644</w:t>
            </w:r>
            <w:r>
              <w:rPr>
                <w:rFonts w:ascii="Times New Roman" w:eastAsia="宋体"/>
                <w:bCs/>
              </w:rPr>
              <w:t>km</w:t>
            </w:r>
            <w:r>
              <w:rPr>
                <w:rFonts w:hint="eastAsia" w:ascii="Times New Roman" w:eastAsia="宋体"/>
                <w:bCs/>
              </w:rPr>
              <w:t>，</w:t>
            </w:r>
            <w:r>
              <w:rPr>
                <w:rFonts w:ascii="Times New Roman" w:eastAsia="宋体"/>
                <w:bCs/>
              </w:rPr>
              <w:t>本项目距离最近的国家级生态保护红线范围为连云港临洪河口省级湿地公园，距离约</w:t>
            </w:r>
            <w:r>
              <w:rPr>
                <w:rFonts w:hint="eastAsia"/>
                <w:bCs/>
                <w:lang w:val="en-US" w:eastAsia="zh-CN"/>
              </w:rPr>
              <w:t>1.778</w:t>
            </w:r>
            <w:r>
              <w:rPr>
                <w:rFonts w:ascii="Times New Roman" w:eastAsia="宋体"/>
                <w:bCs/>
              </w:rPr>
              <w:t>km。因此本项目不在</w:t>
            </w:r>
            <w:r>
              <w:rPr>
                <w:rFonts w:hint="eastAsia" w:ascii="Times New Roman" w:eastAsia="宋体"/>
                <w:bCs/>
              </w:rPr>
              <w:t>生态空间管控区、</w:t>
            </w:r>
            <w:r>
              <w:rPr>
                <w:rFonts w:ascii="Times New Roman" w:eastAsia="宋体"/>
                <w:bCs/>
              </w:rPr>
              <w:t>国家级生态保护红线范围</w:t>
            </w:r>
            <w:r>
              <w:rPr>
                <w:rFonts w:hint="eastAsia" w:ascii="Times New Roman" w:eastAsia="宋体"/>
                <w:bCs/>
              </w:rPr>
              <w:t>内</w:t>
            </w:r>
            <w:r>
              <w:rPr>
                <w:rFonts w:ascii="Times New Roman" w:eastAsia="宋体"/>
                <w:bCs/>
              </w:rPr>
              <w:t>，并且建设项目不会对附近</w:t>
            </w:r>
            <w:r>
              <w:rPr>
                <w:rFonts w:hint="eastAsia" w:ascii="Times New Roman" w:eastAsia="宋体"/>
                <w:bCs/>
              </w:rPr>
              <w:t>生态空间管控区</w:t>
            </w:r>
            <w:r>
              <w:rPr>
                <w:rFonts w:ascii="Times New Roman" w:eastAsia="宋体"/>
                <w:bCs/>
              </w:rPr>
              <w:t>造成影响，符合《江苏省国家级生态保护红线规划》（苏政发[2018]74号文）</w:t>
            </w:r>
            <w:r>
              <w:rPr>
                <w:rFonts w:hint="eastAsia" w:ascii="Times New Roman" w:eastAsia="宋体"/>
                <w:bCs/>
              </w:rPr>
              <w:t>、</w:t>
            </w:r>
            <w:r>
              <w:rPr>
                <w:rFonts w:ascii="Times New Roman" w:eastAsia="宋体"/>
                <w:bCs/>
              </w:rPr>
              <w:t>《江苏省生态空间管控区域规划》（苏政发</w:t>
            </w:r>
            <w:r>
              <w:rPr>
                <w:rFonts w:hint="eastAsia"/>
                <w:bCs/>
                <w:lang w:eastAsia="zh-CN"/>
              </w:rPr>
              <w:t>[</w:t>
            </w:r>
            <w:r>
              <w:rPr>
                <w:rFonts w:ascii="Times New Roman" w:eastAsia="宋体"/>
                <w:bCs/>
              </w:rPr>
              <w:t>20</w:t>
            </w:r>
            <w:r>
              <w:t>20</w:t>
            </w:r>
            <w:r>
              <w:rPr>
                <w:rFonts w:hint="eastAsia"/>
                <w:lang w:eastAsia="zh-CN"/>
              </w:rPr>
              <w:t>]</w:t>
            </w:r>
            <w:r>
              <w:t>1号）管控要求。</w:t>
            </w:r>
          </w:p>
          <w:p w14:paraId="4BD83E17">
            <w:pPr>
              <w:pStyle w:val="512"/>
              <w:bidi w:val="0"/>
            </w:pPr>
            <w:r>
              <w:rPr>
                <w:rFonts w:hint="eastAsia"/>
              </w:rPr>
              <w:t>另外</w:t>
            </w:r>
            <w:r>
              <w:t>经对照，本项目不涉及江苏省生</w:t>
            </w:r>
            <w:r>
              <w:rPr>
                <w:rFonts w:ascii="Times New Roman" w:eastAsia="宋体"/>
                <w:bCs/>
              </w:rPr>
              <w:t>态空间管控区域，符合《省政府办公厅关于印发江苏省生态空间管控区域调整管理办法的通知》（苏政办发[2021]3</w:t>
            </w:r>
            <w:r>
              <w:t>号）中相应要求。</w:t>
            </w:r>
          </w:p>
          <w:p w14:paraId="0800039B">
            <w:pPr>
              <w:pStyle w:val="512"/>
              <w:bidi w:val="0"/>
            </w:pPr>
            <w:r>
              <w:rPr>
                <w:rFonts w:hint="eastAsia"/>
              </w:rPr>
              <w:t>周边生态空间管控区域情况见表1</w:t>
            </w:r>
            <w:r>
              <w:t>-1</w:t>
            </w:r>
            <w:r>
              <w:rPr>
                <w:rFonts w:hint="eastAsia"/>
              </w:rPr>
              <w:t>。</w:t>
            </w:r>
            <w:r>
              <w:t>江苏省国家级生态保护红线</w:t>
            </w:r>
            <w:r>
              <w:rPr>
                <w:rFonts w:hint="eastAsia"/>
              </w:rPr>
              <w:t>和</w:t>
            </w:r>
            <w:r>
              <w:t>生态空间管控区分布图见附图</w:t>
            </w:r>
            <w:r>
              <w:rPr>
                <w:rFonts w:hint="eastAsia"/>
                <w:lang w:eastAsia="zh-CN"/>
              </w:rPr>
              <w:t>二</w:t>
            </w:r>
            <w:r>
              <w:t>。</w:t>
            </w:r>
          </w:p>
          <w:p w14:paraId="1F7BB13C">
            <w:pPr>
              <w:pStyle w:val="1111"/>
              <w:bidi w:val="0"/>
              <w:rPr>
                <w:rFonts w:hint="eastAsia" w:eastAsia="宋体"/>
                <w:lang w:eastAsia="zh-CN"/>
              </w:rPr>
            </w:pPr>
            <w:r>
              <w:rPr>
                <w:rFonts w:hint="eastAsia"/>
              </w:rPr>
              <w:t>表1</w:t>
            </w:r>
            <w:r>
              <w:t xml:space="preserve">-1 </w:t>
            </w:r>
            <w:r>
              <w:rPr>
                <w:rFonts w:hint="eastAsia"/>
              </w:rPr>
              <w:t>项目</w:t>
            </w:r>
            <w:r>
              <w:rPr>
                <w:rFonts w:hint="eastAsia"/>
                <w:lang w:eastAsia="zh-CN"/>
              </w:rPr>
              <w:t>周边生态空间管控区</w:t>
            </w:r>
          </w:p>
          <w:tbl>
            <w:tblPr>
              <w:tblStyle w:val="77"/>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9"/>
              <w:gridCol w:w="717"/>
              <w:gridCol w:w="1359"/>
              <w:gridCol w:w="2576"/>
              <w:gridCol w:w="958"/>
              <w:gridCol w:w="682"/>
            </w:tblGrid>
            <w:tr w14:paraId="5BBA9E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8" w:type="pct"/>
                  <w:vMerge w:val="restart"/>
                  <w:vAlign w:val="center"/>
                </w:tcPr>
                <w:p w14:paraId="235E694D">
                  <w:pPr>
                    <w:pStyle w:val="1111"/>
                    <w:bidi w:val="0"/>
                  </w:pPr>
                  <w:r>
                    <w:rPr>
                      <w:rFonts w:hint="eastAsia"/>
                    </w:rPr>
                    <w:t>生态空间保护区域名称</w:t>
                  </w:r>
                </w:p>
              </w:tc>
              <w:tc>
                <w:tcPr>
                  <w:tcW w:w="508" w:type="pct"/>
                  <w:vMerge w:val="restart"/>
                  <w:vAlign w:val="center"/>
                </w:tcPr>
                <w:p w14:paraId="591B056D">
                  <w:pPr>
                    <w:pStyle w:val="1111"/>
                    <w:bidi w:val="0"/>
                  </w:pPr>
                  <w:r>
                    <w:rPr>
                      <w:rFonts w:hint="eastAsia"/>
                    </w:rPr>
                    <w:t>主导生态功能</w:t>
                  </w:r>
                </w:p>
              </w:tc>
              <w:tc>
                <w:tcPr>
                  <w:tcW w:w="2789" w:type="pct"/>
                  <w:gridSpan w:val="2"/>
                  <w:vAlign w:val="center"/>
                </w:tcPr>
                <w:p w14:paraId="74C79E1F">
                  <w:pPr>
                    <w:pStyle w:val="1111"/>
                    <w:bidi w:val="0"/>
                  </w:pPr>
                  <w:r>
                    <w:rPr>
                      <w:rFonts w:hint="eastAsia"/>
                    </w:rPr>
                    <w:t>范围</w:t>
                  </w:r>
                </w:p>
              </w:tc>
              <w:tc>
                <w:tcPr>
                  <w:tcW w:w="679" w:type="pct"/>
                  <w:vMerge w:val="restart"/>
                  <w:vAlign w:val="center"/>
                </w:tcPr>
                <w:p w14:paraId="5AEB88E9">
                  <w:pPr>
                    <w:pStyle w:val="1111"/>
                    <w:bidi w:val="0"/>
                  </w:pPr>
                  <w:r>
                    <w:rPr>
                      <w:rFonts w:hint="eastAsia"/>
                    </w:rPr>
                    <w:t>与项目相对位置</w:t>
                  </w:r>
                </w:p>
              </w:tc>
              <w:tc>
                <w:tcPr>
                  <w:tcW w:w="483" w:type="pct"/>
                  <w:vMerge w:val="restart"/>
                  <w:vAlign w:val="center"/>
                </w:tcPr>
                <w:p w14:paraId="4DF355B6">
                  <w:pPr>
                    <w:pStyle w:val="1111"/>
                    <w:bidi w:val="0"/>
                    <w:rPr>
                      <w:rFonts w:hint="eastAsia"/>
                      <w:lang w:eastAsia="zh-CN"/>
                    </w:rPr>
                  </w:pPr>
                  <w:r>
                    <w:rPr>
                      <w:rFonts w:hint="eastAsia"/>
                      <w:lang w:eastAsia="zh-CN"/>
                    </w:rPr>
                    <w:t>是否在生态红线内</w:t>
                  </w:r>
                </w:p>
              </w:tc>
            </w:tr>
            <w:tr w14:paraId="49CAB2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8" w:type="pct"/>
                  <w:vMerge w:val="continue"/>
                  <w:vAlign w:val="center"/>
                </w:tcPr>
                <w:p w14:paraId="37275788">
                  <w:pPr>
                    <w:pStyle w:val="1111"/>
                    <w:bidi w:val="0"/>
                  </w:pPr>
                </w:p>
              </w:tc>
              <w:tc>
                <w:tcPr>
                  <w:tcW w:w="508" w:type="pct"/>
                  <w:vMerge w:val="continue"/>
                  <w:vAlign w:val="center"/>
                </w:tcPr>
                <w:p w14:paraId="6FC2A0B0">
                  <w:pPr>
                    <w:pStyle w:val="1111"/>
                    <w:bidi w:val="0"/>
                  </w:pPr>
                </w:p>
              </w:tc>
              <w:tc>
                <w:tcPr>
                  <w:tcW w:w="963" w:type="pct"/>
                  <w:vAlign w:val="center"/>
                </w:tcPr>
                <w:p w14:paraId="01A8A23F">
                  <w:pPr>
                    <w:pStyle w:val="1111"/>
                    <w:bidi w:val="0"/>
                  </w:pPr>
                  <w:r>
                    <w:t>国家级生态保护红线范围</w:t>
                  </w:r>
                </w:p>
              </w:tc>
              <w:tc>
                <w:tcPr>
                  <w:tcW w:w="1826" w:type="pct"/>
                  <w:vAlign w:val="center"/>
                </w:tcPr>
                <w:p w14:paraId="57C30EB5">
                  <w:pPr>
                    <w:pStyle w:val="1111"/>
                    <w:bidi w:val="0"/>
                  </w:pPr>
                  <w:r>
                    <w:t>生态空间管控区域范围</w:t>
                  </w:r>
                </w:p>
              </w:tc>
              <w:tc>
                <w:tcPr>
                  <w:tcW w:w="679" w:type="pct"/>
                  <w:vMerge w:val="continue"/>
                  <w:vAlign w:val="center"/>
                </w:tcPr>
                <w:p w14:paraId="61DE9913">
                  <w:pPr>
                    <w:pStyle w:val="1111"/>
                    <w:bidi w:val="0"/>
                  </w:pPr>
                </w:p>
              </w:tc>
              <w:tc>
                <w:tcPr>
                  <w:tcW w:w="483" w:type="pct"/>
                  <w:vMerge w:val="continue"/>
                  <w:vAlign w:val="center"/>
                </w:tcPr>
                <w:p w14:paraId="6C408AAD">
                  <w:pPr>
                    <w:pStyle w:val="1111"/>
                    <w:bidi w:val="0"/>
                  </w:pPr>
                </w:p>
              </w:tc>
            </w:tr>
            <w:tr w14:paraId="2D4656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8" w:type="pct"/>
                  <w:vAlign w:val="center"/>
                </w:tcPr>
                <w:p w14:paraId="013BA502">
                  <w:pPr>
                    <w:pStyle w:val="1111"/>
                    <w:bidi w:val="0"/>
                  </w:pPr>
                  <w:bookmarkStart w:id="1" w:name="_Hlk129274239"/>
                  <w:r>
                    <w:t>临洪河重要湿地</w:t>
                  </w:r>
                </w:p>
              </w:tc>
              <w:tc>
                <w:tcPr>
                  <w:tcW w:w="508" w:type="pct"/>
                  <w:vAlign w:val="center"/>
                </w:tcPr>
                <w:p w14:paraId="1DF093E6">
                  <w:pPr>
                    <w:pStyle w:val="1111"/>
                    <w:bidi w:val="0"/>
                  </w:pPr>
                  <w:r>
                    <w:t>湿地生态系统保护</w:t>
                  </w:r>
                </w:p>
              </w:tc>
              <w:tc>
                <w:tcPr>
                  <w:tcW w:w="963" w:type="pct"/>
                  <w:vAlign w:val="center"/>
                </w:tcPr>
                <w:p w14:paraId="68503FF2">
                  <w:pPr>
                    <w:pStyle w:val="1111"/>
                    <w:bidi w:val="0"/>
                    <w:rPr>
                      <w:rFonts w:hint="eastAsia"/>
                      <w:lang w:eastAsia="zh-CN"/>
                    </w:rPr>
                  </w:pPr>
                  <w:r>
                    <w:t>-</w:t>
                  </w:r>
                </w:p>
              </w:tc>
              <w:tc>
                <w:tcPr>
                  <w:tcW w:w="1826" w:type="pct"/>
                  <w:vAlign w:val="center"/>
                </w:tcPr>
                <w:p w14:paraId="11B87828">
                  <w:pPr>
                    <w:pStyle w:val="1111"/>
                    <w:bidi w:val="0"/>
                  </w:pPr>
                  <w:r>
                    <w:t>位于临洪河两侧，自太平庄闸至入海口，全长约14公里，宽1-2公里</w:t>
                  </w:r>
                </w:p>
              </w:tc>
              <w:tc>
                <w:tcPr>
                  <w:tcW w:w="679" w:type="pct"/>
                  <w:vAlign w:val="center"/>
                </w:tcPr>
                <w:p w14:paraId="6509A6FF">
                  <w:pPr>
                    <w:pStyle w:val="1111"/>
                    <w:bidi w:val="0"/>
                  </w:pPr>
                  <w:r>
                    <w:t>方位W，</w:t>
                  </w:r>
                </w:p>
                <w:p w14:paraId="676A7FF6">
                  <w:pPr>
                    <w:pStyle w:val="1111"/>
                    <w:bidi w:val="0"/>
                  </w:pPr>
                  <w:r>
                    <w:t>最近距离约1.</w:t>
                  </w:r>
                  <w:r>
                    <w:rPr>
                      <w:rFonts w:hint="eastAsia"/>
                      <w:lang w:val="en-US" w:eastAsia="zh-CN"/>
                    </w:rPr>
                    <w:t>644</w:t>
                  </w:r>
                  <w:r>
                    <w:t>km</w:t>
                  </w:r>
                </w:p>
              </w:tc>
              <w:tc>
                <w:tcPr>
                  <w:tcW w:w="483" w:type="pct"/>
                  <w:vAlign w:val="center"/>
                </w:tcPr>
                <w:p w14:paraId="1A87F5CD">
                  <w:pPr>
                    <w:pStyle w:val="1111"/>
                    <w:bidi w:val="0"/>
                    <w:rPr>
                      <w:rFonts w:hint="eastAsia"/>
                      <w:lang w:eastAsia="zh-CN"/>
                    </w:rPr>
                  </w:pPr>
                  <w:r>
                    <w:rPr>
                      <w:rFonts w:hint="eastAsia"/>
                      <w:lang w:eastAsia="zh-CN"/>
                    </w:rPr>
                    <w:t>否</w:t>
                  </w:r>
                </w:p>
              </w:tc>
            </w:tr>
            <w:tr w14:paraId="5B67B9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8" w:type="pct"/>
                  <w:vAlign w:val="center"/>
                </w:tcPr>
                <w:p w14:paraId="17ED2B57">
                  <w:pPr>
                    <w:pStyle w:val="1111"/>
                    <w:bidi w:val="0"/>
                    <w:rPr>
                      <w:rFonts w:hint="eastAsia"/>
                    </w:rPr>
                  </w:pPr>
                  <w:r>
                    <w:t>连云港临洪河口省级湿地公园</w:t>
                  </w:r>
                </w:p>
              </w:tc>
              <w:tc>
                <w:tcPr>
                  <w:tcW w:w="508" w:type="pct"/>
                  <w:vAlign w:val="center"/>
                </w:tcPr>
                <w:p w14:paraId="7501A9E9">
                  <w:pPr>
                    <w:pStyle w:val="1111"/>
                    <w:bidi w:val="0"/>
                    <w:rPr>
                      <w:rFonts w:hint="eastAsia"/>
                    </w:rPr>
                  </w:pPr>
                  <w:r>
                    <w:t>湿地生态系统保护</w:t>
                  </w:r>
                </w:p>
              </w:tc>
              <w:tc>
                <w:tcPr>
                  <w:tcW w:w="963" w:type="pct"/>
                  <w:vAlign w:val="center"/>
                </w:tcPr>
                <w:p w14:paraId="4D0424CC">
                  <w:pPr>
                    <w:pStyle w:val="1111"/>
                    <w:bidi w:val="0"/>
                    <w:rPr>
                      <w:rFonts w:hint="eastAsia"/>
                    </w:rPr>
                  </w:pPr>
                  <w:r>
                    <w:t>连云港临洪河口省级湿地公园总体规划中确定的范围（包括湿地保育区和恢复重建区等）</w:t>
                  </w:r>
                </w:p>
              </w:tc>
              <w:tc>
                <w:tcPr>
                  <w:tcW w:w="1826" w:type="pct"/>
                  <w:vAlign w:val="center"/>
                </w:tcPr>
                <w:p w14:paraId="5637D5C1">
                  <w:pPr>
                    <w:pStyle w:val="1111"/>
                    <w:bidi w:val="0"/>
                    <w:rPr>
                      <w:rFonts w:hint="eastAsia"/>
                    </w:rPr>
                  </w:pPr>
                  <w:r>
                    <w:t>连云港临洪河口省级湿地公园总体规划中的合理利用区和宣教展示区范围</w:t>
                  </w:r>
                </w:p>
              </w:tc>
              <w:tc>
                <w:tcPr>
                  <w:tcW w:w="679" w:type="pct"/>
                  <w:vAlign w:val="center"/>
                </w:tcPr>
                <w:p w14:paraId="47D3F507">
                  <w:pPr>
                    <w:pStyle w:val="1111"/>
                    <w:bidi w:val="0"/>
                  </w:pPr>
                  <w:r>
                    <w:t>方位W，</w:t>
                  </w:r>
                </w:p>
                <w:p w14:paraId="68E09B9E">
                  <w:pPr>
                    <w:pStyle w:val="1111"/>
                    <w:bidi w:val="0"/>
                    <w:rPr>
                      <w:rFonts w:hint="eastAsia"/>
                    </w:rPr>
                  </w:pPr>
                  <w:r>
                    <w:t>最近距离约</w:t>
                  </w:r>
                  <w:r>
                    <w:rPr>
                      <w:rFonts w:hint="eastAsia"/>
                      <w:lang w:val="en-US" w:eastAsia="zh-CN"/>
                    </w:rPr>
                    <w:t>1.778</w:t>
                  </w:r>
                  <w:r>
                    <w:t>km</w:t>
                  </w:r>
                </w:p>
              </w:tc>
              <w:tc>
                <w:tcPr>
                  <w:tcW w:w="483" w:type="pct"/>
                  <w:vAlign w:val="center"/>
                </w:tcPr>
                <w:p w14:paraId="4150EF18">
                  <w:pPr>
                    <w:pStyle w:val="1111"/>
                    <w:bidi w:val="0"/>
                    <w:rPr>
                      <w:rFonts w:hint="eastAsia"/>
                      <w:lang w:eastAsia="zh-CN"/>
                    </w:rPr>
                  </w:pPr>
                  <w:r>
                    <w:rPr>
                      <w:rFonts w:hint="eastAsia"/>
                      <w:lang w:eastAsia="zh-CN"/>
                    </w:rPr>
                    <w:t>否</w:t>
                  </w:r>
                </w:p>
              </w:tc>
            </w:tr>
            <w:tr w14:paraId="13CDC8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8" w:type="pct"/>
                  <w:vAlign w:val="center"/>
                </w:tcPr>
                <w:p w14:paraId="380E5719">
                  <w:pPr>
                    <w:pStyle w:val="1111"/>
                    <w:bidi w:val="0"/>
                  </w:pPr>
                  <w:r>
                    <w:rPr>
                      <w:rFonts w:hint="eastAsia"/>
                    </w:rPr>
                    <w:t>连云港云台山风景名胜区</w:t>
                  </w:r>
                </w:p>
              </w:tc>
              <w:tc>
                <w:tcPr>
                  <w:tcW w:w="508" w:type="pct"/>
                  <w:vAlign w:val="center"/>
                </w:tcPr>
                <w:p w14:paraId="328A55A0">
                  <w:pPr>
                    <w:pStyle w:val="1111"/>
                    <w:bidi w:val="0"/>
                  </w:pPr>
                  <w:r>
                    <w:rPr>
                      <w:rFonts w:hint="eastAsia"/>
                    </w:rPr>
                    <w:t>自然与人文景观保护</w:t>
                  </w:r>
                </w:p>
              </w:tc>
              <w:tc>
                <w:tcPr>
                  <w:tcW w:w="963" w:type="pct"/>
                  <w:vAlign w:val="center"/>
                </w:tcPr>
                <w:p w14:paraId="2C12A819">
                  <w:pPr>
                    <w:pStyle w:val="1111"/>
                    <w:bidi w:val="0"/>
                    <w:rPr>
                      <w:rFonts w:hint="eastAsia"/>
                      <w:lang w:val="en-US" w:eastAsia="zh-CN"/>
                    </w:rPr>
                  </w:pPr>
                  <w:r>
                    <w:rPr>
                      <w:rFonts w:hint="eastAsia"/>
                      <w:lang w:val="en-US" w:eastAsia="zh-CN"/>
                    </w:rPr>
                    <w:t>-</w:t>
                  </w:r>
                </w:p>
              </w:tc>
              <w:tc>
                <w:tcPr>
                  <w:tcW w:w="1826" w:type="pct"/>
                  <w:vAlign w:val="center"/>
                </w:tcPr>
                <w:p w14:paraId="1DB211F6">
                  <w:pPr>
                    <w:pStyle w:val="1111"/>
                    <w:bidi w:val="0"/>
                    <w:rPr>
                      <w:rFonts w:hint="eastAsia"/>
                      <w:lang w:eastAsia="zh-CN"/>
                    </w:rPr>
                  </w:pPr>
                  <w:r>
                    <w:t>包括云台山森林自然保护区，风景区其他部分（包括锦屏山及白虎山、前云台山、中云台山、后云台山、北固山及竹岛、连岛及前三岛、其他海域等七部分）。含云台山森林自然保护区、连云港云台山国家森林公园、锦屏山省级森林公园、北固山森林公园、连云港花果山省级森林公园</w:t>
                  </w:r>
                  <w:r>
                    <w:rPr>
                      <w:rFonts w:hint="eastAsia"/>
                      <w:lang w:eastAsia="zh-CN"/>
                    </w:rPr>
                    <w:t>，占地</w:t>
                  </w:r>
                  <w:r>
                    <w:t>167.38km</w:t>
                  </w:r>
                  <w:r>
                    <w:rPr>
                      <w:vertAlign w:val="superscript"/>
                    </w:rPr>
                    <w:t>2</w:t>
                  </w:r>
                </w:p>
              </w:tc>
              <w:tc>
                <w:tcPr>
                  <w:tcW w:w="679" w:type="pct"/>
                  <w:vAlign w:val="center"/>
                </w:tcPr>
                <w:p w14:paraId="19FBFBB3">
                  <w:pPr>
                    <w:pStyle w:val="1111"/>
                    <w:bidi w:val="0"/>
                  </w:pPr>
                  <w:r>
                    <w:t>方位E，</w:t>
                  </w:r>
                </w:p>
                <w:p w14:paraId="61C82CA6">
                  <w:pPr>
                    <w:pStyle w:val="1111"/>
                    <w:bidi w:val="0"/>
                  </w:pPr>
                  <w:r>
                    <w:t>最近距离</w:t>
                  </w:r>
                  <w:r>
                    <w:rPr>
                      <w:rFonts w:hint="eastAsia"/>
                      <w:lang w:val="en-US" w:eastAsia="zh-CN"/>
                    </w:rPr>
                    <w:t>2.95</w:t>
                  </w:r>
                  <w:r>
                    <w:t>km</w:t>
                  </w:r>
                </w:p>
              </w:tc>
              <w:tc>
                <w:tcPr>
                  <w:tcW w:w="483" w:type="pct"/>
                  <w:vAlign w:val="center"/>
                </w:tcPr>
                <w:p w14:paraId="37394121">
                  <w:pPr>
                    <w:pStyle w:val="1111"/>
                    <w:bidi w:val="0"/>
                    <w:rPr>
                      <w:rFonts w:hint="eastAsia"/>
                      <w:lang w:eastAsia="zh-CN"/>
                    </w:rPr>
                  </w:pPr>
                  <w:r>
                    <w:rPr>
                      <w:rFonts w:hint="eastAsia"/>
                      <w:lang w:eastAsia="zh-CN"/>
                    </w:rPr>
                    <w:t>否</w:t>
                  </w:r>
                </w:p>
              </w:tc>
            </w:tr>
            <w:bookmarkEnd w:id="1"/>
          </w:tbl>
          <w:p w14:paraId="40687D7E">
            <w:pPr>
              <w:pStyle w:val="1111"/>
            </w:pPr>
          </w:p>
          <w:p w14:paraId="7F9F1036">
            <w:pPr>
              <w:pStyle w:val="512"/>
            </w:pPr>
            <w:r>
              <w:rPr>
                <w:rFonts w:hint="eastAsia"/>
              </w:rPr>
              <w:t>（2）环境质量底线相符性分析</w:t>
            </w:r>
          </w:p>
          <w:p w14:paraId="20BBA984">
            <w:pPr>
              <w:pStyle w:val="512"/>
            </w:pPr>
            <w:r>
              <w:rPr>
                <w:rFonts w:hint="eastAsia"/>
              </w:rPr>
              <w:t>根据《</w:t>
            </w:r>
            <w:r>
              <w:t>关于印发连云港市环境质量底线管理办法（试行）的通知</w:t>
            </w:r>
            <w:r>
              <w:rPr>
                <w:rFonts w:hint="eastAsia"/>
              </w:rPr>
              <w:t>》（连政办发[</w:t>
            </w:r>
            <w:r>
              <w:t>2018]38</w:t>
            </w:r>
            <w:r>
              <w:rPr>
                <w:rFonts w:hint="eastAsia"/>
              </w:rPr>
              <w:t>号）要求，本环评对照该文件进行符合性分析，具体分析结果见表1</w:t>
            </w:r>
            <w:r>
              <w:t>-</w:t>
            </w:r>
            <w:r>
              <w:rPr>
                <w:rFonts w:hint="eastAsia"/>
                <w:lang w:val="en-US" w:eastAsia="zh-CN"/>
              </w:rPr>
              <w:t>2</w:t>
            </w:r>
            <w:r>
              <w:rPr>
                <w:rFonts w:hint="eastAsia"/>
              </w:rPr>
              <w:t>。项目周边水系图详见附图</w:t>
            </w:r>
            <w:r>
              <w:rPr>
                <w:rFonts w:hint="eastAsia"/>
                <w:lang w:eastAsia="zh-CN"/>
              </w:rPr>
              <w:t>三</w:t>
            </w:r>
            <w:r>
              <w:rPr>
                <w:rFonts w:hint="eastAsia"/>
              </w:rPr>
              <w:t>。</w:t>
            </w:r>
          </w:p>
          <w:p w14:paraId="5FA0B813">
            <w:pPr>
              <w:pStyle w:val="1111"/>
            </w:pPr>
            <w:r>
              <w:rPr>
                <w:rFonts w:hint="eastAsia"/>
              </w:rPr>
              <w:t>表1</w:t>
            </w:r>
            <w:r>
              <w:t>-</w:t>
            </w:r>
            <w:r>
              <w:rPr>
                <w:rFonts w:hint="eastAsia"/>
                <w:lang w:val="en-US" w:eastAsia="zh-CN"/>
              </w:rPr>
              <w:t>2</w:t>
            </w:r>
            <w:r>
              <w:t xml:space="preserve"> </w:t>
            </w:r>
            <w:r>
              <w:rPr>
                <w:rFonts w:hint="eastAsia"/>
              </w:rPr>
              <w:t>本项目与连政办发[</w:t>
            </w:r>
            <w:r>
              <w:t>2018]38</w:t>
            </w:r>
            <w:r>
              <w:rPr>
                <w:rFonts w:hint="eastAsia"/>
              </w:rPr>
              <w:t>号的符合性分析表</w:t>
            </w:r>
          </w:p>
          <w:tbl>
            <w:tblPr>
              <w:tblStyle w:val="7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7"/>
              <w:gridCol w:w="2946"/>
              <w:gridCol w:w="2696"/>
              <w:gridCol w:w="426"/>
            </w:tblGrid>
            <w:tr w14:paraId="2AE4C4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9" w:type="pct"/>
                  <w:shd w:val="clear" w:color="auto" w:fill="auto"/>
                  <w:vAlign w:val="center"/>
                </w:tcPr>
                <w:p w14:paraId="71EDF82C">
                  <w:pPr>
                    <w:pStyle w:val="1111"/>
                  </w:pPr>
                  <w:r>
                    <w:rPr>
                      <w:rFonts w:hint="eastAsia"/>
                    </w:rPr>
                    <w:t>名称</w:t>
                  </w:r>
                </w:p>
              </w:tc>
              <w:tc>
                <w:tcPr>
                  <w:tcW w:w="2087" w:type="pct"/>
                  <w:shd w:val="clear" w:color="auto" w:fill="auto"/>
                  <w:vAlign w:val="center"/>
                </w:tcPr>
                <w:p w14:paraId="049C544E">
                  <w:pPr>
                    <w:pStyle w:val="1111"/>
                  </w:pPr>
                  <w:r>
                    <w:rPr>
                      <w:rFonts w:hint="eastAsia"/>
                    </w:rPr>
                    <w:t>管控要求</w:t>
                  </w:r>
                </w:p>
              </w:tc>
              <w:tc>
                <w:tcPr>
                  <w:tcW w:w="1910" w:type="pct"/>
                  <w:shd w:val="clear" w:color="auto" w:fill="auto"/>
                  <w:vAlign w:val="center"/>
                </w:tcPr>
                <w:p w14:paraId="752D7625">
                  <w:pPr>
                    <w:pStyle w:val="1111"/>
                  </w:pPr>
                  <w:r>
                    <w:rPr>
                      <w:rFonts w:hint="eastAsia"/>
                    </w:rPr>
                    <w:t>项目情况</w:t>
                  </w:r>
                </w:p>
              </w:tc>
              <w:tc>
                <w:tcPr>
                  <w:tcW w:w="302" w:type="pct"/>
                  <w:shd w:val="clear" w:color="auto" w:fill="auto"/>
                  <w:vAlign w:val="center"/>
                </w:tcPr>
                <w:p w14:paraId="63900876">
                  <w:pPr>
                    <w:pStyle w:val="1111"/>
                  </w:pPr>
                  <w:r>
                    <w:rPr>
                      <w:rFonts w:hint="eastAsia"/>
                    </w:rPr>
                    <w:t>符合性</w:t>
                  </w:r>
                </w:p>
              </w:tc>
            </w:tr>
            <w:tr w14:paraId="54FA01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9" w:type="pct"/>
                  <w:vMerge w:val="restart"/>
                  <w:shd w:val="clear" w:color="auto" w:fill="auto"/>
                  <w:vAlign w:val="center"/>
                </w:tcPr>
                <w:p w14:paraId="21D693D1">
                  <w:pPr>
                    <w:pStyle w:val="1111"/>
                  </w:pPr>
                  <w:r>
                    <w:t>《关于印发连云港市环境质量底线管理办法（试行）的通知</w:t>
                  </w:r>
                  <w:r>
                    <w:rPr>
                      <w:rFonts w:hint="eastAsia"/>
                    </w:rPr>
                    <w:t>》（连政办发[</w:t>
                  </w:r>
                  <w:r>
                    <w:t>2018]38</w:t>
                  </w:r>
                  <w:r>
                    <w:rPr>
                      <w:rFonts w:hint="eastAsia"/>
                    </w:rPr>
                    <w:t>号）</w:t>
                  </w:r>
                </w:p>
              </w:tc>
              <w:tc>
                <w:tcPr>
                  <w:tcW w:w="2087" w:type="pct"/>
                  <w:shd w:val="clear" w:color="auto" w:fill="auto"/>
                  <w:vAlign w:val="center"/>
                </w:tcPr>
                <w:p w14:paraId="3FC03022">
                  <w:pPr>
                    <w:pStyle w:val="1111"/>
                    <w:bidi w:val="0"/>
                  </w:pPr>
                  <w:r>
                    <w:rPr>
                      <w:rFonts w:hint="eastAsia"/>
                    </w:rPr>
                    <w:t>第二章 环境质量管控要求</w:t>
                  </w:r>
                </w:p>
                <w:p w14:paraId="3836CDB2">
                  <w:pPr>
                    <w:pStyle w:val="1111"/>
                    <w:bidi w:val="0"/>
                  </w:pPr>
                  <w:r>
                    <w:rPr>
                      <w:rFonts w:hint="eastAsia"/>
                    </w:rPr>
                    <w:t>第三条</w:t>
                  </w:r>
                  <w:r>
                    <w:t xml:space="preserve"> </w:t>
                  </w:r>
                  <w:r>
                    <w:rPr>
                      <w:rFonts w:hint="eastAsia"/>
                    </w:rPr>
                    <w:t>大气环境质量管控要求。到2020年，我市PM</w:t>
                  </w:r>
                  <w:r>
                    <w:rPr>
                      <w:rFonts w:hint="eastAsia"/>
                      <w:vertAlign w:val="subscript"/>
                    </w:rPr>
                    <w:t>2.5</w:t>
                  </w:r>
                  <w:r>
                    <w:rPr>
                      <w:rFonts w:hint="eastAsia"/>
                    </w:rPr>
                    <w:t>浓度与2015年相比下降20%以上，确保降低至44微克/立方米以下，力争降低到35微克/立方米。到2030年，我市PM</w:t>
                  </w:r>
                  <w:r>
                    <w:rPr>
                      <w:rFonts w:hint="eastAsia"/>
                      <w:vertAlign w:val="subscript"/>
                    </w:rPr>
                    <w:t>2.5</w:t>
                  </w:r>
                  <w:r>
                    <w:rPr>
                      <w:rFonts w:hint="eastAsia"/>
                    </w:rPr>
                    <w:t>浓度稳定达到二级标准要求。主要污染物总量减排目标：2030年，大气环境污染物排放总量（不含船舶）SO</w:t>
                  </w:r>
                  <w:r>
                    <w:rPr>
                      <w:rFonts w:hint="eastAsia"/>
                      <w:vertAlign w:val="subscript"/>
                    </w:rPr>
                    <w:t>2</w:t>
                  </w:r>
                  <w:r>
                    <w:rPr>
                      <w:rFonts w:hint="eastAsia"/>
                    </w:rPr>
                    <w:t>控制在2.6万吨，NOx控制在4.4万吨，一次PM</w:t>
                  </w:r>
                  <w:r>
                    <w:rPr>
                      <w:rFonts w:hint="eastAsia"/>
                      <w:vertAlign w:val="subscript"/>
                    </w:rPr>
                    <w:t>2.5</w:t>
                  </w:r>
                  <w:r>
                    <w:rPr>
                      <w:rFonts w:hint="eastAsia"/>
                    </w:rPr>
                    <w:t>控制在1.6万吨，VOCs控制在6.1万吨。</w:t>
                  </w:r>
                </w:p>
              </w:tc>
              <w:tc>
                <w:tcPr>
                  <w:tcW w:w="1910" w:type="pct"/>
                  <w:shd w:val="clear" w:color="auto" w:fill="auto"/>
                  <w:vAlign w:val="center"/>
                </w:tcPr>
                <w:p w14:paraId="2671536A">
                  <w:pPr>
                    <w:pStyle w:val="1111"/>
                    <w:bidi w:val="0"/>
                  </w:pPr>
                  <w:r>
                    <w:rPr>
                      <w:rFonts w:hint="eastAsia"/>
                    </w:rPr>
                    <w:t>根据《</w:t>
                  </w:r>
                  <w:r>
                    <w:rPr>
                      <w:rFonts w:hint="eastAsia"/>
                      <w:lang w:eastAsia="zh-CN"/>
                    </w:rPr>
                    <w:t>2023年度连云港市生态环境状况公报</w:t>
                  </w:r>
                  <w:r>
                    <w:rPr>
                      <w:rFonts w:hint="eastAsia"/>
                    </w:rPr>
                    <w:t>》可知，</w:t>
                  </w:r>
                  <w:r>
                    <w:rPr>
                      <w:rFonts w:hint="eastAsia"/>
                      <w:lang w:eastAsia="zh-CN"/>
                    </w:rPr>
                    <w:t>市区环境</w:t>
                  </w:r>
                  <w:r>
                    <w:t>SO</w:t>
                  </w:r>
                  <w:r>
                    <w:rPr>
                      <w:vertAlign w:val="subscript"/>
                    </w:rPr>
                    <w:t>2</w:t>
                  </w:r>
                  <w:r>
                    <w:t>、NO</w:t>
                  </w:r>
                  <w:r>
                    <w:rPr>
                      <w:vertAlign w:val="subscript"/>
                    </w:rPr>
                    <w:t>2</w:t>
                  </w:r>
                  <w:r>
                    <w:t>、PM</w:t>
                  </w:r>
                  <w:r>
                    <w:rPr>
                      <w:vertAlign w:val="subscript"/>
                    </w:rPr>
                    <w:t>2.5</w:t>
                  </w:r>
                  <w:r>
                    <w:t>年平均浓度、PM</w:t>
                  </w:r>
                  <w:r>
                    <w:rPr>
                      <w:vertAlign w:val="subscript"/>
                    </w:rPr>
                    <w:t>10</w:t>
                  </w:r>
                  <w:r>
                    <w:t>年平均浓度、CO日均值的第95百分位浓度符合国家二级标准要求</w:t>
                  </w:r>
                  <w:r>
                    <w:rPr>
                      <w:rFonts w:hint="eastAsia"/>
                      <w:lang w:eastAsia="zh-CN"/>
                    </w:rPr>
                    <w:t>，</w:t>
                  </w:r>
                  <w:r>
                    <w:t>臭氧8小时第90位百分位浓度</w:t>
                  </w:r>
                  <w:r>
                    <w:rPr>
                      <w:rFonts w:hint="eastAsia"/>
                      <w:lang w:eastAsia="zh-CN"/>
                    </w:rPr>
                    <w:t>超过</w:t>
                  </w:r>
                  <w:r>
                    <w:t>国家二级标准要求</w:t>
                  </w:r>
                  <w:r>
                    <w:rPr>
                      <w:rFonts w:hint="eastAsia"/>
                      <w:lang w:eastAsia="zh-CN"/>
                    </w:rPr>
                    <w:t>，因此本项目位于不达标区</w:t>
                  </w:r>
                  <w:r>
                    <w:t>。本项目建成后，大气主要污染物为</w:t>
                  </w:r>
                  <w:r>
                    <w:rPr>
                      <w:rFonts w:hint="eastAsia"/>
                    </w:rPr>
                    <w:t>非甲烷总烃</w:t>
                  </w:r>
                  <w:r>
                    <w:rPr>
                      <w:rFonts w:hint="eastAsia"/>
                      <w:lang w:eastAsia="zh-CN"/>
                    </w:rPr>
                    <w:t>、</w:t>
                  </w:r>
                  <w:r>
                    <w:rPr>
                      <w:rFonts w:hint="eastAsia"/>
                      <w:lang w:val="en-US" w:eastAsia="zh-CN"/>
                    </w:rPr>
                    <w:t>恶臭气体</w:t>
                  </w:r>
                  <w:r>
                    <w:t xml:space="preserve">，在经过处理后能够做到达标排放，因此，不会突破大气环境质量管控要求。                                                                                                                                                                                                                                                                                                                                                                                                                                                                                                                                                                                                                                                                                                                                                                                                                                                                                                                                                                                                                                                                                                                                                                                                                                                                                                                                                                                                                                                                                                                                                                                                                                                                                                                                                                                                                                                                                                           </w:t>
                  </w:r>
                </w:p>
              </w:tc>
              <w:tc>
                <w:tcPr>
                  <w:tcW w:w="302" w:type="pct"/>
                  <w:shd w:val="clear" w:color="auto" w:fill="auto"/>
                  <w:vAlign w:val="center"/>
                </w:tcPr>
                <w:p w14:paraId="2EA03583">
                  <w:pPr>
                    <w:pStyle w:val="1111"/>
                  </w:pPr>
                  <w:r>
                    <w:rPr>
                      <w:rFonts w:hint="eastAsia"/>
                    </w:rPr>
                    <w:t>符合</w:t>
                  </w:r>
                </w:p>
              </w:tc>
            </w:tr>
            <w:tr w14:paraId="189961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9" w:hRule="atLeast"/>
              </w:trPr>
              <w:tc>
                <w:tcPr>
                  <w:tcW w:w="699" w:type="pct"/>
                  <w:vMerge w:val="continue"/>
                  <w:shd w:val="clear" w:color="auto" w:fill="auto"/>
                  <w:vAlign w:val="center"/>
                </w:tcPr>
                <w:p w14:paraId="1D5DECFC">
                  <w:pPr>
                    <w:pStyle w:val="1111"/>
                  </w:pPr>
                </w:p>
              </w:tc>
              <w:tc>
                <w:tcPr>
                  <w:tcW w:w="2087" w:type="pct"/>
                  <w:shd w:val="clear" w:color="auto" w:fill="auto"/>
                  <w:vAlign w:val="center"/>
                </w:tcPr>
                <w:p w14:paraId="7EB5F484">
                  <w:pPr>
                    <w:pStyle w:val="1111"/>
                  </w:pPr>
                  <w:r>
                    <w:rPr>
                      <w:rFonts w:hint="eastAsia"/>
                    </w:rPr>
                    <w:t>第四条</w:t>
                  </w:r>
                  <w:r>
                    <w:t xml:space="preserve"> </w:t>
                  </w:r>
                  <w:r>
                    <w:rPr>
                      <w:rFonts w:hint="eastAsia"/>
                    </w:rPr>
                    <w:t>水环境质量管控要求。到2020年，地表水省级以上考核断面水质优良（达到或优于Ⅲ类）比例达到72.7%以上。县级以上集中式饮用水水源水质达到或优于Ⅲ类比例总体达到100%，劣于Ⅴ类水体基本消除，地下水、近岸海域水质保持稳定。2019年，城市建成区黑臭水体基本消除。到2030年，地表水省级以上考核断面水质优良（达到或优于Ⅲ类）比例达到77.3%以上，县级以上集中式饮用水水源水质达到或优于Ⅲ类比例保持100%，水生态系统功能基本恢复。2020年全市COD控制在16.5万吨，氨氮控制在1.04万吨，2030年全市COD控制在15.61万吨</w:t>
                  </w:r>
                  <w:r>
                    <w:rPr>
                      <w:rFonts w:hint="eastAsia"/>
                      <w:lang w:eastAsia="zh-CN"/>
                    </w:rPr>
                    <w:t>，</w:t>
                  </w:r>
                  <w:r>
                    <w:rPr>
                      <w:rFonts w:hint="eastAsia"/>
                    </w:rPr>
                    <w:t>氨氮控制在1.03万吨。</w:t>
                  </w:r>
                </w:p>
              </w:tc>
              <w:tc>
                <w:tcPr>
                  <w:tcW w:w="1910" w:type="pct"/>
                  <w:shd w:val="clear" w:color="auto" w:fill="auto"/>
                  <w:vAlign w:val="center"/>
                </w:tcPr>
                <w:p w14:paraId="750C9BC8">
                  <w:pPr>
                    <w:pStyle w:val="1111"/>
                    <w:bidi w:val="0"/>
                  </w:pPr>
                  <w:r>
                    <w:t>根据</w:t>
                  </w:r>
                  <w:r>
                    <w:rPr>
                      <w:rFonts w:hint="eastAsia"/>
                      <w:lang w:eastAsia="zh-CN"/>
                    </w:rPr>
                    <w:t>《江苏省地表水（环境）功能区划（</w:t>
                  </w:r>
                  <w:r>
                    <w:rPr>
                      <w:rFonts w:hint="eastAsia"/>
                      <w:lang w:val="en-US" w:eastAsia="zh-CN"/>
                    </w:rPr>
                    <w:t>2021-2030年</w:t>
                  </w:r>
                  <w:r>
                    <w:rPr>
                      <w:rFonts w:hint="eastAsia"/>
                      <w:lang w:eastAsia="zh-CN"/>
                    </w:rPr>
                    <w:t>）》</w:t>
                  </w:r>
                  <w:r>
                    <w:t>，大浦河水质均执行《地表水环境质量标准》（GB3838-2002）</w:t>
                  </w:r>
                  <w:r>
                    <w:rPr>
                      <w:rFonts w:hint="eastAsia"/>
                    </w:rPr>
                    <w:t>Ⅲ</w:t>
                  </w:r>
                  <w:r>
                    <w:t>类标准</w:t>
                  </w:r>
                  <w:r>
                    <w:rPr>
                      <w:rFonts w:hint="eastAsia"/>
                      <w:lang w:eastAsia="zh-CN"/>
                    </w:rPr>
                    <w:t>，</w:t>
                  </w:r>
                  <w:r>
                    <w:rPr>
                      <w:rFonts w:hint="eastAsia"/>
                    </w:rPr>
                    <w:t>开泰河执行《地表水环境质量标准》</w:t>
                  </w:r>
                  <w:r>
                    <w:rPr>
                      <w:rFonts w:hint="eastAsia" w:ascii="宋体" w:hAnsi="宋体"/>
                    </w:rPr>
                    <w:t>Ⅳ</w:t>
                  </w:r>
                  <w:r>
                    <w:rPr>
                      <w:rFonts w:hint="eastAsia"/>
                    </w:rPr>
                    <w:t>类标准</w:t>
                  </w:r>
                  <w:r>
                    <w:t>。</w:t>
                  </w:r>
                </w:p>
                <w:p w14:paraId="7152F7BE">
                  <w:pPr>
                    <w:pStyle w:val="1111"/>
                    <w:bidi w:val="0"/>
                    <w:rPr>
                      <w:rFonts w:hint="eastAsia"/>
                      <w:lang w:eastAsia="zh-CN"/>
                    </w:rPr>
                  </w:pPr>
                  <w:r>
                    <w:rPr>
                      <w:rFonts w:hint="eastAsia"/>
                      <w:lang w:eastAsia="zh-CN"/>
                    </w:rPr>
                    <w:t>根据连云港市生态环境局发布的</w:t>
                  </w:r>
                  <w:r>
                    <w:rPr>
                      <w:rFonts w:hint="eastAsia"/>
                      <w:lang w:val="en-US" w:eastAsia="zh-CN"/>
                    </w:rPr>
                    <w:t>2024年6月连云港市地表水质量状况</w:t>
                  </w:r>
                  <w:r>
                    <w:rPr>
                      <w:rFonts w:hint="eastAsia"/>
                    </w:rPr>
                    <w:t>，</w:t>
                  </w:r>
                  <w:r>
                    <w:rPr>
                      <w:rFonts w:hint="eastAsia"/>
                      <w:lang w:eastAsia="zh-CN"/>
                    </w:rPr>
                    <w:t>大浦河</w:t>
                  </w:r>
                  <w:r>
                    <w:rPr>
                      <w:rFonts w:hint="eastAsia"/>
                      <w:lang w:val="en-US" w:eastAsia="zh-CN"/>
                    </w:rPr>
                    <w:t>2024年6月水质类别</w:t>
                  </w:r>
                  <w:r>
                    <w:rPr>
                      <w:rFonts w:hint="eastAsia"/>
                      <w:lang w:eastAsia="zh-CN"/>
                    </w:rPr>
                    <w:t>符合</w:t>
                  </w:r>
                  <w:r>
                    <w:rPr>
                      <w:rFonts w:hint="eastAsia"/>
                    </w:rPr>
                    <w:t>Ⅲ</w:t>
                  </w:r>
                  <w:r>
                    <w:rPr>
                      <w:rStyle w:val="1110"/>
                      <w:rFonts w:hint="eastAsia"/>
                    </w:rPr>
                    <w:t>类标</w:t>
                  </w:r>
                  <w:r>
                    <w:rPr>
                      <w:rFonts w:hint="eastAsia"/>
                    </w:rPr>
                    <w:t>准</w:t>
                  </w:r>
                  <w:r>
                    <w:rPr>
                      <w:rFonts w:hint="eastAsia"/>
                      <w:lang w:eastAsia="zh-CN"/>
                    </w:rPr>
                    <w:t>。</w:t>
                  </w:r>
                  <w:r>
                    <w:rPr>
                      <w:rFonts w:hint="eastAsia"/>
                    </w:rPr>
                    <w:t>开泰河水质引用</w:t>
                  </w:r>
                  <w:r>
                    <w:t>《连云港杰瑞药业有限公司DMT寡核苷酸等4个原料药与制剂技改项目环境影响报告书》地表水检测数据</w:t>
                  </w:r>
                  <w:r>
                    <w:rPr>
                      <w:rFonts w:hint="eastAsia"/>
                    </w:rPr>
                    <w:t>。除化学需氧量超标外，其余数据均满足《地表水环境质量标准》</w:t>
                  </w:r>
                  <w:r>
                    <w:rPr>
                      <w:rFonts w:hint="eastAsia" w:ascii="宋体" w:hAnsi="宋体"/>
                    </w:rPr>
                    <w:t>Ⅳ</w:t>
                  </w:r>
                  <w:r>
                    <w:rPr>
                      <w:rFonts w:hint="eastAsia"/>
                    </w:rPr>
                    <w:t>类标准。</w:t>
                  </w:r>
                </w:p>
                <w:p w14:paraId="74A007B7">
                  <w:pPr>
                    <w:pStyle w:val="1111"/>
                    <w:bidi w:val="0"/>
                    <w:rPr>
                      <w:rFonts w:hint="eastAsia" w:eastAsia="宋体"/>
                      <w:lang w:eastAsia="zh-CN"/>
                    </w:rPr>
                  </w:pPr>
                  <w:r>
                    <w:rPr>
                      <w:rFonts w:hint="eastAsia"/>
                      <w:lang w:eastAsia="zh-CN"/>
                    </w:rPr>
                    <w:t>本项目</w:t>
                  </w:r>
                  <w:r>
                    <w:t>运营期产生的</w:t>
                  </w:r>
                  <w:r>
                    <w:rPr>
                      <w:rFonts w:ascii="Times New Roman" w:eastAsia="宋体"/>
                    </w:rPr>
                    <w:t>废水主要</w:t>
                  </w:r>
                  <w:r>
                    <w:rPr>
                      <w:rFonts w:hint="eastAsia" w:ascii="Times New Roman" w:eastAsia="宋体"/>
                    </w:rPr>
                    <w:t>为废气</w:t>
                  </w:r>
                  <w:r>
                    <w:rPr>
                      <w:rFonts w:ascii="Times New Roman" w:eastAsia="宋体"/>
                    </w:rPr>
                    <w:t>吸收废水、生活污水，经中华药港污水站（依托现有）处理后，接管</w:t>
                  </w:r>
                  <w:r>
                    <w:rPr>
                      <w:rFonts w:hint="eastAsia"/>
                      <w:lang w:eastAsia="zh-CN"/>
                    </w:rPr>
                    <w:t>至</w:t>
                  </w:r>
                  <w:r>
                    <w:rPr>
                      <w:rFonts w:ascii="Times New Roman" w:eastAsia="宋体"/>
                    </w:rPr>
                    <w:t>开发区临港污水处理厂集中处理</w:t>
                  </w:r>
                  <w:r>
                    <w:rPr>
                      <w:rFonts w:hint="eastAsia" w:ascii="Times New Roman" w:eastAsia="宋体"/>
                      <w:lang w:eastAsia="zh-CN"/>
                    </w:rPr>
                    <w:t>。</w:t>
                  </w:r>
                </w:p>
              </w:tc>
              <w:tc>
                <w:tcPr>
                  <w:tcW w:w="302" w:type="pct"/>
                  <w:shd w:val="clear" w:color="auto" w:fill="auto"/>
                  <w:vAlign w:val="center"/>
                </w:tcPr>
                <w:p w14:paraId="76254969">
                  <w:pPr>
                    <w:pStyle w:val="1111"/>
                  </w:pPr>
                  <w:r>
                    <w:rPr>
                      <w:rFonts w:hint="eastAsia"/>
                    </w:rPr>
                    <w:t>符合</w:t>
                  </w:r>
                </w:p>
              </w:tc>
            </w:tr>
            <w:tr w14:paraId="217B7F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5" w:hRule="atLeast"/>
              </w:trPr>
              <w:tc>
                <w:tcPr>
                  <w:tcW w:w="699" w:type="pct"/>
                  <w:vMerge w:val="continue"/>
                  <w:shd w:val="clear" w:color="auto" w:fill="auto"/>
                  <w:vAlign w:val="center"/>
                </w:tcPr>
                <w:p w14:paraId="678A17C5">
                  <w:pPr>
                    <w:pStyle w:val="1111"/>
                  </w:pPr>
                </w:p>
              </w:tc>
              <w:tc>
                <w:tcPr>
                  <w:tcW w:w="2087" w:type="pct"/>
                  <w:shd w:val="clear" w:color="auto" w:fill="auto"/>
                  <w:vAlign w:val="center"/>
                </w:tcPr>
                <w:p w14:paraId="1AEFD3A6">
                  <w:pPr>
                    <w:pStyle w:val="1111"/>
                    <w:bidi w:val="0"/>
                  </w:pPr>
                  <w:r>
                    <w:rPr>
                      <w:rFonts w:hint="eastAsia"/>
                    </w:rPr>
                    <w:t>第五条</w:t>
                  </w:r>
                  <w:r>
                    <w:t xml:space="preserve"> </w:t>
                  </w:r>
                  <w:r>
                    <w:rPr>
                      <w:rFonts w:hint="eastAsia"/>
                    </w:rPr>
                    <w:t>加强土壤环境风险管控。利用国土、农业、环保等部门的土壤环境监测调查数据，结合土壤污染状况详查，确定土壤环境风险重点管控区域和管控要求。</w:t>
                  </w:r>
                </w:p>
              </w:tc>
              <w:tc>
                <w:tcPr>
                  <w:tcW w:w="1910" w:type="pct"/>
                  <w:shd w:val="clear" w:color="auto" w:fill="auto"/>
                  <w:vAlign w:val="center"/>
                </w:tcPr>
                <w:p w14:paraId="01D643A9">
                  <w:pPr>
                    <w:pStyle w:val="1111"/>
                    <w:bidi w:val="0"/>
                  </w:pPr>
                  <w:r>
                    <w:t>项目所在区域不涉及农用地土壤环境，同时本项目不向土壤环境排放污染物，项目实施后不会改变土壤环境质量状况。</w:t>
                  </w:r>
                </w:p>
              </w:tc>
              <w:tc>
                <w:tcPr>
                  <w:tcW w:w="302" w:type="pct"/>
                  <w:shd w:val="clear" w:color="auto" w:fill="auto"/>
                  <w:vAlign w:val="center"/>
                </w:tcPr>
                <w:p w14:paraId="3C985463">
                  <w:pPr>
                    <w:pStyle w:val="1111"/>
                  </w:pPr>
                  <w:r>
                    <w:rPr>
                      <w:rFonts w:hint="eastAsia"/>
                    </w:rPr>
                    <w:t>符合</w:t>
                  </w:r>
                </w:p>
              </w:tc>
            </w:tr>
          </w:tbl>
          <w:p w14:paraId="79317756">
            <w:pPr>
              <w:pStyle w:val="512"/>
              <w:rPr>
                <w:rStyle w:val="81"/>
                <w:b w:val="0"/>
                <w:bCs w:val="0"/>
              </w:rPr>
            </w:pPr>
            <w:r>
              <w:rPr>
                <w:rStyle w:val="81"/>
                <w:rFonts w:hint="eastAsia"/>
                <w:b w:val="0"/>
                <w:bCs w:val="0"/>
              </w:rPr>
              <w:t>由表1</w:t>
            </w:r>
            <w:r>
              <w:rPr>
                <w:rStyle w:val="81"/>
                <w:b w:val="0"/>
                <w:bCs w:val="0"/>
              </w:rPr>
              <w:t>-</w:t>
            </w:r>
            <w:r>
              <w:rPr>
                <w:rStyle w:val="81"/>
                <w:rFonts w:hint="eastAsia"/>
                <w:b w:val="0"/>
                <w:bCs w:val="0"/>
                <w:lang w:val="en-US" w:eastAsia="zh-CN"/>
              </w:rPr>
              <w:t>2</w:t>
            </w:r>
            <w:r>
              <w:rPr>
                <w:rStyle w:val="81"/>
                <w:rFonts w:hint="eastAsia"/>
                <w:b w:val="0"/>
                <w:bCs w:val="0"/>
              </w:rPr>
              <w:t>可知，本项目建设能维持环境功能区的质量现状，符合《市政府办公室关于印发连云港市环境质量底线管理办法（试行）的通知》（连政办发[</w:t>
            </w:r>
            <w:r>
              <w:rPr>
                <w:rStyle w:val="81"/>
                <w:b w:val="0"/>
                <w:bCs w:val="0"/>
              </w:rPr>
              <w:t>2018]38</w:t>
            </w:r>
            <w:r>
              <w:rPr>
                <w:rStyle w:val="81"/>
                <w:rFonts w:hint="eastAsia"/>
                <w:b w:val="0"/>
                <w:bCs w:val="0"/>
              </w:rPr>
              <w:t>号）相关要求。</w:t>
            </w:r>
          </w:p>
          <w:p w14:paraId="7826BBBC">
            <w:pPr>
              <w:pStyle w:val="512"/>
              <w:rPr>
                <w:rStyle w:val="81"/>
                <w:b w:val="0"/>
                <w:bCs w:val="0"/>
              </w:rPr>
            </w:pPr>
            <w:r>
              <w:rPr>
                <w:rStyle w:val="81"/>
                <w:rFonts w:hint="eastAsia"/>
                <w:b w:val="0"/>
                <w:bCs w:val="0"/>
              </w:rPr>
              <w:t>（3）资源利用上线相符性</w:t>
            </w:r>
          </w:p>
          <w:p w14:paraId="2CDAD7B6">
            <w:pPr>
              <w:pStyle w:val="512"/>
            </w:pPr>
            <w:r>
              <w:rPr>
                <w:rFonts w:hint="eastAsia"/>
              </w:rPr>
              <w:t>根据《连云港市战略环境评价报告》中“严控资源消耗上限”内容，其明确提出了“资源消耗上限”管控内涵及指控设置要求，本环评对照该文件进行相符性分析，具体分析结果见表1</w:t>
            </w:r>
            <w:r>
              <w:t>-</w:t>
            </w:r>
            <w:r>
              <w:rPr>
                <w:rFonts w:hint="eastAsia"/>
                <w:lang w:val="en-US" w:eastAsia="zh-CN"/>
              </w:rPr>
              <w:t>3</w:t>
            </w:r>
            <w:r>
              <w:rPr>
                <w:rFonts w:hint="eastAsia"/>
              </w:rPr>
              <w:t>。</w:t>
            </w:r>
          </w:p>
          <w:p w14:paraId="2F103D09">
            <w:pPr>
              <w:pStyle w:val="1111"/>
              <w:rPr>
                <w:rStyle w:val="81"/>
                <w:b w:val="0"/>
                <w:bCs w:val="0"/>
              </w:rPr>
            </w:pPr>
            <w:r>
              <w:rPr>
                <w:rStyle w:val="81"/>
                <w:rFonts w:hint="eastAsia"/>
                <w:b w:val="0"/>
                <w:bCs w:val="0"/>
              </w:rPr>
              <w:t>表1</w:t>
            </w:r>
            <w:r>
              <w:rPr>
                <w:rStyle w:val="81"/>
                <w:b w:val="0"/>
                <w:bCs w:val="0"/>
              </w:rPr>
              <w:t>-</w:t>
            </w:r>
            <w:r>
              <w:rPr>
                <w:rStyle w:val="81"/>
                <w:rFonts w:hint="eastAsia"/>
                <w:b w:val="0"/>
                <w:bCs w:val="0"/>
                <w:lang w:val="en-US" w:eastAsia="zh-CN"/>
              </w:rPr>
              <w:t>3</w:t>
            </w:r>
            <w:r>
              <w:rPr>
                <w:rStyle w:val="81"/>
                <w:b w:val="0"/>
                <w:bCs w:val="0"/>
              </w:rPr>
              <w:t xml:space="preserve"> </w:t>
            </w:r>
            <w:r>
              <w:rPr>
                <w:rStyle w:val="81"/>
                <w:rFonts w:hint="eastAsia"/>
                <w:b w:val="0"/>
                <w:bCs w:val="0"/>
              </w:rPr>
              <w:t>项目与《</w:t>
            </w:r>
            <w:r>
              <w:rPr>
                <w:rFonts w:hint="eastAsia"/>
              </w:rPr>
              <w:t>连云港市战略环境评价报告</w:t>
            </w:r>
            <w:r>
              <w:rPr>
                <w:rStyle w:val="81"/>
                <w:rFonts w:hint="eastAsia"/>
                <w:b w:val="0"/>
                <w:bCs w:val="0"/>
              </w:rPr>
              <w:t>》中的</w:t>
            </w:r>
            <w:r>
              <w:rPr>
                <w:rFonts w:hint="eastAsia"/>
              </w:rPr>
              <w:t>“严控资源消耗上限”</w:t>
            </w:r>
            <w:r>
              <w:rPr>
                <w:rStyle w:val="81"/>
                <w:rFonts w:hint="eastAsia"/>
                <w:b w:val="0"/>
                <w:bCs w:val="0"/>
              </w:rPr>
              <w:t>符合性分析表</w:t>
            </w:r>
          </w:p>
          <w:tbl>
            <w:tblPr>
              <w:tblStyle w:val="7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6"/>
              <w:gridCol w:w="4259"/>
              <w:gridCol w:w="1400"/>
              <w:gridCol w:w="720"/>
            </w:tblGrid>
            <w:tr w14:paraId="0D4EF5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9" w:type="pct"/>
                  <w:shd w:val="clear" w:color="auto" w:fill="auto"/>
                  <w:vAlign w:val="center"/>
                </w:tcPr>
                <w:p w14:paraId="1A07ACB8">
                  <w:pPr>
                    <w:pStyle w:val="1111"/>
                  </w:pPr>
                  <w:r>
                    <w:rPr>
                      <w:rFonts w:hint="eastAsia"/>
                    </w:rPr>
                    <w:t>指标设置</w:t>
                  </w:r>
                </w:p>
              </w:tc>
              <w:tc>
                <w:tcPr>
                  <w:tcW w:w="3017" w:type="pct"/>
                  <w:shd w:val="clear" w:color="auto" w:fill="auto"/>
                  <w:vAlign w:val="center"/>
                </w:tcPr>
                <w:p w14:paraId="1F39CE6B">
                  <w:pPr>
                    <w:pStyle w:val="1111"/>
                  </w:pPr>
                  <w:r>
                    <w:rPr>
                      <w:rFonts w:hint="eastAsia"/>
                    </w:rPr>
                    <w:t>管控内涵</w:t>
                  </w:r>
                </w:p>
              </w:tc>
              <w:tc>
                <w:tcPr>
                  <w:tcW w:w="992" w:type="pct"/>
                  <w:shd w:val="clear" w:color="auto" w:fill="auto"/>
                  <w:vAlign w:val="center"/>
                </w:tcPr>
                <w:p w14:paraId="4ED77A60">
                  <w:pPr>
                    <w:pStyle w:val="1111"/>
                  </w:pPr>
                  <w:r>
                    <w:rPr>
                      <w:rFonts w:hint="eastAsia"/>
                    </w:rPr>
                    <w:t>项目情况</w:t>
                  </w:r>
                </w:p>
              </w:tc>
              <w:tc>
                <w:tcPr>
                  <w:tcW w:w="510" w:type="pct"/>
                  <w:shd w:val="clear" w:color="auto" w:fill="auto"/>
                  <w:vAlign w:val="center"/>
                </w:tcPr>
                <w:p w14:paraId="062AC92F">
                  <w:pPr>
                    <w:pStyle w:val="1111"/>
                  </w:pPr>
                  <w:r>
                    <w:rPr>
                      <w:rFonts w:hint="eastAsia"/>
                    </w:rPr>
                    <w:t>符合性</w:t>
                  </w:r>
                </w:p>
              </w:tc>
            </w:tr>
            <w:tr w14:paraId="2E8F44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9" w:type="pct"/>
                  <w:vMerge w:val="restart"/>
                  <w:shd w:val="clear" w:color="auto" w:fill="auto"/>
                  <w:vAlign w:val="center"/>
                </w:tcPr>
                <w:p w14:paraId="7D32FA6C">
                  <w:pPr>
                    <w:pStyle w:val="1111"/>
                  </w:pPr>
                  <w:r>
                    <w:rPr>
                      <w:rFonts w:hint="eastAsia"/>
                    </w:rPr>
                    <w:t>水资源总量红线</w:t>
                  </w:r>
                </w:p>
              </w:tc>
              <w:tc>
                <w:tcPr>
                  <w:tcW w:w="3017" w:type="pct"/>
                  <w:shd w:val="clear" w:color="auto" w:fill="auto"/>
                  <w:vAlign w:val="center"/>
                </w:tcPr>
                <w:p w14:paraId="1F314D7A">
                  <w:pPr>
                    <w:pStyle w:val="1111"/>
                  </w:pPr>
                  <w:r>
                    <w:rPr>
                      <w:rFonts w:hint="eastAsia"/>
                    </w:rPr>
                    <w:t>以水资源配置、节约和保护为重点，强化生活、生产和生态用水需求和用水过程管理，严格控制用水总量，全面提高用水效率，加快节水型社会建设，促进水资源可持续利用和经济发展方式转变，推动经济社会发展与水资源载能力相协调。</w:t>
                  </w:r>
                </w:p>
              </w:tc>
              <w:tc>
                <w:tcPr>
                  <w:tcW w:w="992" w:type="pct"/>
                  <w:vMerge w:val="restart"/>
                  <w:shd w:val="clear" w:color="auto" w:fill="auto"/>
                  <w:vAlign w:val="center"/>
                </w:tcPr>
                <w:p w14:paraId="6E1896BA">
                  <w:pPr>
                    <w:pStyle w:val="1111"/>
                    <w:rPr>
                      <w:rFonts w:hint="eastAsia" w:eastAsia="宋体"/>
                      <w:lang w:val="en-US" w:eastAsia="zh-CN"/>
                    </w:rPr>
                  </w:pPr>
                  <w:r>
                    <w:rPr>
                      <w:rFonts w:ascii="Times New Roman" w:eastAsia="宋体"/>
                      <w:spacing w:val="0"/>
                      <w:kern w:val="2"/>
                      <w:sz w:val="21"/>
                      <w:szCs w:val="21"/>
                    </w:rPr>
                    <w:t>本项目新鲜水用量为210t/a，本项目不开采使用地下水，不涉及地下水开采总量指标。本项目运营期不使用煤炭，因此不涉及煤炭消费减量控制等指标要求。同时，本项目能耗较小</w:t>
                  </w:r>
                  <w:r>
                    <w:rPr>
                      <w:rFonts w:hint="eastAsia" w:ascii="Times New Roman" w:eastAsia="宋体"/>
                      <w:spacing w:val="0"/>
                      <w:kern w:val="2"/>
                      <w:sz w:val="21"/>
                      <w:szCs w:val="21"/>
                      <w:lang w:eastAsia="zh-CN"/>
                    </w:rPr>
                    <w:t>。</w:t>
                  </w:r>
                </w:p>
              </w:tc>
              <w:tc>
                <w:tcPr>
                  <w:tcW w:w="510" w:type="pct"/>
                  <w:vMerge w:val="restart"/>
                  <w:shd w:val="clear" w:color="auto" w:fill="auto"/>
                  <w:vAlign w:val="center"/>
                </w:tcPr>
                <w:p w14:paraId="1D5348E2">
                  <w:pPr>
                    <w:pStyle w:val="1111"/>
                    <w:rPr>
                      <w:rFonts w:hint="eastAsia" w:eastAsia="宋体"/>
                      <w:lang w:eastAsia="zh-CN"/>
                    </w:rPr>
                  </w:pPr>
                  <w:r>
                    <w:rPr>
                      <w:rFonts w:hint="eastAsia" w:eastAsia="宋体"/>
                      <w:lang w:eastAsia="zh-CN"/>
                    </w:rPr>
                    <w:t>相符</w:t>
                  </w:r>
                </w:p>
              </w:tc>
            </w:tr>
            <w:tr w14:paraId="1D7389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9" w:type="pct"/>
                  <w:vMerge w:val="continue"/>
                  <w:shd w:val="clear" w:color="auto" w:fill="auto"/>
                  <w:vAlign w:val="center"/>
                </w:tcPr>
                <w:p w14:paraId="7A427E96">
                  <w:pPr>
                    <w:pStyle w:val="1111"/>
                  </w:pPr>
                </w:p>
              </w:tc>
              <w:tc>
                <w:tcPr>
                  <w:tcW w:w="3017" w:type="pct"/>
                  <w:shd w:val="clear" w:color="auto" w:fill="auto"/>
                  <w:vAlign w:val="center"/>
                </w:tcPr>
                <w:p w14:paraId="5DF37913">
                  <w:pPr>
                    <w:pStyle w:val="1111"/>
                  </w:pPr>
                  <w:r>
                    <w:rPr>
                      <w:rFonts w:hint="eastAsia"/>
                    </w:rPr>
                    <w:t>严格设定地下水开采总量指标。</w:t>
                  </w:r>
                </w:p>
              </w:tc>
              <w:tc>
                <w:tcPr>
                  <w:tcW w:w="992" w:type="pct"/>
                  <w:vMerge w:val="continue"/>
                  <w:shd w:val="clear" w:color="auto" w:fill="auto"/>
                  <w:vAlign w:val="center"/>
                </w:tcPr>
                <w:p w14:paraId="3503AF35">
                  <w:pPr>
                    <w:pStyle w:val="1111"/>
                  </w:pPr>
                </w:p>
              </w:tc>
              <w:tc>
                <w:tcPr>
                  <w:tcW w:w="510" w:type="pct"/>
                  <w:vMerge w:val="continue"/>
                  <w:shd w:val="clear" w:color="auto" w:fill="auto"/>
                  <w:vAlign w:val="center"/>
                </w:tcPr>
                <w:p w14:paraId="74862A2D">
                  <w:pPr>
                    <w:pStyle w:val="1111"/>
                  </w:pPr>
                </w:p>
              </w:tc>
            </w:tr>
            <w:tr w14:paraId="55C647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9" w:type="pct"/>
                  <w:vMerge w:val="restart"/>
                  <w:shd w:val="clear" w:color="auto" w:fill="auto"/>
                  <w:vAlign w:val="center"/>
                </w:tcPr>
                <w:p w14:paraId="013424E9">
                  <w:pPr>
                    <w:pStyle w:val="1111"/>
                  </w:pPr>
                  <w:r>
                    <w:rPr>
                      <w:rFonts w:hint="eastAsia"/>
                    </w:rPr>
                    <w:t>能源总量红线</w:t>
                  </w:r>
                </w:p>
              </w:tc>
              <w:tc>
                <w:tcPr>
                  <w:tcW w:w="3017" w:type="pct"/>
                  <w:shd w:val="clear" w:color="auto" w:fill="auto"/>
                  <w:vAlign w:val="center"/>
                </w:tcPr>
                <w:p w14:paraId="5D78F29E">
                  <w:pPr>
                    <w:pStyle w:val="1111"/>
                  </w:pPr>
                  <w:r>
                    <w:rPr>
                      <w:rFonts w:hint="eastAsia"/>
                    </w:rPr>
                    <w:t>考虑到连云港市经济发展现状情况以及石化基地、精品钢基地及大港口的发展战略需求，综合能源消耗总量将在较长一段时间内，保持较高的增速，因此综合能源消耗总量增速控制3</w:t>
                  </w:r>
                  <w:r>
                    <w:t>.5%-5%</w:t>
                  </w:r>
                  <w:r>
                    <w:rPr>
                      <w:rFonts w:hint="eastAsia"/>
                    </w:rPr>
                    <w:t>，2</w:t>
                  </w:r>
                  <w:r>
                    <w:t>020</w:t>
                  </w:r>
                  <w:r>
                    <w:rPr>
                      <w:rFonts w:hint="eastAsia"/>
                    </w:rPr>
                    <w:t>年和2</w:t>
                  </w:r>
                  <w:r>
                    <w:t>030</w:t>
                  </w:r>
                  <w:r>
                    <w:rPr>
                      <w:rFonts w:hint="eastAsia"/>
                    </w:rPr>
                    <w:t>年综合能源消耗总量控制在2</w:t>
                  </w:r>
                  <w:r>
                    <w:t>100</w:t>
                  </w:r>
                  <w:r>
                    <w:rPr>
                      <w:rFonts w:hint="eastAsia"/>
                    </w:rPr>
                    <w:t>万吨标准煤和3</w:t>
                  </w:r>
                  <w:r>
                    <w:t>200</w:t>
                  </w:r>
                  <w:r>
                    <w:rPr>
                      <w:rFonts w:hint="eastAsia"/>
                    </w:rPr>
                    <w:t>万吨标准煤。</w:t>
                  </w:r>
                </w:p>
              </w:tc>
              <w:tc>
                <w:tcPr>
                  <w:tcW w:w="992" w:type="pct"/>
                  <w:vMerge w:val="continue"/>
                  <w:shd w:val="clear" w:color="auto" w:fill="auto"/>
                  <w:vAlign w:val="center"/>
                </w:tcPr>
                <w:p w14:paraId="658CB296">
                  <w:pPr>
                    <w:pStyle w:val="1111"/>
                  </w:pPr>
                </w:p>
              </w:tc>
              <w:tc>
                <w:tcPr>
                  <w:tcW w:w="510" w:type="pct"/>
                  <w:vMerge w:val="continue"/>
                  <w:shd w:val="clear" w:color="auto" w:fill="auto"/>
                  <w:vAlign w:val="center"/>
                </w:tcPr>
                <w:p w14:paraId="01B7CC05">
                  <w:pPr>
                    <w:pStyle w:val="1111"/>
                  </w:pPr>
                </w:p>
              </w:tc>
            </w:tr>
            <w:tr w14:paraId="6550FD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9" w:type="pct"/>
                  <w:vMerge w:val="continue"/>
                  <w:shd w:val="clear" w:color="auto" w:fill="auto"/>
                  <w:vAlign w:val="center"/>
                </w:tcPr>
                <w:p w14:paraId="04C7D71D">
                  <w:pPr>
                    <w:pStyle w:val="1111"/>
                  </w:pPr>
                </w:p>
              </w:tc>
              <w:tc>
                <w:tcPr>
                  <w:tcW w:w="3017" w:type="pct"/>
                  <w:shd w:val="clear" w:color="auto" w:fill="auto"/>
                  <w:vAlign w:val="center"/>
                </w:tcPr>
                <w:p w14:paraId="7159125A">
                  <w:pPr>
                    <w:pStyle w:val="1111"/>
                  </w:pPr>
                  <w:r>
                    <w:rPr>
                      <w:rFonts w:hint="eastAsia"/>
                    </w:rPr>
                    <w:t>2</w:t>
                  </w:r>
                  <w:r>
                    <w:t>020</w:t>
                  </w:r>
                  <w:r>
                    <w:rPr>
                      <w:rFonts w:hint="eastAsia"/>
                    </w:rPr>
                    <w:t>年，单位G</w:t>
                  </w:r>
                  <w:r>
                    <w:t>DP</w:t>
                  </w:r>
                  <w:r>
                    <w:rPr>
                      <w:rFonts w:hint="eastAsia"/>
                    </w:rPr>
                    <w:t>能耗控制在0</w:t>
                  </w:r>
                  <w:r>
                    <w:t>.62</w:t>
                  </w:r>
                  <w:r>
                    <w:rPr>
                      <w:rFonts w:hint="eastAsia"/>
                    </w:rPr>
                    <w:t>吨标准煤/万元以下，碳排放强度控制在1</w:t>
                  </w:r>
                  <w:r>
                    <w:t>.6</w:t>
                  </w:r>
                  <w:r>
                    <w:rPr>
                      <w:rFonts w:hint="eastAsia"/>
                    </w:rPr>
                    <w:t>吨/万元。</w:t>
                  </w:r>
                </w:p>
              </w:tc>
              <w:tc>
                <w:tcPr>
                  <w:tcW w:w="992" w:type="pct"/>
                  <w:vMerge w:val="continue"/>
                  <w:shd w:val="clear" w:color="auto" w:fill="auto"/>
                  <w:vAlign w:val="center"/>
                </w:tcPr>
                <w:p w14:paraId="3B28F1C7">
                  <w:pPr>
                    <w:pStyle w:val="1111"/>
                    <w:rPr>
                      <w:rFonts w:hint="eastAsia" w:eastAsia="宋体"/>
                      <w:lang w:val="en-US" w:eastAsia="zh-CN"/>
                    </w:rPr>
                  </w:pPr>
                </w:p>
              </w:tc>
              <w:tc>
                <w:tcPr>
                  <w:tcW w:w="510" w:type="pct"/>
                  <w:vMerge w:val="continue"/>
                  <w:shd w:val="clear" w:color="auto" w:fill="auto"/>
                  <w:vAlign w:val="center"/>
                </w:tcPr>
                <w:p w14:paraId="073D4CD5">
                  <w:pPr>
                    <w:pStyle w:val="1111"/>
                    <w:rPr>
                      <w:rFonts w:hint="eastAsia" w:eastAsia="宋体"/>
                      <w:lang w:eastAsia="zh-CN"/>
                    </w:rPr>
                  </w:pPr>
                </w:p>
              </w:tc>
            </w:tr>
            <w:tr w14:paraId="258EB0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9" w:type="pct"/>
                  <w:vMerge w:val="continue"/>
                  <w:shd w:val="clear" w:color="auto" w:fill="auto"/>
                  <w:vAlign w:val="center"/>
                </w:tcPr>
                <w:p w14:paraId="42F27E42">
                  <w:pPr>
                    <w:pStyle w:val="1111"/>
                  </w:pPr>
                </w:p>
              </w:tc>
              <w:tc>
                <w:tcPr>
                  <w:tcW w:w="3017" w:type="pct"/>
                  <w:shd w:val="clear" w:color="auto" w:fill="auto"/>
                  <w:vAlign w:val="center"/>
                </w:tcPr>
                <w:p w14:paraId="1DFA105E">
                  <w:pPr>
                    <w:pStyle w:val="1111"/>
                  </w:pPr>
                  <w:r>
                    <w:rPr>
                      <w:rFonts w:hint="eastAsia"/>
                    </w:rPr>
                    <w:t>2</w:t>
                  </w:r>
                  <w:r>
                    <w:t>030</w:t>
                  </w:r>
                  <w:r>
                    <w:rPr>
                      <w:rFonts w:hint="eastAsia"/>
                    </w:rPr>
                    <w:t>年，单位G</w:t>
                  </w:r>
                  <w:r>
                    <w:t>DP</w:t>
                  </w:r>
                  <w:r>
                    <w:rPr>
                      <w:rFonts w:hint="eastAsia"/>
                    </w:rPr>
                    <w:t>能耗控制在0</w:t>
                  </w:r>
                  <w:r>
                    <w:t>.5</w:t>
                  </w:r>
                  <w:r>
                    <w:rPr>
                      <w:rFonts w:hint="eastAsia"/>
                    </w:rPr>
                    <w:t>吨标准煤/万元以下，碳排放强度控制在1</w:t>
                  </w:r>
                  <w:r>
                    <w:t>.2</w:t>
                  </w:r>
                  <w:r>
                    <w:rPr>
                      <w:rFonts w:hint="eastAsia"/>
                    </w:rPr>
                    <w:t>吨/万元。</w:t>
                  </w:r>
                </w:p>
              </w:tc>
              <w:tc>
                <w:tcPr>
                  <w:tcW w:w="992" w:type="pct"/>
                  <w:vMerge w:val="continue"/>
                  <w:shd w:val="clear" w:color="auto" w:fill="auto"/>
                  <w:vAlign w:val="center"/>
                </w:tcPr>
                <w:p w14:paraId="372536A3">
                  <w:pPr>
                    <w:pStyle w:val="1111"/>
                  </w:pPr>
                </w:p>
              </w:tc>
              <w:tc>
                <w:tcPr>
                  <w:tcW w:w="510" w:type="pct"/>
                  <w:vMerge w:val="continue"/>
                  <w:shd w:val="clear" w:color="auto" w:fill="auto"/>
                  <w:vAlign w:val="center"/>
                </w:tcPr>
                <w:p w14:paraId="5866EE06">
                  <w:pPr>
                    <w:pStyle w:val="1111"/>
                  </w:pPr>
                </w:p>
              </w:tc>
            </w:tr>
          </w:tbl>
          <w:p w14:paraId="61A42C26">
            <w:pPr>
              <w:pStyle w:val="1111"/>
              <w:jc w:val="both"/>
            </w:pPr>
            <w:r>
              <w:rPr>
                <w:rFonts w:hint="eastAsia"/>
              </w:rPr>
              <w:t>注：本项目消耗自来水</w:t>
            </w:r>
            <w:r>
              <w:rPr>
                <w:rFonts w:hint="eastAsia"/>
                <w:lang w:val="en-US" w:eastAsia="zh-CN"/>
              </w:rPr>
              <w:t>21</w:t>
            </w:r>
            <w:r>
              <w:t>0m</w:t>
            </w:r>
            <w:r>
              <w:rPr>
                <w:vertAlign w:val="superscript"/>
              </w:rPr>
              <w:t>3</w:t>
            </w:r>
            <w:r>
              <w:t>/a</w:t>
            </w:r>
            <w:r>
              <w:rPr>
                <w:rFonts w:hint="eastAsia"/>
              </w:rPr>
              <w:t>、用电</w:t>
            </w:r>
            <w:r>
              <w:t>1</w:t>
            </w:r>
            <w:r>
              <w:rPr>
                <w:rFonts w:hint="eastAsia"/>
                <w:lang w:val="en-US" w:eastAsia="zh-CN"/>
              </w:rPr>
              <w:t>.1</w:t>
            </w:r>
            <w:r>
              <w:rPr>
                <w:rFonts w:hint="eastAsia"/>
              </w:rPr>
              <w:t>万k</w:t>
            </w:r>
            <w:r>
              <w:t>W</w:t>
            </w:r>
            <w:r>
              <w:rPr>
                <w:rFonts w:hint="eastAsia"/>
              </w:rPr>
              <w:t>h/a，根据《综合能耗计算通则》（G</w:t>
            </w:r>
            <w:r>
              <w:t>B/T2589-2020</w:t>
            </w:r>
            <w:r>
              <w:rPr>
                <w:rFonts w:hint="eastAsia"/>
              </w:rPr>
              <w:t>）可知折煤系数分别为：0</w:t>
            </w:r>
            <w:r>
              <w:t>.2571kgce/t</w:t>
            </w:r>
            <w:r>
              <w:rPr>
                <w:rFonts w:hint="eastAsia"/>
              </w:rPr>
              <w:t>、0</w:t>
            </w:r>
            <w:r>
              <w:t>.1229kgce/（kWh）</w:t>
            </w:r>
            <w:r>
              <w:rPr>
                <w:rFonts w:hint="eastAsia"/>
              </w:rPr>
              <w:t>，则合计折标煤约</w:t>
            </w:r>
            <w:r>
              <w:t>1</w:t>
            </w:r>
            <w:r>
              <w:rPr>
                <w:rFonts w:hint="eastAsia"/>
                <w:lang w:val="en-US" w:eastAsia="zh-CN"/>
              </w:rPr>
              <w:t>.406</w:t>
            </w:r>
            <w:r>
              <w:t>t/a</w:t>
            </w:r>
            <w:r>
              <w:rPr>
                <w:rFonts w:hint="eastAsia"/>
              </w:rPr>
              <w:t>。</w:t>
            </w:r>
          </w:p>
          <w:p w14:paraId="3869D334">
            <w:pPr>
              <w:pStyle w:val="512"/>
            </w:pPr>
            <w:r>
              <w:rPr>
                <w:rFonts w:hint="eastAsia"/>
              </w:rPr>
              <w:t>根据《关于印发连云港市资源利用上线管理办法（试行）的通知》（连政办发[</w:t>
            </w:r>
            <w:r>
              <w:t>2018]37</w:t>
            </w:r>
            <w:r>
              <w:rPr>
                <w:rFonts w:hint="eastAsia"/>
              </w:rPr>
              <w:t>号）要求，本环评对照该文件进行相符性分析，具体分析结果见表1</w:t>
            </w:r>
            <w:r>
              <w:t>-</w:t>
            </w:r>
            <w:r>
              <w:rPr>
                <w:rFonts w:hint="eastAsia"/>
                <w:lang w:val="en-US" w:eastAsia="zh-CN"/>
              </w:rPr>
              <w:t>4</w:t>
            </w:r>
            <w:r>
              <w:rPr>
                <w:rFonts w:hint="eastAsia"/>
              </w:rPr>
              <w:t>。</w:t>
            </w:r>
          </w:p>
          <w:p w14:paraId="5A8D72AE">
            <w:pPr>
              <w:pStyle w:val="1111"/>
            </w:pPr>
            <w:r>
              <w:t>表1-</w:t>
            </w:r>
            <w:r>
              <w:rPr>
                <w:rFonts w:hint="eastAsia"/>
                <w:lang w:val="en-US" w:eastAsia="zh-CN"/>
              </w:rPr>
              <w:t>4</w:t>
            </w:r>
            <w:r>
              <w:t xml:space="preserve"> 项目与《连云港市资源利用上线管理办法</w:t>
            </w:r>
            <w:r>
              <w:rPr>
                <w:rFonts w:hint="eastAsia"/>
              </w:rPr>
              <w:t>（试行）</w:t>
            </w:r>
            <w:r>
              <w:t>》的符合性分析表</w:t>
            </w:r>
          </w:p>
          <w:tbl>
            <w:tblPr>
              <w:tblStyle w:val="7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8"/>
              <w:gridCol w:w="3825"/>
              <w:gridCol w:w="1551"/>
              <w:gridCol w:w="691"/>
            </w:tblGrid>
            <w:tr w14:paraId="18564D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984" w:type="dxa"/>
                  <w:vAlign w:val="center"/>
                </w:tcPr>
                <w:p w14:paraId="201D7F1F">
                  <w:pPr>
                    <w:pStyle w:val="1111"/>
                  </w:pPr>
                  <w:r>
                    <w:t>名称</w:t>
                  </w:r>
                </w:p>
              </w:tc>
              <w:tc>
                <w:tcPr>
                  <w:tcW w:w="3809" w:type="dxa"/>
                  <w:vAlign w:val="center"/>
                </w:tcPr>
                <w:p w14:paraId="05907F47">
                  <w:pPr>
                    <w:pStyle w:val="1111"/>
                  </w:pPr>
                  <w:r>
                    <w:t>管控要求</w:t>
                  </w:r>
                </w:p>
              </w:tc>
              <w:tc>
                <w:tcPr>
                  <w:tcW w:w="1545" w:type="dxa"/>
                  <w:vAlign w:val="center"/>
                </w:tcPr>
                <w:p w14:paraId="2875241F">
                  <w:pPr>
                    <w:pStyle w:val="1111"/>
                  </w:pPr>
                  <w:r>
                    <w:t>项目情况</w:t>
                  </w:r>
                </w:p>
              </w:tc>
              <w:tc>
                <w:tcPr>
                  <w:tcW w:w="688" w:type="dxa"/>
                  <w:vAlign w:val="center"/>
                </w:tcPr>
                <w:p w14:paraId="1F8FE6DF">
                  <w:pPr>
                    <w:pStyle w:val="1111"/>
                  </w:pPr>
                  <w:r>
                    <w:t>符合性</w:t>
                  </w:r>
                </w:p>
              </w:tc>
            </w:tr>
            <w:tr w14:paraId="4A1820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984" w:type="dxa"/>
                  <w:vMerge w:val="restart"/>
                  <w:vAlign w:val="center"/>
                </w:tcPr>
                <w:p w14:paraId="20F6AA24">
                  <w:pPr>
                    <w:pStyle w:val="1111"/>
                  </w:pPr>
                  <w:r>
                    <w:t>《关于印发连云港市资源利用上线管理办法（试行）的通知》</w:t>
                  </w:r>
                </w:p>
              </w:tc>
              <w:tc>
                <w:tcPr>
                  <w:tcW w:w="3809" w:type="dxa"/>
                  <w:vAlign w:val="center"/>
                </w:tcPr>
                <w:p w14:paraId="1F3F53D9">
                  <w:pPr>
                    <w:pStyle w:val="1111"/>
                  </w:pPr>
                  <w:r>
                    <w:t>第三条水资源利用管控要求</w:t>
                  </w:r>
                  <w:r>
                    <w:rPr>
                      <w:rFonts w:hint="eastAsia"/>
                    </w:rPr>
                    <w:t>。</w:t>
                  </w:r>
                  <w:r>
                    <w:t>严格控制全市水资源利用总量，到2020年，全市年用水总量控制在29.43亿立方米以内，其中地下水控制在2500万立方米以内；万元国内生产总值用水量</w:t>
                  </w:r>
                  <w:r>
                    <w:rPr>
                      <w:rFonts w:hint="eastAsia" w:ascii="微软雅黑" w:hAnsi="微软雅黑" w:eastAsia="微软雅黑" w:cs="微软雅黑"/>
                      <w:lang w:eastAsia="zh-CN"/>
                    </w:rPr>
                    <w:t>、</w:t>
                  </w:r>
                  <w:r>
                    <w:t>万元工业增加值用水量分别要比2015年下降28%和23%；农田灌溉水有效利用系数提高至0.60以上</w:t>
                  </w:r>
                  <w:r>
                    <w:rPr>
                      <w:rFonts w:hint="eastAsia"/>
                    </w:rPr>
                    <w:t>。</w:t>
                  </w:r>
                  <w:r>
                    <w:t>工业</w:t>
                  </w:r>
                  <w:r>
                    <w:rPr>
                      <w:rFonts w:hint="eastAsia" w:ascii="微软雅黑" w:hAnsi="微软雅黑" w:eastAsia="微软雅黑" w:cs="微软雅黑"/>
                      <w:lang w:eastAsia="zh-CN"/>
                    </w:rPr>
                    <w:t>、</w:t>
                  </w:r>
                  <w:r>
                    <w:t>服务业和生活用水严格按照《</w:t>
                  </w:r>
                  <w:r>
                    <w:rPr>
                      <w:rFonts w:hint="eastAsia"/>
                    </w:rPr>
                    <w:t>江苏省工业</w:t>
                  </w:r>
                  <w:r>
                    <w:rPr>
                      <w:rFonts w:hint="eastAsia" w:ascii="微软雅黑" w:hAnsi="微软雅黑" w:eastAsia="微软雅黑" w:cs="微软雅黑"/>
                      <w:lang w:eastAsia="zh-CN"/>
                    </w:rPr>
                    <w:t>、</w:t>
                  </w:r>
                  <w:r>
                    <w:rPr>
                      <w:rFonts w:hint="eastAsia"/>
                    </w:rPr>
                    <w:t>服务业和生活用水定额</w:t>
                  </w:r>
                  <w:r>
                    <w:t>（2014</w:t>
                  </w:r>
                  <w:r>
                    <w:rPr>
                      <w:rFonts w:hint="eastAsia"/>
                    </w:rPr>
                    <w:t>年修订</w:t>
                  </w:r>
                  <w:r>
                    <w:t>）》执行</w:t>
                  </w:r>
                  <w:r>
                    <w:rPr>
                      <w:rFonts w:hint="eastAsia"/>
                    </w:rPr>
                    <w:t>。</w:t>
                  </w:r>
                  <w:r>
                    <w:t>到2030年，全市年用水总量控制在30.23亿立方米以内，提高河流生态流量保障力度</w:t>
                  </w:r>
                  <w:r>
                    <w:rPr>
                      <w:rFonts w:hint="eastAsia"/>
                    </w:rPr>
                    <w:t>。</w:t>
                  </w:r>
                </w:p>
              </w:tc>
              <w:tc>
                <w:tcPr>
                  <w:tcW w:w="1545" w:type="dxa"/>
                  <w:vAlign w:val="center"/>
                </w:tcPr>
                <w:p w14:paraId="22FB73AA">
                  <w:pPr>
                    <w:pStyle w:val="1111"/>
                    <w:bidi w:val="0"/>
                  </w:pPr>
                  <w:r>
                    <w:t>本项目建成后，拟用水量210m</w:t>
                  </w:r>
                  <w:r>
                    <w:rPr>
                      <w:vertAlign w:val="superscript"/>
                    </w:rPr>
                    <w:t>3</w:t>
                  </w:r>
                  <w:r>
                    <w:t>/a。本项目所用水来自区域供水管网，不开采地下水。</w:t>
                  </w:r>
                </w:p>
              </w:tc>
              <w:tc>
                <w:tcPr>
                  <w:tcW w:w="688" w:type="dxa"/>
                  <w:vAlign w:val="center"/>
                </w:tcPr>
                <w:p w14:paraId="7900F422">
                  <w:pPr>
                    <w:pStyle w:val="1111"/>
                  </w:pPr>
                  <w:r>
                    <w:t>符合</w:t>
                  </w:r>
                </w:p>
              </w:tc>
            </w:tr>
            <w:tr w14:paraId="79753B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984" w:type="dxa"/>
                  <w:vMerge w:val="continue"/>
                  <w:vAlign w:val="center"/>
                </w:tcPr>
                <w:p w14:paraId="2F2DD3D5">
                  <w:pPr>
                    <w:pStyle w:val="1111"/>
                  </w:pPr>
                </w:p>
              </w:tc>
              <w:tc>
                <w:tcPr>
                  <w:tcW w:w="3809" w:type="dxa"/>
                  <w:vAlign w:val="center"/>
                </w:tcPr>
                <w:p w14:paraId="0766926B">
                  <w:pPr>
                    <w:pStyle w:val="1111"/>
                  </w:pPr>
                  <w:r>
                    <w:t>第四条土地利用管控要求</w:t>
                  </w:r>
                  <w:r>
                    <w:rPr>
                      <w:rFonts w:hint="eastAsia"/>
                    </w:rPr>
                    <w:t>。</w:t>
                  </w:r>
                  <w:r>
                    <w:t>优化国土空间开展格局，完善土地节约利用体制，全面推进节约集约用地，控制土地开发总体强度</w:t>
                  </w:r>
                  <w:r>
                    <w:rPr>
                      <w:rFonts w:hint="eastAsia"/>
                    </w:rPr>
                    <w:t>。</w:t>
                  </w:r>
                  <w:r>
                    <w:t>国家级开发区</w:t>
                  </w:r>
                  <w:r>
                    <w:rPr>
                      <w:rFonts w:hint="eastAsia"/>
                    </w:rPr>
                    <w:t>、</w:t>
                  </w:r>
                  <w:r>
                    <w:t>省级开发区和市区</w:t>
                  </w:r>
                  <w:r>
                    <w:rPr>
                      <w:rFonts w:hint="eastAsia"/>
                    </w:rPr>
                    <w:t>、</w:t>
                  </w:r>
                  <w:r>
                    <w:t>其他工业集中区新建工业项目平均投资强度分别不低于350万元/亩</w:t>
                  </w:r>
                  <w:r>
                    <w:rPr>
                      <w:rFonts w:hint="eastAsia"/>
                    </w:rPr>
                    <w:t>、</w:t>
                  </w:r>
                  <w:r>
                    <w:t>280万元/亩</w:t>
                  </w:r>
                  <w:r>
                    <w:rPr>
                      <w:rFonts w:hint="eastAsia"/>
                    </w:rPr>
                    <w:t>、</w:t>
                  </w:r>
                  <w:r>
                    <w:t>220万元/亩，项目达产后亩均产值分别不低于520万元/亩</w:t>
                  </w:r>
                  <w:r>
                    <w:rPr>
                      <w:rFonts w:hint="eastAsia"/>
                    </w:rPr>
                    <w:t>、</w:t>
                  </w:r>
                  <w:r>
                    <w:t>400万元/亩</w:t>
                  </w:r>
                  <w:r>
                    <w:rPr>
                      <w:rFonts w:hint="eastAsia"/>
                    </w:rPr>
                    <w:t>、</w:t>
                  </w:r>
                  <w:r>
                    <w:t>280万元/亩，亩均税收不低于30万元/亩</w:t>
                  </w:r>
                  <w:r>
                    <w:rPr>
                      <w:rFonts w:hint="eastAsia"/>
                    </w:rPr>
                    <w:t>、</w:t>
                  </w:r>
                  <w:r>
                    <w:t>20万元/亩</w:t>
                  </w:r>
                  <w:r>
                    <w:rPr>
                      <w:rFonts w:hint="eastAsia"/>
                    </w:rPr>
                    <w:t>、</w:t>
                  </w:r>
                  <w:r>
                    <w:t>15万元/亩</w:t>
                  </w:r>
                  <w:r>
                    <w:rPr>
                      <w:rFonts w:hint="eastAsia"/>
                    </w:rPr>
                    <w:t>。</w:t>
                  </w:r>
                  <w:r>
                    <w:t>工业用地容积率不得低于1.0，特殊行业容积率不得低于0.8，化工行业用地容积率不得低于0.6，标准厂房用地容积率不得低于1.2，绿地率不得超过15%，工业用地中企业内部行政办公用生活服务设施用地面积不得超过总用地面积的7%，建筑面积不得超过总建筑面积的15%</w:t>
                  </w:r>
                  <w:r>
                    <w:rPr>
                      <w:rFonts w:hint="eastAsia"/>
                    </w:rPr>
                    <w:t>。</w:t>
                  </w:r>
                </w:p>
              </w:tc>
              <w:tc>
                <w:tcPr>
                  <w:tcW w:w="1545" w:type="dxa"/>
                  <w:vAlign w:val="center"/>
                </w:tcPr>
                <w:p w14:paraId="479EB85A">
                  <w:pPr>
                    <w:pStyle w:val="1111"/>
                    <w:bidi w:val="0"/>
                  </w:pPr>
                  <w:r>
                    <w:t>本项目</w:t>
                  </w:r>
                  <w:r>
                    <w:rPr>
                      <w:rFonts w:hint="eastAsia"/>
                      <w:lang w:eastAsia="zh-CN"/>
                    </w:rPr>
                    <w:t>租用江苏鑫科医药产业投资发展有限公司高端化学制剂产业园</w:t>
                  </w:r>
                  <w:r>
                    <w:t>项目危废品库为区域内企业提供危险废物仓储，不新增用地</w:t>
                  </w:r>
                </w:p>
              </w:tc>
              <w:tc>
                <w:tcPr>
                  <w:tcW w:w="688" w:type="dxa"/>
                  <w:vAlign w:val="center"/>
                </w:tcPr>
                <w:p w14:paraId="6DCF5545">
                  <w:pPr>
                    <w:pStyle w:val="1111"/>
                  </w:pPr>
                  <w:r>
                    <w:t>符合</w:t>
                  </w:r>
                </w:p>
              </w:tc>
            </w:tr>
            <w:tr w14:paraId="225891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3" w:hRule="atLeast"/>
                <w:jc w:val="center"/>
              </w:trPr>
              <w:tc>
                <w:tcPr>
                  <w:tcW w:w="984" w:type="dxa"/>
                  <w:vMerge w:val="continue"/>
                  <w:vAlign w:val="center"/>
                </w:tcPr>
                <w:p w14:paraId="22D04A49">
                  <w:pPr>
                    <w:pStyle w:val="1111"/>
                  </w:pPr>
                </w:p>
              </w:tc>
              <w:tc>
                <w:tcPr>
                  <w:tcW w:w="3809" w:type="dxa"/>
                  <w:vAlign w:val="center"/>
                </w:tcPr>
                <w:p w14:paraId="2C3A9E16">
                  <w:pPr>
                    <w:pStyle w:val="1111"/>
                  </w:pPr>
                  <w:r>
                    <w:t>第五条能源消耗管控要求</w:t>
                  </w:r>
                  <w:r>
                    <w:rPr>
                      <w:rFonts w:hint="eastAsia"/>
                    </w:rPr>
                    <w:t>。</w:t>
                  </w:r>
                  <w:r>
                    <w:t>加强对全市能源消耗总量和强度“双控”管理，提高清洁能源使用比例</w:t>
                  </w:r>
                  <w:r>
                    <w:rPr>
                      <w:rFonts w:hint="eastAsia"/>
                    </w:rPr>
                    <w:t>。</w:t>
                  </w:r>
                  <w:r>
                    <w:t>到2020年，全市能源消费总量增量目标控制在161万吨标煤以内，全市煤炭消费量减少77万吨，电力行业煤炭消费占煤炭消费总量比重提高到65%以上</w:t>
                  </w:r>
                  <w:r>
                    <w:rPr>
                      <w:rFonts w:hint="eastAsia"/>
                    </w:rPr>
                    <w:t>。</w:t>
                  </w:r>
                  <w:r>
                    <w:t>各行业现有企业能耗严格按照相应行业国家（或省级）标准中对应的单位产品能源消耗限额执行，新建企业能耗严格按照相应行业国家（或省级）标准中对应的单位产品能源消耗准入值执行</w:t>
                  </w:r>
                  <w:r>
                    <w:rPr>
                      <w:rFonts w:hint="eastAsia"/>
                    </w:rPr>
                    <w:t>。</w:t>
                  </w:r>
                </w:p>
              </w:tc>
              <w:tc>
                <w:tcPr>
                  <w:tcW w:w="1545" w:type="dxa"/>
                  <w:vAlign w:val="center"/>
                </w:tcPr>
                <w:p w14:paraId="44E614D1">
                  <w:pPr>
                    <w:pStyle w:val="1111"/>
                    <w:bidi w:val="0"/>
                  </w:pPr>
                  <w:r>
                    <w:t>本项目综合能耗为1.</w:t>
                  </w:r>
                  <w:r>
                    <w:rPr>
                      <w:rFonts w:hint="eastAsia"/>
                      <w:lang w:val="en-US" w:eastAsia="zh-CN"/>
                    </w:rPr>
                    <w:t>406</w:t>
                  </w:r>
                  <w:r>
                    <w:t>吨标准煤（电耗和水消耗折算）。</w:t>
                  </w:r>
                </w:p>
              </w:tc>
              <w:tc>
                <w:tcPr>
                  <w:tcW w:w="688" w:type="dxa"/>
                  <w:vAlign w:val="center"/>
                </w:tcPr>
                <w:p w14:paraId="0F76F5EA">
                  <w:pPr>
                    <w:pStyle w:val="1111"/>
                  </w:pPr>
                  <w:r>
                    <w:t>符合</w:t>
                  </w:r>
                </w:p>
              </w:tc>
            </w:tr>
          </w:tbl>
          <w:p w14:paraId="74E8498E">
            <w:pPr>
              <w:pStyle w:val="512"/>
            </w:pPr>
            <w:r>
              <w:t>综上，项目建设符合《连云港市资源利用上线管理办法（试行）》（连政办发</w:t>
            </w:r>
            <w:r>
              <w:rPr>
                <w:rFonts w:hint="eastAsia"/>
              </w:rPr>
              <w:t>[</w:t>
            </w:r>
            <w:r>
              <w:t>2018]37号）的要求</w:t>
            </w:r>
            <w:r>
              <w:rPr>
                <w:rFonts w:hint="eastAsia"/>
              </w:rPr>
              <w:t>。</w:t>
            </w:r>
          </w:p>
          <w:p w14:paraId="5BA152E2">
            <w:pPr>
              <w:pStyle w:val="512"/>
            </w:pPr>
            <w:r>
              <w:rPr>
                <w:rFonts w:hint="eastAsia"/>
              </w:rPr>
              <w:t>（4）</w:t>
            </w:r>
            <w:r>
              <w:t>环境准入负面清单</w:t>
            </w:r>
          </w:p>
          <w:p w14:paraId="5876739D">
            <w:pPr>
              <w:pStyle w:val="512"/>
            </w:pPr>
            <w:r>
              <w:rPr>
                <w:rFonts w:hint="eastAsia" w:ascii="宋体" w:hAnsi="宋体"/>
              </w:rPr>
              <w:t>①</w:t>
            </w:r>
            <w:r>
              <w:t>《连云港市基于空间控制单元的环境准入制度及负面清单管理办法（试行）》（连政办发[2018]9号）</w:t>
            </w:r>
          </w:p>
          <w:p w14:paraId="79A1B564">
            <w:pPr>
              <w:pStyle w:val="512"/>
            </w:pPr>
            <w:r>
              <w:rPr>
                <w:rFonts w:hint="eastAsia"/>
              </w:rPr>
              <w:t>本项目位于</w:t>
            </w:r>
            <w:r>
              <w:rPr>
                <w:rFonts w:hint="eastAsia"/>
                <w:lang w:eastAsia="zh-CN"/>
              </w:rPr>
              <w:t>连云港经济技术开发区</w:t>
            </w:r>
            <w:r>
              <w:rPr>
                <w:rFonts w:hint="eastAsia"/>
              </w:rPr>
              <w:t>内。</w:t>
            </w:r>
            <w:r>
              <w:t>项目与连云港</w:t>
            </w:r>
            <w:r>
              <w:rPr>
                <w:rFonts w:hint="eastAsia"/>
              </w:rPr>
              <w:t>环境准入制度及负面清单</w:t>
            </w:r>
            <w:r>
              <w:t>相符性如表1-</w:t>
            </w:r>
            <w:r>
              <w:rPr>
                <w:rFonts w:hint="eastAsia"/>
                <w:lang w:val="en-US" w:eastAsia="zh-CN"/>
              </w:rPr>
              <w:t>5</w:t>
            </w:r>
            <w:r>
              <w:t>所示。</w:t>
            </w:r>
          </w:p>
          <w:p w14:paraId="090ADA45">
            <w:pPr>
              <w:pStyle w:val="1111"/>
              <w:bidi w:val="0"/>
            </w:pPr>
            <w:r>
              <w:t>表1-</w:t>
            </w:r>
            <w:r>
              <w:rPr>
                <w:rFonts w:hint="eastAsia"/>
                <w:lang w:val="en-US" w:eastAsia="zh-CN"/>
              </w:rPr>
              <w:t>5</w:t>
            </w:r>
            <w:r>
              <w:t xml:space="preserve"> </w:t>
            </w:r>
            <w:r>
              <w:rPr>
                <w:rFonts w:hint="eastAsia"/>
              </w:rPr>
              <w:t>项目与</w:t>
            </w:r>
            <w:r>
              <w:t>《连云港市基于空间控制单元的环境准入制度及负面清单管理办法（试行）》符</w:t>
            </w:r>
            <w:r>
              <w:rPr>
                <w:rFonts w:hint="eastAsia"/>
              </w:rPr>
              <w:t>合</w:t>
            </w:r>
            <w:r>
              <w:t>性</w:t>
            </w:r>
            <w:r>
              <w:rPr>
                <w:rFonts w:hint="eastAsia"/>
              </w:rPr>
              <w:t>分析</w:t>
            </w:r>
          </w:p>
          <w:tbl>
            <w:tblPr>
              <w:tblStyle w:val="7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5"/>
              <w:gridCol w:w="3481"/>
              <w:gridCol w:w="2231"/>
              <w:gridCol w:w="628"/>
            </w:tblGrid>
            <w:tr w14:paraId="0F88A7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743" w:type="dxa"/>
                  <w:noWrap w:val="0"/>
                  <w:vAlign w:val="center"/>
                </w:tcPr>
                <w:p w14:paraId="1702F651">
                  <w:pPr>
                    <w:pStyle w:val="1111"/>
                    <w:bidi w:val="0"/>
                  </w:pPr>
                  <w:r>
                    <w:t>指标设置</w:t>
                  </w:r>
                </w:p>
              </w:tc>
              <w:tc>
                <w:tcPr>
                  <w:tcW w:w="3844" w:type="dxa"/>
                  <w:noWrap w:val="0"/>
                  <w:vAlign w:val="center"/>
                </w:tcPr>
                <w:p w14:paraId="35A7717D">
                  <w:pPr>
                    <w:pStyle w:val="1111"/>
                    <w:bidi w:val="0"/>
                  </w:pPr>
                  <w:r>
                    <w:t>管控内涵</w:t>
                  </w:r>
                </w:p>
              </w:tc>
              <w:tc>
                <w:tcPr>
                  <w:tcW w:w="2393" w:type="dxa"/>
                  <w:noWrap w:val="0"/>
                  <w:vAlign w:val="center"/>
                </w:tcPr>
                <w:p w14:paraId="6EC71DA2">
                  <w:pPr>
                    <w:pStyle w:val="1111"/>
                    <w:bidi w:val="0"/>
                  </w:pPr>
                  <w:r>
                    <w:t>项目情况</w:t>
                  </w:r>
                </w:p>
              </w:tc>
              <w:tc>
                <w:tcPr>
                  <w:tcW w:w="658" w:type="dxa"/>
                  <w:noWrap w:val="0"/>
                  <w:vAlign w:val="center"/>
                </w:tcPr>
                <w:p w14:paraId="7FDA0FD0">
                  <w:pPr>
                    <w:pStyle w:val="1111"/>
                    <w:bidi w:val="0"/>
                  </w:pPr>
                  <w:r>
                    <w:t>符合性</w:t>
                  </w:r>
                </w:p>
              </w:tc>
            </w:tr>
            <w:tr w14:paraId="75C26F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3" w:type="dxa"/>
                  <w:vMerge w:val="restart"/>
                  <w:noWrap w:val="0"/>
                  <w:vAlign w:val="center"/>
                </w:tcPr>
                <w:p w14:paraId="0BFBF64B">
                  <w:pPr>
                    <w:pStyle w:val="1111"/>
                    <w:bidi w:val="0"/>
                  </w:pPr>
                  <w:r>
                    <w:t>1、连云港市基于空间单元的环境准入要求及负面清单管理要求</w:t>
                  </w:r>
                </w:p>
              </w:tc>
              <w:tc>
                <w:tcPr>
                  <w:tcW w:w="3844" w:type="dxa"/>
                  <w:noWrap w:val="0"/>
                  <w:vAlign w:val="center"/>
                </w:tcPr>
                <w:p w14:paraId="0D6558DD">
                  <w:pPr>
                    <w:pStyle w:val="1111"/>
                    <w:bidi w:val="0"/>
                  </w:pPr>
                  <w:r>
                    <w:t>（1）建设项目选址应符合主体功能区划、产业发展规划、城市总体规划、土地利用规划、环境保护规划、生态保护红线等要求。新建有污染物排放的工业项目应按规划进入符合产业定位的工业园区或工业集中区。</w:t>
                  </w:r>
                </w:p>
              </w:tc>
              <w:tc>
                <w:tcPr>
                  <w:tcW w:w="2393" w:type="dxa"/>
                  <w:noWrap w:val="0"/>
                  <w:vAlign w:val="center"/>
                </w:tcPr>
                <w:p w14:paraId="5CAF464F">
                  <w:pPr>
                    <w:pStyle w:val="1111"/>
                    <w:bidi w:val="0"/>
                  </w:pPr>
                  <w:r>
                    <w:t>本项目</w:t>
                  </w:r>
                  <w:r>
                    <w:rPr>
                      <w:rFonts w:hint="eastAsia"/>
                      <w:lang w:eastAsia="zh-CN"/>
                    </w:rPr>
                    <w:t>对中华药港园区内企业和连云港市小微企业</w:t>
                  </w:r>
                  <w:r>
                    <w:rPr>
                      <w:rFonts w:hint="eastAsia"/>
                      <w:lang w:val="en-US" w:eastAsia="zh-CN"/>
                    </w:rPr>
                    <w:t>以及</w:t>
                  </w:r>
                  <w:r>
                    <w:t>科研院所、高等学校、各类检测机构、机动车维修机构、加油站等</w:t>
                  </w:r>
                  <w:r>
                    <w:rPr>
                      <w:rFonts w:hint="eastAsia"/>
                      <w:lang w:eastAsia="zh-CN"/>
                    </w:rPr>
                    <w:t>产生的危险废物进行集中收集、贮存和委托处置，使危废管理更加规范化、合规化，消除危废贮存安全环境风险。本项目属于生态保护和环境治理业行业，与中华药港的产业定位不冲突</w:t>
                  </w:r>
                  <w:r>
                    <w:t>，符合</w:t>
                  </w:r>
                  <w:r>
                    <w:rPr>
                      <w:rFonts w:hint="eastAsia"/>
                      <w:lang w:eastAsia="zh-CN"/>
                    </w:rPr>
                    <w:t>国家及地方产业政策</w:t>
                  </w:r>
                  <w:r>
                    <w:t>。根据园区土地规划，本项目所在位置为建设用地，因此，本项目符合用地规划。</w:t>
                  </w:r>
                </w:p>
              </w:tc>
              <w:tc>
                <w:tcPr>
                  <w:tcW w:w="658" w:type="dxa"/>
                  <w:noWrap w:val="0"/>
                  <w:vAlign w:val="center"/>
                </w:tcPr>
                <w:p w14:paraId="16275AC9">
                  <w:pPr>
                    <w:pStyle w:val="1111"/>
                    <w:bidi w:val="0"/>
                  </w:pPr>
                  <w:r>
                    <w:t>符合</w:t>
                  </w:r>
                </w:p>
              </w:tc>
            </w:tr>
            <w:tr w14:paraId="7D9BD4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3" w:type="dxa"/>
                  <w:vMerge w:val="continue"/>
                  <w:noWrap w:val="0"/>
                  <w:vAlign w:val="center"/>
                </w:tcPr>
                <w:p w14:paraId="4D912544">
                  <w:pPr>
                    <w:pStyle w:val="1111"/>
                    <w:bidi w:val="0"/>
                  </w:pPr>
                </w:p>
              </w:tc>
              <w:tc>
                <w:tcPr>
                  <w:tcW w:w="3844" w:type="dxa"/>
                  <w:noWrap w:val="0"/>
                  <w:vAlign w:val="center"/>
                </w:tcPr>
                <w:p w14:paraId="52264259">
                  <w:pPr>
                    <w:pStyle w:val="1111"/>
                    <w:bidi w:val="0"/>
                  </w:pPr>
                  <w:r>
                    <w:t>（2）依据空间管制红线，实行分级分类管控。禁止开发区域内，禁止一切形式的建设活动。风景名胜区、森林公园、重要湿地、饮用水源保护区、生态公益林、水源涵养区、洪水调蓄区、清水通道维护区、海洋保护区内实行有限准入的原则，严格限制有损主导生态功能的建设活动。</w:t>
                  </w:r>
                </w:p>
              </w:tc>
              <w:tc>
                <w:tcPr>
                  <w:tcW w:w="2393" w:type="dxa"/>
                  <w:noWrap w:val="0"/>
                  <w:vAlign w:val="center"/>
                </w:tcPr>
                <w:p w14:paraId="1017A3E5">
                  <w:pPr>
                    <w:pStyle w:val="1111"/>
                    <w:bidi w:val="0"/>
                  </w:pPr>
                  <w:r>
                    <w:t>项目距最近的生态</w:t>
                  </w:r>
                  <w:r>
                    <w:rPr>
                      <w:rFonts w:hint="eastAsia"/>
                      <w:lang w:eastAsia="zh-CN"/>
                    </w:rPr>
                    <w:t>管控</w:t>
                  </w:r>
                  <w:r>
                    <w:t>区为临洪河重要湿地，距离为1.</w:t>
                  </w:r>
                  <w:r>
                    <w:rPr>
                      <w:rFonts w:hint="eastAsia"/>
                      <w:lang w:val="en-US" w:eastAsia="zh-CN"/>
                    </w:rPr>
                    <w:t>644</w:t>
                  </w:r>
                  <w:r>
                    <w:t>km，不在生态红线保护区范围内，符合生态空间管控要求。</w:t>
                  </w:r>
                </w:p>
              </w:tc>
              <w:tc>
                <w:tcPr>
                  <w:tcW w:w="658" w:type="dxa"/>
                  <w:noWrap w:val="0"/>
                  <w:vAlign w:val="center"/>
                </w:tcPr>
                <w:p w14:paraId="56F98DA4">
                  <w:pPr>
                    <w:pStyle w:val="1111"/>
                    <w:bidi w:val="0"/>
                  </w:pPr>
                  <w:r>
                    <w:t>符合</w:t>
                  </w:r>
                </w:p>
              </w:tc>
            </w:tr>
            <w:tr w14:paraId="63BDDD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3" w:type="dxa"/>
                  <w:vMerge w:val="continue"/>
                  <w:noWrap w:val="0"/>
                  <w:vAlign w:val="center"/>
                </w:tcPr>
                <w:p w14:paraId="15E90313">
                  <w:pPr>
                    <w:pStyle w:val="1111"/>
                    <w:bidi w:val="0"/>
                  </w:pPr>
                </w:p>
              </w:tc>
              <w:tc>
                <w:tcPr>
                  <w:tcW w:w="3844" w:type="dxa"/>
                  <w:noWrap w:val="0"/>
                  <w:vAlign w:val="center"/>
                </w:tcPr>
                <w:p w14:paraId="018D6052">
                  <w:pPr>
                    <w:pStyle w:val="1111"/>
                    <w:bidi w:val="0"/>
                  </w:pPr>
                  <w:r>
                    <w:t>（3）实施严格的流域准入控制。水环境综合整治区在无法做到增产不增污的情况下，禁止新（扩）建造纸、焦化、氮肥、有色金属、印染、农副食品加工、原料药制造、制革、农药、电镀等水污染重的项目，禁止建设排放含汞、砷、镉、铬、铅等重金属污染物以及持久性有机污染物的工业项目。</w:t>
                  </w:r>
                </w:p>
              </w:tc>
              <w:tc>
                <w:tcPr>
                  <w:tcW w:w="2393" w:type="dxa"/>
                  <w:noWrap w:val="0"/>
                  <w:vAlign w:val="center"/>
                </w:tcPr>
                <w:p w14:paraId="405BC8C2">
                  <w:pPr>
                    <w:pStyle w:val="1111"/>
                    <w:bidi w:val="0"/>
                  </w:pPr>
                  <w:bookmarkStart w:id="2" w:name="_Toc517688761"/>
                  <w:r>
                    <w:t>本项目不属于造纸、焦化、氮肥、有色金属、印染、农副食品加工、原料药制造、制革、农药、电镀等水污染重的行业；且无含汞、砷、镉、铬、铅等重金属污染物以及持久性有机污染物的排放。</w:t>
                  </w:r>
                  <w:bookmarkEnd w:id="2"/>
                </w:p>
              </w:tc>
              <w:tc>
                <w:tcPr>
                  <w:tcW w:w="658" w:type="dxa"/>
                  <w:noWrap w:val="0"/>
                  <w:vAlign w:val="center"/>
                </w:tcPr>
                <w:p w14:paraId="0CC6C675">
                  <w:pPr>
                    <w:pStyle w:val="1111"/>
                    <w:bidi w:val="0"/>
                  </w:pPr>
                  <w:r>
                    <w:t>符合</w:t>
                  </w:r>
                </w:p>
              </w:tc>
            </w:tr>
            <w:tr w14:paraId="080DAB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3" w:type="dxa"/>
                  <w:vMerge w:val="continue"/>
                  <w:noWrap w:val="0"/>
                  <w:vAlign w:val="center"/>
                </w:tcPr>
                <w:p w14:paraId="44998DFD">
                  <w:pPr>
                    <w:pStyle w:val="1111"/>
                    <w:bidi w:val="0"/>
                  </w:pPr>
                </w:p>
              </w:tc>
              <w:tc>
                <w:tcPr>
                  <w:tcW w:w="3844" w:type="dxa"/>
                  <w:noWrap w:val="0"/>
                  <w:vAlign w:val="center"/>
                </w:tcPr>
                <w:p w14:paraId="25813A2C">
                  <w:pPr>
                    <w:pStyle w:val="1111"/>
                    <w:bidi w:val="0"/>
                  </w:pPr>
                  <w:r>
                    <w:t>（4）严控大气污染项目，落实禁燃区要求。大气环境质量红线区禁止新（扩）建大气污染严重的火电、冶炼、水泥项目以及燃煤锅炉。禁燃区禁止销售、使用一切高污染燃料项目。</w:t>
                  </w:r>
                </w:p>
              </w:tc>
              <w:tc>
                <w:tcPr>
                  <w:tcW w:w="2393" w:type="dxa"/>
                  <w:noWrap w:val="0"/>
                  <w:vAlign w:val="center"/>
                </w:tcPr>
                <w:p w14:paraId="6DAFC64C">
                  <w:pPr>
                    <w:pStyle w:val="1111"/>
                    <w:bidi w:val="0"/>
                  </w:pPr>
                  <w:r>
                    <w:t>本项目不属于大气污染严重的火电、冶炼、水泥项目以及燃煤锅炉项目。</w:t>
                  </w:r>
                </w:p>
              </w:tc>
              <w:tc>
                <w:tcPr>
                  <w:tcW w:w="658" w:type="dxa"/>
                  <w:noWrap w:val="0"/>
                  <w:vAlign w:val="center"/>
                </w:tcPr>
                <w:p w14:paraId="05E3D00E">
                  <w:pPr>
                    <w:pStyle w:val="1111"/>
                    <w:bidi w:val="0"/>
                  </w:pPr>
                  <w:r>
                    <w:t>符合</w:t>
                  </w:r>
                </w:p>
              </w:tc>
            </w:tr>
            <w:tr w14:paraId="1EDBBA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3" w:type="dxa"/>
                  <w:vMerge w:val="continue"/>
                  <w:noWrap w:val="0"/>
                  <w:vAlign w:val="center"/>
                </w:tcPr>
                <w:p w14:paraId="7834BF44">
                  <w:pPr>
                    <w:pStyle w:val="1111"/>
                    <w:bidi w:val="0"/>
                  </w:pPr>
                </w:p>
              </w:tc>
              <w:tc>
                <w:tcPr>
                  <w:tcW w:w="3844" w:type="dxa"/>
                  <w:noWrap w:val="0"/>
                  <w:vAlign w:val="center"/>
                </w:tcPr>
                <w:p w14:paraId="0147A18D">
                  <w:pPr>
                    <w:pStyle w:val="1111"/>
                    <w:bidi w:val="0"/>
                  </w:pPr>
                  <w:r>
                    <w:t>（5）人居安全保障区禁止新（扩）建存在重大环境安全隐患的工业项目。</w:t>
                  </w:r>
                </w:p>
              </w:tc>
              <w:tc>
                <w:tcPr>
                  <w:tcW w:w="2393" w:type="dxa"/>
                  <w:noWrap w:val="0"/>
                  <w:vAlign w:val="center"/>
                </w:tcPr>
                <w:p w14:paraId="69AA8E26">
                  <w:pPr>
                    <w:pStyle w:val="1111"/>
                    <w:bidi w:val="0"/>
                  </w:pPr>
                  <w:r>
                    <w:t>本项目所在地不属于人居安全保障区且不存在重大环境安全隐患。</w:t>
                  </w:r>
                </w:p>
              </w:tc>
              <w:tc>
                <w:tcPr>
                  <w:tcW w:w="658" w:type="dxa"/>
                  <w:noWrap w:val="0"/>
                  <w:vAlign w:val="center"/>
                </w:tcPr>
                <w:p w14:paraId="49B16999">
                  <w:pPr>
                    <w:pStyle w:val="1111"/>
                    <w:bidi w:val="0"/>
                  </w:pPr>
                  <w:r>
                    <w:t>符合</w:t>
                  </w:r>
                </w:p>
              </w:tc>
            </w:tr>
            <w:tr w14:paraId="1EAEBB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3" w:type="dxa"/>
                  <w:vMerge w:val="continue"/>
                  <w:noWrap w:val="0"/>
                  <w:vAlign w:val="center"/>
                </w:tcPr>
                <w:p w14:paraId="154D23A9">
                  <w:pPr>
                    <w:pStyle w:val="1111"/>
                    <w:bidi w:val="0"/>
                  </w:pPr>
                </w:p>
              </w:tc>
              <w:tc>
                <w:tcPr>
                  <w:tcW w:w="3844" w:type="dxa"/>
                  <w:noWrap w:val="0"/>
                  <w:vAlign w:val="center"/>
                </w:tcPr>
                <w:p w14:paraId="5910F720">
                  <w:pPr>
                    <w:pStyle w:val="1111"/>
                    <w:bidi w:val="0"/>
                  </w:pPr>
                  <w:r>
                    <w:t>（6）严格管控钢铁、石化、化工、火电等重点产业布局。钢铁重点布局在赣榆临港产业区，石化重点布局在徐圩新区，化工项目按不同园区的产业定位，布局在具有其产业定位的园区内，严格执行《市政府关于印发连云港市深入推进化工行业转型发展实施细则的通知》（连政办发</w:t>
                  </w:r>
                  <w:r>
                    <w:rPr>
                      <w:rFonts w:hint="eastAsia"/>
                      <w:lang w:eastAsia="zh-CN"/>
                    </w:rPr>
                    <w:t>[</w:t>
                  </w:r>
                  <w:r>
                    <w:t>2017</w:t>
                  </w:r>
                  <w:r>
                    <w:rPr>
                      <w:rFonts w:hint="eastAsia"/>
                      <w:lang w:eastAsia="zh-CN"/>
                    </w:rPr>
                    <w:t>]</w:t>
                  </w:r>
                  <w:r>
                    <w:t>7号）和《关于印发连云港市化工产业建设项目环境准入管控要求和负面清单的通知》（连环发</w:t>
                  </w:r>
                  <w:r>
                    <w:rPr>
                      <w:rFonts w:hint="eastAsia"/>
                      <w:lang w:eastAsia="zh-CN"/>
                    </w:rPr>
                    <w:t>[</w:t>
                  </w:r>
                  <w:r>
                    <w:t>2017</w:t>
                  </w:r>
                  <w:r>
                    <w:rPr>
                      <w:rFonts w:hint="eastAsia"/>
                      <w:lang w:eastAsia="zh-CN"/>
                    </w:rPr>
                    <w:t>]</w:t>
                  </w:r>
                  <w:r>
                    <w:t>134号）。重点建设徐圩IGCC和赣榆天然气热电联产电厂，其他地区原则上不再新建燃煤电厂。</w:t>
                  </w:r>
                </w:p>
              </w:tc>
              <w:tc>
                <w:tcPr>
                  <w:tcW w:w="2393" w:type="dxa"/>
                  <w:noWrap w:val="0"/>
                  <w:vAlign w:val="center"/>
                </w:tcPr>
                <w:p w14:paraId="55D409A8">
                  <w:pPr>
                    <w:pStyle w:val="1111"/>
                    <w:bidi w:val="0"/>
                  </w:pPr>
                  <w:r>
                    <w:t>本项目不属于钢铁、石化、化工、火电等行业。</w:t>
                  </w:r>
                </w:p>
              </w:tc>
              <w:tc>
                <w:tcPr>
                  <w:tcW w:w="658" w:type="dxa"/>
                  <w:noWrap w:val="0"/>
                  <w:vAlign w:val="center"/>
                </w:tcPr>
                <w:p w14:paraId="1CAB010B">
                  <w:pPr>
                    <w:pStyle w:val="1111"/>
                    <w:bidi w:val="0"/>
                  </w:pPr>
                  <w:r>
                    <w:t>符合</w:t>
                  </w:r>
                </w:p>
              </w:tc>
            </w:tr>
            <w:tr w14:paraId="4A1515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3" w:type="dxa"/>
                  <w:vMerge w:val="continue"/>
                  <w:noWrap w:val="0"/>
                  <w:vAlign w:val="center"/>
                </w:tcPr>
                <w:p w14:paraId="47EF5C1E">
                  <w:pPr>
                    <w:pStyle w:val="1111"/>
                    <w:bidi w:val="0"/>
                  </w:pPr>
                </w:p>
              </w:tc>
              <w:tc>
                <w:tcPr>
                  <w:tcW w:w="3844" w:type="dxa"/>
                  <w:noWrap w:val="0"/>
                  <w:vAlign w:val="center"/>
                </w:tcPr>
                <w:p w14:paraId="4D07B5A2">
                  <w:pPr>
                    <w:pStyle w:val="1111"/>
                    <w:bidi w:val="0"/>
                  </w:pPr>
                  <w:r>
                    <w:t>（7）工业项目应符合产业政策，不得采用国家、省和本市淘汰的或禁止使用的工艺、技术和设备，不得建设生产工艺或污染防治技术不成熟的项目；限制列入环境保护综合名录（2015年版）的高污染、高环境风险产品的生产。</w:t>
                  </w:r>
                </w:p>
              </w:tc>
              <w:tc>
                <w:tcPr>
                  <w:tcW w:w="2393" w:type="dxa"/>
                  <w:noWrap w:val="0"/>
                  <w:vAlign w:val="center"/>
                </w:tcPr>
                <w:p w14:paraId="55F324EC">
                  <w:pPr>
                    <w:pStyle w:val="1111"/>
                    <w:bidi w:val="0"/>
                  </w:pPr>
                  <w:r>
                    <w:t>本项目符合产业政策，本项目主要是从事</w:t>
                  </w:r>
                  <w:r>
                    <w:rPr>
                      <w:rFonts w:hint="eastAsia"/>
                      <w:lang w:eastAsia="zh-CN"/>
                    </w:rPr>
                    <w:t>小微企业的</w:t>
                  </w:r>
                  <w:r>
                    <w:t>危险废物仓储，不存在环境保护综合名录</w:t>
                  </w:r>
                  <w:r>
                    <w:rPr>
                      <w:rFonts w:hint="eastAsia"/>
                      <w:lang w:eastAsia="zh-CN"/>
                    </w:rPr>
                    <w:t>（</w:t>
                  </w:r>
                  <w:r>
                    <w:t>2021年版</w:t>
                  </w:r>
                  <w:r>
                    <w:rPr>
                      <w:rFonts w:hint="eastAsia"/>
                      <w:lang w:eastAsia="zh-CN"/>
                    </w:rPr>
                    <w:t>）</w:t>
                  </w:r>
                  <w:r>
                    <w:t>的高污染、高环境风险产品的生产。</w:t>
                  </w:r>
                </w:p>
              </w:tc>
              <w:tc>
                <w:tcPr>
                  <w:tcW w:w="658" w:type="dxa"/>
                  <w:noWrap w:val="0"/>
                  <w:vAlign w:val="center"/>
                </w:tcPr>
                <w:p w14:paraId="4FDD258D">
                  <w:pPr>
                    <w:pStyle w:val="1111"/>
                    <w:bidi w:val="0"/>
                  </w:pPr>
                  <w:r>
                    <w:t>符合</w:t>
                  </w:r>
                </w:p>
              </w:tc>
            </w:tr>
            <w:tr w14:paraId="16A405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3" w:type="dxa"/>
                  <w:vMerge w:val="continue"/>
                  <w:noWrap w:val="0"/>
                  <w:vAlign w:val="center"/>
                </w:tcPr>
                <w:p w14:paraId="7DEFFD41">
                  <w:pPr>
                    <w:pStyle w:val="1111"/>
                    <w:bidi w:val="0"/>
                  </w:pPr>
                </w:p>
              </w:tc>
              <w:tc>
                <w:tcPr>
                  <w:tcW w:w="3844" w:type="dxa"/>
                  <w:noWrap w:val="0"/>
                  <w:vAlign w:val="center"/>
                </w:tcPr>
                <w:p w14:paraId="3348C87A">
                  <w:pPr>
                    <w:pStyle w:val="1111"/>
                    <w:bidi w:val="0"/>
                  </w:pPr>
                  <w:r>
                    <w:t>（8）工业项目排放污染物必须达到国家和地方规定的污染物排放标准，新建企业生产技术和工艺、水耗、能耗、物耗、产排污情况及环境管理等方面应达到国内先进水平（有清洁生产标准的不得低于国内清洁生产先进水平，有国家效率指南的执行国家先进/标杆水平），扩建、改建的工业项目清洁生产水平不得低于国家清洁生产先进水平。</w:t>
                  </w:r>
                </w:p>
              </w:tc>
              <w:tc>
                <w:tcPr>
                  <w:tcW w:w="2393" w:type="dxa"/>
                  <w:noWrap w:val="0"/>
                  <w:vAlign w:val="center"/>
                </w:tcPr>
                <w:p w14:paraId="2DB259CB">
                  <w:pPr>
                    <w:pStyle w:val="1111"/>
                    <w:bidi w:val="0"/>
                  </w:pPr>
                  <w:bookmarkStart w:id="3" w:name="_Toc517688766"/>
                  <w:r>
                    <w:t>本项目非生产型项目，且排放污染物达到国家和地方规定的污染物排放标准</w:t>
                  </w:r>
                  <w:bookmarkEnd w:id="3"/>
                  <w:r>
                    <w:t>。</w:t>
                  </w:r>
                </w:p>
              </w:tc>
              <w:tc>
                <w:tcPr>
                  <w:tcW w:w="658" w:type="dxa"/>
                  <w:noWrap w:val="0"/>
                  <w:vAlign w:val="center"/>
                </w:tcPr>
                <w:p w14:paraId="6D0C6078">
                  <w:pPr>
                    <w:pStyle w:val="1111"/>
                    <w:bidi w:val="0"/>
                  </w:pPr>
                  <w:r>
                    <w:t>符合</w:t>
                  </w:r>
                </w:p>
              </w:tc>
            </w:tr>
            <w:tr w14:paraId="52D93F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3" w:type="dxa"/>
                  <w:vMerge w:val="continue"/>
                  <w:noWrap w:val="0"/>
                  <w:vAlign w:val="center"/>
                </w:tcPr>
                <w:p w14:paraId="108AEE2B">
                  <w:pPr>
                    <w:pStyle w:val="1111"/>
                    <w:bidi w:val="0"/>
                  </w:pPr>
                </w:p>
              </w:tc>
              <w:tc>
                <w:tcPr>
                  <w:tcW w:w="3844" w:type="dxa"/>
                  <w:noWrap w:val="0"/>
                  <w:vAlign w:val="center"/>
                </w:tcPr>
                <w:p w14:paraId="40E5C66B">
                  <w:pPr>
                    <w:pStyle w:val="1111"/>
                    <w:bidi w:val="0"/>
                  </w:pPr>
                  <w:r>
                    <w:t>（9）工业项目选址区域应有相应的环境容量，未按要求完成污染物总量削减任务的区域和流域，不得建设新增相应污染物排放量的工业项目。</w:t>
                  </w:r>
                </w:p>
              </w:tc>
              <w:tc>
                <w:tcPr>
                  <w:tcW w:w="2393" w:type="dxa"/>
                  <w:noWrap w:val="0"/>
                  <w:vAlign w:val="center"/>
                </w:tcPr>
                <w:p w14:paraId="26064A7D">
                  <w:pPr>
                    <w:pStyle w:val="1111"/>
                    <w:bidi w:val="0"/>
                  </w:pPr>
                  <w:bookmarkStart w:id="4" w:name="_Toc517688768"/>
                  <w:r>
                    <w:t>建设项目不属于工业项目，属于危险废物仓储，项目选址区域拥有相应的环境容量</w:t>
                  </w:r>
                  <w:bookmarkEnd w:id="4"/>
                </w:p>
              </w:tc>
              <w:tc>
                <w:tcPr>
                  <w:tcW w:w="658" w:type="dxa"/>
                  <w:noWrap w:val="0"/>
                  <w:vAlign w:val="center"/>
                </w:tcPr>
                <w:p w14:paraId="7F0895E9">
                  <w:pPr>
                    <w:pStyle w:val="1111"/>
                    <w:bidi w:val="0"/>
                  </w:pPr>
                  <w:r>
                    <w:t>符合</w:t>
                  </w:r>
                </w:p>
              </w:tc>
            </w:tr>
          </w:tbl>
          <w:p w14:paraId="12790A2E">
            <w:pPr>
              <w:pStyle w:val="512"/>
              <w:bidi w:val="0"/>
            </w:pPr>
            <w:r>
              <w:rPr>
                <w:rFonts w:hint="eastAsia"/>
              </w:rPr>
              <w:t>本项目符合</w:t>
            </w:r>
            <w:r>
              <w:t>《</w:t>
            </w:r>
            <w:r>
              <w:rPr>
                <w:rFonts w:hint="eastAsia"/>
              </w:rPr>
              <w:t>市政府办公室关于印发</w:t>
            </w:r>
            <w:r>
              <w:t>连云港市基于空间控制单元的环境准入制度及负面清单管理办法（试行）</w:t>
            </w:r>
            <w:r>
              <w:rPr>
                <w:rFonts w:hint="eastAsia"/>
              </w:rPr>
              <w:t>的通知</w:t>
            </w:r>
            <w:r>
              <w:t>》</w:t>
            </w:r>
            <w:r>
              <w:rPr>
                <w:rFonts w:hint="eastAsia"/>
              </w:rPr>
              <w:t>（连政办发[</w:t>
            </w:r>
            <w:r>
              <w:t>2018]9</w:t>
            </w:r>
            <w:r>
              <w:rPr>
                <w:rFonts w:hint="eastAsia"/>
              </w:rPr>
              <w:t>号）中的相关要求</w:t>
            </w:r>
            <w:r>
              <w:t>，能满足我市环境管理要求。</w:t>
            </w:r>
          </w:p>
          <w:p w14:paraId="716AAC0E">
            <w:pPr>
              <w:pStyle w:val="512"/>
              <w:bidi w:val="0"/>
            </w:pPr>
            <w:r>
              <w:rPr>
                <w:rFonts w:hint="eastAsia"/>
              </w:rPr>
              <w:t>②</w:t>
            </w:r>
            <w:bookmarkStart w:id="5" w:name="_Hlk129943263"/>
            <w:r>
              <w:t>《连云港经济技术开发区（大浦片区、临港产业区西北片区、江宁工业城、一带一路国际物流园）产业发展规划环境影响报告书》负面清单</w:t>
            </w:r>
          </w:p>
          <w:p w14:paraId="500166BF">
            <w:pPr>
              <w:pStyle w:val="512"/>
              <w:bidi w:val="0"/>
              <w:rPr>
                <w:rFonts w:hint="eastAsia"/>
              </w:rPr>
            </w:pPr>
            <w:r>
              <w:rPr>
                <w:rFonts w:hint="eastAsia"/>
              </w:rPr>
              <w:t>根据</w:t>
            </w:r>
            <w:r>
              <w:t>《连云港经济技术开发区（大浦片区、临港产业区西北片区、江宁工业城、一带一路国际物流园）产业发展规划环境影响报告书》负面清单</w:t>
            </w:r>
            <w:r>
              <w:rPr>
                <w:rFonts w:hint="eastAsia"/>
              </w:rPr>
              <w:t>，</w:t>
            </w:r>
            <w:r>
              <w:t>本项目不属于环境准入负面清单中限制及禁止的项目</w:t>
            </w:r>
            <w:r>
              <w:rPr>
                <w:rFonts w:hint="eastAsia"/>
              </w:rPr>
              <w:t>，具体见表1</w:t>
            </w:r>
            <w:r>
              <w:t>-</w:t>
            </w:r>
            <w:r>
              <w:rPr>
                <w:rFonts w:hint="eastAsia"/>
                <w:lang w:val="en-US" w:eastAsia="zh-CN"/>
              </w:rPr>
              <w:t>6</w:t>
            </w:r>
            <w:r>
              <w:rPr>
                <w:rFonts w:hint="eastAsia"/>
              </w:rPr>
              <w:t>。</w:t>
            </w:r>
          </w:p>
          <w:p w14:paraId="3C0BA4E2">
            <w:pPr>
              <w:pStyle w:val="1111"/>
              <w:bidi w:val="0"/>
            </w:pPr>
            <w:r>
              <w:rPr>
                <w:rFonts w:hint="eastAsia"/>
              </w:rPr>
              <w:t>表1</w:t>
            </w:r>
            <w:r>
              <w:t>-</w:t>
            </w:r>
            <w:r>
              <w:rPr>
                <w:rFonts w:hint="eastAsia"/>
                <w:lang w:val="en-US" w:eastAsia="zh-CN"/>
              </w:rPr>
              <w:t>6</w:t>
            </w:r>
            <w:r>
              <w:t xml:space="preserve"> </w:t>
            </w:r>
            <w:r>
              <w:rPr>
                <w:rFonts w:hint="eastAsia"/>
              </w:rPr>
              <w:t>与</w:t>
            </w:r>
            <w:r>
              <w:rPr>
                <w:rFonts w:ascii="Times New Roman" w:eastAsia="宋体"/>
                <w:spacing w:val="0"/>
                <w:sz w:val="21"/>
                <w:szCs w:val="21"/>
              </w:rPr>
              <w:t>拟批园区报告书设定的临港产业区西北片区</w:t>
            </w:r>
            <w:r>
              <w:rPr>
                <w:rFonts w:hint="eastAsia"/>
              </w:rPr>
              <w:t>负面清单相符性分析</w:t>
            </w:r>
          </w:p>
          <w:bookmarkEnd w:id="5"/>
          <w:tbl>
            <w:tblPr>
              <w:tblStyle w:val="7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55"/>
              <w:gridCol w:w="474"/>
              <w:gridCol w:w="4766"/>
              <w:gridCol w:w="1260"/>
            </w:tblGrid>
            <w:tr w14:paraId="2E4F1A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393" w:type="pct"/>
                  <w:shd w:val="clear" w:color="auto" w:fill="auto"/>
                  <w:noWrap w:val="0"/>
                  <w:vAlign w:val="center"/>
                </w:tcPr>
                <w:p w14:paraId="211441DE">
                  <w:pPr>
                    <w:pStyle w:val="1111"/>
                    <w:bidi w:val="0"/>
                  </w:pPr>
                  <w:r>
                    <w:t>序号</w:t>
                  </w:r>
                </w:p>
              </w:tc>
              <w:tc>
                <w:tcPr>
                  <w:tcW w:w="3713" w:type="pct"/>
                  <w:gridSpan w:val="2"/>
                  <w:shd w:val="clear" w:color="auto" w:fill="auto"/>
                  <w:noWrap w:val="0"/>
                  <w:vAlign w:val="center"/>
                </w:tcPr>
                <w:p w14:paraId="56A58C2B">
                  <w:pPr>
                    <w:pStyle w:val="1111"/>
                    <w:bidi w:val="0"/>
                  </w:pPr>
                  <w:r>
                    <w:t>临港产业区西北片区负面清单</w:t>
                  </w:r>
                </w:p>
              </w:tc>
              <w:tc>
                <w:tcPr>
                  <w:tcW w:w="893" w:type="pct"/>
                  <w:shd w:val="clear" w:color="auto" w:fill="auto"/>
                  <w:noWrap w:val="0"/>
                  <w:vAlign w:val="center"/>
                </w:tcPr>
                <w:p w14:paraId="7D9FE326">
                  <w:pPr>
                    <w:pStyle w:val="1111"/>
                    <w:bidi w:val="0"/>
                  </w:pPr>
                  <w:r>
                    <w:t>相符性分析</w:t>
                  </w:r>
                </w:p>
              </w:tc>
            </w:tr>
            <w:tr w14:paraId="09DAAD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393" w:type="pct"/>
                  <w:shd w:val="clear" w:color="auto" w:fill="auto"/>
                  <w:noWrap w:val="0"/>
                  <w:vAlign w:val="center"/>
                </w:tcPr>
                <w:p w14:paraId="0774F2B9">
                  <w:pPr>
                    <w:pStyle w:val="1111"/>
                    <w:bidi w:val="0"/>
                  </w:pPr>
                  <w:r>
                    <w:t>限制类</w:t>
                  </w:r>
                </w:p>
              </w:tc>
              <w:tc>
                <w:tcPr>
                  <w:tcW w:w="3713" w:type="pct"/>
                  <w:gridSpan w:val="2"/>
                  <w:shd w:val="clear" w:color="auto" w:fill="auto"/>
                  <w:noWrap w:val="0"/>
                  <w:vAlign w:val="center"/>
                </w:tcPr>
                <w:p w14:paraId="1123576A">
                  <w:pPr>
                    <w:pStyle w:val="1111"/>
                    <w:bidi w:val="0"/>
                  </w:pPr>
                  <w:r>
                    <w:t>限制使用和排放有毒气体、恶臭类物质项目；</w:t>
                  </w:r>
                </w:p>
                <w:p w14:paraId="2E621958">
                  <w:pPr>
                    <w:pStyle w:val="1111"/>
                    <w:bidi w:val="0"/>
                  </w:pPr>
                  <w:r>
                    <w:t>限制新建废水排放量大的项目；</w:t>
                  </w:r>
                </w:p>
                <w:p w14:paraId="0DC6D492">
                  <w:pPr>
                    <w:pStyle w:val="1111"/>
                    <w:bidi w:val="0"/>
                  </w:pPr>
                  <w:r>
                    <w:t>限制危废产生量大且没有合理处置途径的项目；</w:t>
                  </w:r>
                </w:p>
                <w:p w14:paraId="25648BAD">
                  <w:pPr>
                    <w:pStyle w:val="1111"/>
                    <w:bidi w:val="0"/>
                  </w:pPr>
                  <w:r>
                    <w:t>限制使用高毒、高VOCs含量物质为主要生产原料，又无可靠有效的污染控制措施的项目。</w:t>
                  </w:r>
                </w:p>
              </w:tc>
              <w:tc>
                <w:tcPr>
                  <w:tcW w:w="893" w:type="pct"/>
                  <w:shd w:val="clear" w:color="auto" w:fill="auto"/>
                  <w:noWrap w:val="0"/>
                  <w:vAlign w:val="center"/>
                </w:tcPr>
                <w:p w14:paraId="236307BE">
                  <w:pPr>
                    <w:pStyle w:val="1111"/>
                    <w:bidi w:val="0"/>
                  </w:pPr>
                  <w:r>
                    <w:t>本项目为</w:t>
                  </w:r>
                  <w:r>
                    <w:rPr>
                      <w:color w:val="000000"/>
                      <w:sz w:val="21"/>
                      <w:szCs w:val="21"/>
                    </w:rPr>
                    <w:t>危险废物（不含医疗废物）</w:t>
                  </w:r>
                  <w:r>
                    <w:rPr>
                      <w:rFonts w:hint="eastAsia"/>
                      <w:color w:val="000000"/>
                      <w:sz w:val="21"/>
                      <w:szCs w:val="21"/>
                    </w:rPr>
                    <w:t>收集贮存委托处置项目</w:t>
                  </w:r>
                  <w:r>
                    <w:t>，非生产经营性项目。</w:t>
                  </w:r>
                </w:p>
              </w:tc>
            </w:tr>
            <w:tr w14:paraId="01134D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393" w:type="pct"/>
                  <w:vMerge w:val="restart"/>
                  <w:shd w:val="clear" w:color="auto" w:fill="auto"/>
                  <w:noWrap w:val="0"/>
                  <w:vAlign w:val="center"/>
                </w:tcPr>
                <w:p w14:paraId="4C3F35AE">
                  <w:pPr>
                    <w:pStyle w:val="1111"/>
                    <w:bidi w:val="0"/>
                  </w:pPr>
                  <w:r>
                    <w:t>禁止类</w:t>
                  </w:r>
                </w:p>
              </w:tc>
              <w:tc>
                <w:tcPr>
                  <w:tcW w:w="336" w:type="pct"/>
                  <w:shd w:val="clear" w:color="auto" w:fill="auto"/>
                  <w:noWrap w:val="0"/>
                  <w:vAlign w:val="center"/>
                </w:tcPr>
                <w:p w14:paraId="4DFAA078">
                  <w:pPr>
                    <w:pStyle w:val="1111"/>
                    <w:bidi w:val="0"/>
                  </w:pPr>
                  <w:r>
                    <w:t>新医药产业</w:t>
                  </w:r>
                </w:p>
              </w:tc>
              <w:tc>
                <w:tcPr>
                  <w:tcW w:w="3377" w:type="pct"/>
                  <w:shd w:val="clear" w:color="auto" w:fill="auto"/>
                  <w:noWrap w:val="0"/>
                  <w:vAlign w:val="center"/>
                </w:tcPr>
                <w:p w14:paraId="31C6DDFC">
                  <w:pPr>
                    <w:pStyle w:val="1111"/>
                    <w:bidi w:val="0"/>
                  </w:pPr>
                  <w:r>
                    <w:t>禁止没有成品制剂配套的原料药制造项目；禁止新建、扩建古龙酸和维生素C原粉（包括药用、食品用和饲料用、化妆品用）生产装置；禁止新建药品、食品、饲料、化妆品等用途的维生素B1、维生素B2、维生素B12（综合利用除外）；禁止维生素E原料生产装置；禁止新建青霉素工业盐、6-氨基青霉烷酸（6-APA）、化学法生产7－氨基头孢烷酸（7-ACA）、7-氨基-3-去乙酰氧基头孢烷酸（7-ADCA）、青霉素V、氨苄青霉素、羟氨苄青霉素、头孢菌素c发酵、土霉素、四环素、氯霉素、安乃近、扑热息痛、林可霉素、庆大霉素、双氢链霉素、丁胺卡那霉素、麦迪霉素、柱晶白霉素、环丙氟哌酸、氟哌酸、氟嗪酸、利福平、咖啡因、柯柯豆碱生产装置，新建紫杉醇（配套红豆杉种植除外）；禁止植物提取法黄连素（配套黄连种植除外）生产装置；禁止新建、改扩建药用丁基橡胶塞、二步法生产输液用塑料瓶生产装置；禁止银汞齐齿科材料。</w:t>
                  </w:r>
                </w:p>
              </w:tc>
              <w:tc>
                <w:tcPr>
                  <w:tcW w:w="893" w:type="pct"/>
                  <w:shd w:val="clear" w:color="auto" w:fill="auto"/>
                  <w:noWrap w:val="0"/>
                  <w:vAlign w:val="center"/>
                </w:tcPr>
                <w:p w14:paraId="7662F247">
                  <w:pPr>
                    <w:pStyle w:val="1111"/>
                    <w:bidi w:val="0"/>
                  </w:pPr>
                  <w:r>
                    <w:t>本项目为</w:t>
                  </w:r>
                  <w:r>
                    <w:rPr>
                      <w:color w:val="000000"/>
                      <w:sz w:val="21"/>
                      <w:szCs w:val="21"/>
                    </w:rPr>
                    <w:t>危险废物（不含医疗废物）</w:t>
                  </w:r>
                  <w:r>
                    <w:rPr>
                      <w:rFonts w:hint="eastAsia"/>
                      <w:color w:val="000000"/>
                      <w:sz w:val="21"/>
                      <w:szCs w:val="21"/>
                    </w:rPr>
                    <w:t>收集贮存委托处置项目</w:t>
                  </w:r>
                  <w:r>
                    <w:t>，非生产经营性项目。</w:t>
                  </w:r>
                </w:p>
              </w:tc>
            </w:tr>
            <w:tr w14:paraId="764436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393" w:type="pct"/>
                  <w:vMerge w:val="continue"/>
                  <w:shd w:val="clear" w:color="auto" w:fill="auto"/>
                  <w:noWrap w:val="0"/>
                  <w:vAlign w:val="center"/>
                </w:tcPr>
                <w:p w14:paraId="4262E7EE">
                  <w:pPr>
                    <w:pStyle w:val="1111"/>
                    <w:bidi w:val="0"/>
                  </w:pPr>
                </w:p>
              </w:tc>
              <w:tc>
                <w:tcPr>
                  <w:tcW w:w="336" w:type="pct"/>
                  <w:shd w:val="clear" w:color="auto" w:fill="auto"/>
                  <w:noWrap w:val="0"/>
                  <w:vAlign w:val="center"/>
                </w:tcPr>
                <w:p w14:paraId="0CAE67EB">
                  <w:pPr>
                    <w:pStyle w:val="1111"/>
                    <w:bidi w:val="0"/>
                  </w:pPr>
                  <w:r>
                    <w:t>新材料产业</w:t>
                  </w:r>
                </w:p>
              </w:tc>
              <w:tc>
                <w:tcPr>
                  <w:tcW w:w="3377" w:type="pct"/>
                  <w:shd w:val="clear" w:color="auto" w:fill="auto"/>
                  <w:noWrap w:val="0"/>
                  <w:vAlign w:val="center"/>
                </w:tcPr>
                <w:p w14:paraId="2955897A">
                  <w:pPr>
                    <w:pStyle w:val="1111"/>
                    <w:bidi w:val="0"/>
                  </w:pPr>
                  <w:r>
                    <w:t>禁止纤维素纤维原料及纤维制造，螺杆挤出机直径≤90mm、3000吨/年以下的涤纶再生纺短纤维生产装置；禁止塑料丝、绳及编织品制造；禁止塑料人造革、合成革制造；禁止PVC、NBR塑胶手套生产装置（劳防手套、PE手套除外）；禁止二步法生产输液用塑料瓶生产装置；禁止新建钢铁、水泥、石化、化工、有色金属类高污染的新材料生产线；禁止引进产业政策限制和禁止类项目。</w:t>
                  </w:r>
                </w:p>
              </w:tc>
              <w:tc>
                <w:tcPr>
                  <w:tcW w:w="893" w:type="pct"/>
                  <w:shd w:val="clear" w:color="auto" w:fill="auto"/>
                  <w:noWrap w:val="0"/>
                  <w:vAlign w:val="center"/>
                </w:tcPr>
                <w:p w14:paraId="3C03FB45">
                  <w:pPr>
                    <w:pStyle w:val="1111"/>
                    <w:bidi w:val="0"/>
                  </w:pPr>
                  <w:r>
                    <w:t>不涉及</w:t>
                  </w:r>
                </w:p>
              </w:tc>
            </w:tr>
            <w:tr w14:paraId="79A5B5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393" w:type="pct"/>
                  <w:vMerge w:val="continue"/>
                  <w:shd w:val="clear" w:color="auto" w:fill="auto"/>
                  <w:noWrap w:val="0"/>
                  <w:vAlign w:val="center"/>
                </w:tcPr>
                <w:p w14:paraId="6B37DF04">
                  <w:pPr>
                    <w:pStyle w:val="1111"/>
                    <w:bidi w:val="0"/>
                  </w:pPr>
                </w:p>
              </w:tc>
              <w:tc>
                <w:tcPr>
                  <w:tcW w:w="336" w:type="pct"/>
                  <w:shd w:val="clear" w:color="auto" w:fill="auto"/>
                  <w:noWrap w:val="0"/>
                  <w:vAlign w:val="center"/>
                </w:tcPr>
                <w:p w14:paraId="31CC746D">
                  <w:pPr>
                    <w:pStyle w:val="1111"/>
                    <w:bidi w:val="0"/>
                  </w:pPr>
                  <w:r>
                    <w:t>装备制造产业</w:t>
                  </w:r>
                </w:p>
              </w:tc>
              <w:tc>
                <w:tcPr>
                  <w:tcW w:w="3377" w:type="pct"/>
                  <w:shd w:val="clear" w:color="auto" w:fill="auto"/>
                  <w:noWrap w:val="0"/>
                  <w:vAlign w:val="center"/>
                </w:tcPr>
                <w:p w14:paraId="408F2DDF">
                  <w:pPr>
                    <w:pStyle w:val="1111"/>
                    <w:bidi w:val="0"/>
                  </w:pPr>
                  <w:r>
                    <w:t>禁止32系列、25系列、35系列空腹钢窗，粘土砂手工造型铸造生产线，铸造项目采用熔化率小于7吨/小时的铸造冲天炉；禁止电动机驱动旋转直流弧焊机（全系列）；禁止拖拉机制造，其他医疗设备及器械制造中充汞式玻璃体温计、血压计生产装置；禁止汽柴油车整车制造，低速载货汽车制造，汽车零部件及配件制造中4档及以下机械式车用自动变速箱；</w:t>
                  </w:r>
                </w:p>
              </w:tc>
              <w:tc>
                <w:tcPr>
                  <w:tcW w:w="893" w:type="pct"/>
                  <w:shd w:val="clear" w:color="auto" w:fill="auto"/>
                  <w:noWrap w:val="0"/>
                  <w:vAlign w:val="center"/>
                </w:tcPr>
                <w:p w14:paraId="0ABAC4A2">
                  <w:pPr>
                    <w:pStyle w:val="1111"/>
                    <w:bidi w:val="0"/>
                  </w:pPr>
                  <w:r>
                    <w:t>不涉及</w:t>
                  </w:r>
                </w:p>
              </w:tc>
            </w:tr>
            <w:tr w14:paraId="01F931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393" w:type="pct"/>
                  <w:vMerge w:val="continue"/>
                  <w:shd w:val="clear" w:color="auto" w:fill="auto"/>
                  <w:noWrap w:val="0"/>
                  <w:vAlign w:val="center"/>
                </w:tcPr>
                <w:p w14:paraId="14A530C1">
                  <w:pPr>
                    <w:pStyle w:val="1111"/>
                    <w:bidi w:val="0"/>
                  </w:pPr>
                </w:p>
              </w:tc>
              <w:tc>
                <w:tcPr>
                  <w:tcW w:w="336" w:type="pct"/>
                  <w:shd w:val="clear" w:color="auto" w:fill="auto"/>
                  <w:noWrap w:val="0"/>
                  <w:vAlign w:val="center"/>
                </w:tcPr>
                <w:p w14:paraId="7C98B12A">
                  <w:pPr>
                    <w:pStyle w:val="1111"/>
                    <w:bidi w:val="0"/>
                  </w:pPr>
                  <w:r>
                    <w:t>集成电路配套产业</w:t>
                  </w:r>
                </w:p>
              </w:tc>
              <w:tc>
                <w:tcPr>
                  <w:tcW w:w="3377" w:type="pct"/>
                  <w:shd w:val="clear" w:color="auto" w:fill="auto"/>
                  <w:noWrap w:val="0"/>
                  <w:vAlign w:val="center"/>
                </w:tcPr>
                <w:p w14:paraId="0FCF958B">
                  <w:pPr>
                    <w:pStyle w:val="1111"/>
                    <w:bidi w:val="0"/>
                  </w:pPr>
                  <w:r>
                    <w:t>禁止光伏设备及元器件制造中多晶硅制造，禁止小于1000吨/年的太阳能级硅棒制造，禁止太阳能光伏小于5000万片/年的硅片制造，禁止含汞开关和继电器，禁止其他电池制造中铅酸电池、含汞类扣式碱锰电池、含汞类糊式锌锰电池、含汞类锌-空气电池、含汞类锌-氧化银电池生产；禁止印刷电路板制造，禁止新建生产过程中排放铅、汞、镉、铬和砷等重金属的项目。</w:t>
                  </w:r>
                </w:p>
              </w:tc>
              <w:tc>
                <w:tcPr>
                  <w:tcW w:w="893" w:type="pct"/>
                  <w:shd w:val="clear" w:color="auto" w:fill="auto"/>
                  <w:noWrap w:val="0"/>
                  <w:vAlign w:val="center"/>
                </w:tcPr>
                <w:p w14:paraId="559CFD1C">
                  <w:pPr>
                    <w:pStyle w:val="1111"/>
                    <w:bidi w:val="0"/>
                  </w:pPr>
                  <w:r>
                    <w:t>不涉及</w:t>
                  </w:r>
                </w:p>
              </w:tc>
            </w:tr>
            <w:tr w14:paraId="2FBBEF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393" w:type="pct"/>
                  <w:vMerge w:val="continue"/>
                  <w:shd w:val="clear" w:color="auto" w:fill="auto"/>
                  <w:noWrap w:val="0"/>
                  <w:vAlign w:val="center"/>
                </w:tcPr>
                <w:p w14:paraId="2FAA1C23">
                  <w:pPr>
                    <w:pStyle w:val="1111"/>
                    <w:bidi w:val="0"/>
                  </w:pPr>
                </w:p>
              </w:tc>
              <w:tc>
                <w:tcPr>
                  <w:tcW w:w="336" w:type="pct"/>
                  <w:shd w:val="clear" w:color="auto" w:fill="auto"/>
                  <w:noWrap w:val="0"/>
                  <w:vAlign w:val="center"/>
                </w:tcPr>
                <w:p w14:paraId="2C1F0BC0">
                  <w:pPr>
                    <w:pStyle w:val="1111"/>
                    <w:bidi w:val="0"/>
                  </w:pPr>
                  <w:r>
                    <w:t>食品产业</w:t>
                  </w:r>
                </w:p>
              </w:tc>
              <w:tc>
                <w:tcPr>
                  <w:tcW w:w="3377" w:type="pct"/>
                  <w:shd w:val="clear" w:color="auto" w:fill="auto"/>
                  <w:noWrap w:val="0"/>
                  <w:vAlign w:val="center"/>
                </w:tcPr>
                <w:p w14:paraId="2271281D">
                  <w:pPr>
                    <w:pStyle w:val="1111"/>
                    <w:bidi w:val="0"/>
                  </w:pPr>
                  <w:r>
                    <w:t>禁止鱼糜制品及水产品干腌制加工，水产饲料制造，农产品水洗、鲜切等初加工，淀粉及淀粉制品制造，豆制品制造；禁止味精制造，酱油、食醋及类似制品制造，其它调味品、发酵制品制造中糖精等化学合成甜味剂制造；</w:t>
                  </w:r>
                </w:p>
              </w:tc>
              <w:tc>
                <w:tcPr>
                  <w:tcW w:w="893" w:type="pct"/>
                  <w:shd w:val="clear" w:color="auto" w:fill="auto"/>
                  <w:noWrap w:val="0"/>
                  <w:vAlign w:val="center"/>
                </w:tcPr>
                <w:p w14:paraId="2B0E2854">
                  <w:pPr>
                    <w:pStyle w:val="1111"/>
                    <w:bidi w:val="0"/>
                  </w:pPr>
                  <w:r>
                    <w:t>不涉及</w:t>
                  </w:r>
                </w:p>
              </w:tc>
            </w:tr>
            <w:tr w14:paraId="58F8EA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393" w:type="pct"/>
                  <w:vMerge w:val="continue"/>
                  <w:shd w:val="clear" w:color="auto" w:fill="auto"/>
                  <w:noWrap w:val="0"/>
                  <w:vAlign w:val="center"/>
                </w:tcPr>
                <w:p w14:paraId="77F1F2F0">
                  <w:pPr>
                    <w:pStyle w:val="1111"/>
                    <w:bidi w:val="0"/>
                  </w:pPr>
                </w:p>
              </w:tc>
              <w:tc>
                <w:tcPr>
                  <w:tcW w:w="336" w:type="pct"/>
                  <w:shd w:val="clear" w:color="auto" w:fill="auto"/>
                  <w:noWrap w:val="0"/>
                  <w:vAlign w:val="center"/>
                </w:tcPr>
                <w:p w14:paraId="5AA594B2">
                  <w:pPr>
                    <w:pStyle w:val="1111"/>
                    <w:bidi w:val="0"/>
                  </w:pPr>
                  <w:r>
                    <w:t>建材产业</w:t>
                  </w:r>
                </w:p>
              </w:tc>
              <w:tc>
                <w:tcPr>
                  <w:tcW w:w="3377" w:type="pct"/>
                  <w:shd w:val="clear" w:color="auto" w:fill="auto"/>
                  <w:noWrap w:val="0"/>
                  <w:vAlign w:val="center"/>
                </w:tcPr>
                <w:p w14:paraId="24CBB9D1">
                  <w:pPr>
                    <w:pStyle w:val="1111"/>
                    <w:bidi w:val="0"/>
                  </w:pPr>
                  <w:r>
                    <w:t>禁止平板玻璃制造，玻璃保温容器制造，中碱玻璃纤维增强复合材料制品，纯手糊法玻璃纤维增强复合材料制品生产线，建筑用沥青制品，沥青混合物，泥炭制品，活性白土；禁止有机溶剂型涂料的家具制造工艺（高流量低压（HVLP）喷漆工艺除外）；</w:t>
                  </w:r>
                </w:p>
              </w:tc>
              <w:tc>
                <w:tcPr>
                  <w:tcW w:w="893" w:type="pct"/>
                  <w:shd w:val="clear" w:color="auto" w:fill="auto"/>
                  <w:noWrap w:val="0"/>
                  <w:vAlign w:val="center"/>
                </w:tcPr>
                <w:p w14:paraId="576DAAEB">
                  <w:pPr>
                    <w:pStyle w:val="1111"/>
                    <w:bidi w:val="0"/>
                  </w:pPr>
                  <w:r>
                    <w:t>不涉及</w:t>
                  </w:r>
                </w:p>
              </w:tc>
            </w:tr>
            <w:tr w14:paraId="7F5E0E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393" w:type="pct"/>
                  <w:vMerge w:val="continue"/>
                  <w:shd w:val="clear" w:color="auto" w:fill="auto"/>
                  <w:noWrap w:val="0"/>
                  <w:vAlign w:val="center"/>
                </w:tcPr>
                <w:p w14:paraId="5AE851CA">
                  <w:pPr>
                    <w:pStyle w:val="1111"/>
                    <w:bidi w:val="0"/>
                  </w:pPr>
                </w:p>
              </w:tc>
              <w:tc>
                <w:tcPr>
                  <w:tcW w:w="336" w:type="pct"/>
                  <w:shd w:val="clear" w:color="auto" w:fill="auto"/>
                  <w:noWrap w:val="0"/>
                  <w:vAlign w:val="center"/>
                </w:tcPr>
                <w:p w14:paraId="25516B1D">
                  <w:pPr>
                    <w:pStyle w:val="1111"/>
                    <w:bidi w:val="0"/>
                  </w:pPr>
                  <w:r>
                    <w:t>仓储物流产业</w:t>
                  </w:r>
                </w:p>
              </w:tc>
              <w:tc>
                <w:tcPr>
                  <w:tcW w:w="3377" w:type="pct"/>
                  <w:shd w:val="clear" w:color="auto" w:fill="auto"/>
                  <w:noWrap w:val="0"/>
                  <w:vAlign w:val="center"/>
                </w:tcPr>
                <w:p w14:paraId="2BD9550C">
                  <w:pPr>
                    <w:pStyle w:val="1111"/>
                    <w:bidi w:val="0"/>
                  </w:pPr>
                  <w:r>
                    <w:t>禁止散装煤炭仓储服务，危险品仓储服务，进出口大宗废弃物仓储项目。</w:t>
                  </w:r>
                </w:p>
              </w:tc>
              <w:tc>
                <w:tcPr>
                  <w:tcW w:w="893" w:type="pct"/>
                  <w:shd w:val="clear" w:color="auto" w:fill="auto"/>
                  <w:noWrap w:val="0"/>
                  <w:vAlign w:val="center"/>
                </w:tcPr>
                <w:p w14:paraId="0D4A2397">
                  <w:pPr>
                    <w:pStyle w:val="1111"/>
                    <w:bidi w:val="0"/>
                  </w:pPr>
                  <w:r>
                    <w:t>本项目为</w:t>
                  </w:r>
                  <w:r>
                    <w:rPr>
                      <w:color w:val="000000"/>
                      <w:sz w:val="21"/>
                      <w:szCs w:val="21"/>
                    </w:rPr>
                    <w:t>危险废物（不含医疗废物）</w:t>
                  </w:r>
                  <w:r>
                    <w:rPr>
                      <w:rFonts w:hint="eastAsia"/>
                      <w:color w:val="000000"/>
                      <w:sz w:val="21"/>
                      <w:szCs w:val="21"/>
                    </w:rPr>
                    <w:t>收集贮存委托处置项目</w:t>
                  </w:r>
                  <w:r>
                    <w:t>，非生产经营性项目。</w:t>
                  </w:r>
                </w:p>
              </w:tc>
            </w:tr>
          </w:tbl>
          <w:p w14:paraId="36241AED">
            <w:pPr>
              <w:adjustRightInd w:val="0"/>
              <w:snapToGrid w:val="0"/>
              <w:spacing w:line="500" w:lineRule="exact"/>
              <w:ind w:firstLine="480" w:firstLineChars="200"/>
              <w:jc w:val="left"/>
              <w:rPr>
                <w:rFonts w:hint="eastAsia" w:ascii="Times New Roman" w:eastAsia="宋体"/>
                <w:sz w:val="24"/>
                <w:lang w:eastAsia="zh-CN"/>
              </w:rPr>
            </w:pPr>
            <w:r>
              <w:rPr>
                <w:rFonts w:hint="eastAsia" w:ascii="宋体" w:hAnsi="宋体" w:eastAsia="宋体"/>
                <w:sz w:val="24"/>
              </w:rPr>
              <w:t>③</w:t>
            </w:r>
            <w:r>
              <w:rPr>
                <w:rFonts w:hint="eastAsia" w:ascii="宋体" w:hAnsi="宋体"/>
                <w:sz w:val="24"/>
                <w:lang w:eastAsia="zh-CN"/>
              </w:rPr>
              <w:t>与</w:t>
            </w:r>
            <w:r>
              <w:rPr>
                <w:rFonts w:hint="eastAsia" w:ascii="Times New Roman" w:eastAsia="宋体"/>
                <w:sz w:val="24"/>
              </w:rPr>
              <w:t>“三线一单”生态环境分区管控要求</w:t>
            </w:r>
            <w:r>
              <w:rPr>
                <w:rFonts w:hint="eastAsia"/>
                <w:sz w:val="24"/>
                <w:lang w:eastAsia="zh-CN"/>
              </w:rPr>
              <w:t>相符性分析</w:t>
            </w:r>
          </w:p>
          <w:p w14:paraId="1F95EFEF">
            <w:pPr>
              <w:adjustRightInd w:val="0"/>
              <w:snapToGrid w:val="0"/>
              <w:spacing w:line="500" w:lineRule="exact"/>
              <w:ind w:firstLine="480" w:firstLineChars="200"/>
              <w:jc w:val="left"/>
              <w:rPr>
                <w:rFonts w:ascii="Times New Roman" w:eastAsia="宋体"/>
                <w:sz w:val="24"/>
              </w:rPr>
            </w:pPr>
            <w:r>
              <w:rPr>
                <w:rFonts w:hint="eastAsia" w:ascii="Times New Roman" w:eastAsia="宋体"/>
                <w:sz w:val="24"/>
              </w:rPr>
              <w:t>根据《连云港市“三线一单”生态环境分区管控实施方案》（连环发</w:t>
            </w:r>
            <w:r>
              <w:rPr>
                <w:rFonts w:hint="eastAsia"/>
                <w:sz w:val="24"/>
                <w:lang w:eastAsia="zh-CN"/>
              </w:rPr>
              <w:t>[</w:t>
            </w:r>
            <w:r>
              <w:rPr>
                <w:rFonts w:hint="eastAsia" w:ascii="Times New Roman" w:eastAsia="宋体"/>
                <w:sz w:val="24"/>
              </w:rPr>
              <w:t>2020</w:t>
            </w:r>
            <w:r>
              <w:rPr>
                <w:rFonts w:hint="eastAsia"/>
                <w:sz w:val="24"/>
                <w:lang w:eastAsia="zh-CN"/>
              </w:rPr>
              <w:t>]</w:t>
            </w:r>
            <w:r>
              <w:rPr>
                <w:rFonts w:hint="eastAsia" w:ascii="Times New Roman" w:eastAsia="宋体"/>
                <w:sz w:val="24"/>
              </w:rPr>
              <w:t>384号）和《连</w:t>
            </w:r>
            <w:r>
              <w:rPr>
                <w:rFonts w:hint="eastAsia" w:ascii="Times New Roman" w:eastAsia="宋体"/>
                <w:bCs/>
                <w:sz w:val="24"/>
              </w:rPr>
              <w:t>云港市“三线一单”生态环境分区管控实施方案具体管控要求》（连环发</w:t>
            </w:r>
            <w:r>
              <w:rPr>
                <w:rFonts w:hint="eastAsia"/>
                <w:bCs/>
                <w:sz w:val="24"/>
                <w:lang w:eastAsia="zh-CN"/>
              </w:rPr>
              <w:t>[</w:t>
            </w:r>
            <w:r>
              <w:rPr>
                <w:rFonts w:hint="eastAsia" w:ascii="Times New Roman" w:eastAsia="宋体"/>
                <w:bCs/>
                <w:sz w:val="24"/>
              </w:rPr>
              <w:t>2021</w:t>
            </w:r>
            <w:r>
              <w:rPr>
                <w:rFonts w:hint="eastAsia"/>
                <w:bCs/>
                <w:sz w:val="24"/>
                <w:lang w:eastAsia="zh-CN"/>
              </w:rPr>
              <w:t>]</w:t>
            </w:r>
            <w:r>
              <w:rPr>
                <w:rFonts w:hint="eastAsia" w:ascii="Times New Roman" w:eastAsia="宋体"/>
                <w:bCs/>
                <w:sz w:val="24"/>
              </w:rPr>
              <w:t>172号），连云港经济技术开发区属于重点管控单元，具体管控要求见表1-</w:t>
            </w:r>
            <w:r>
              <w:rPr>
                <w:rFonts w:hint="eastAsia"/>
                <w:bCs/>
                <w:sz w:val="24"/>
                <w:lang w:val="en-US" w:eastAsia="zh-CN"/>
              </w:rPr>
              <w:t>7</w:t>
            </w:r>
            <w:r>
              <w:rPr>
                <w:rFonts w:hint="eastAsia" w:ascii="Times New Roman" w:eastAsia="宋体"/>
                <w:bCs/>
                <w:sz w:val="24"/>
              </w:rPr>
              <w:t>。</w:t>
            </w:r>
          </w:p>
          <w:p w14:paraId="66A1BF6E">
            <w:pPr>
              <w:pStyle w:val="1111"/>
              <w:bidi w:val="0"/>
            </w:pPr>
            <w:r>
              <w:rPr>
                <w:rStyle w:val="1110"/>
              </w:rPr>
              <w:t>表1-</w:t>
            </w:r>
            <w:r>
              <w:rPr>
                <w:rStyle w:val="1110"/>
                <w:rFonts w:hint="eastAsia"/>
                <w:lang w:val="en-US" w:eastAsia="zh-CN"/>
              </w:rPr>
              <w:t>7</w:t>
            </w:r>
            <w:r>
              <w:rPr>
                <w:rStyle w:val="1110"/>
              </w:rPr>
              <w:t xml:space="preserve"> </w:t>
            </w:r>
            <w:r>
              <w:rPr>
                <w:rStyle w:val="1110"/>
                <w:rFonts w:hint="eastAsia"/>
              </w:rPr>
              <w:t>“三线一单”</w:t>
            </w:r>
            <w:r>
              <w:rPr>
                <w:rFonts w:hint="eastAsia"/>
              </w:rPr>
              <w:t>生态环境分区管控实施方案管控要求</w:t>
            </w:r>
          </w:p>
          <w:tbl>
            <w:tblPr>
              <w:tblStyle w:val="7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02"/>
              <w:gridCol w:w="4784"/>
              <w:gridCol w:w="1469"/>
            </w:tblGrid>
            <w:tr w14:paraId="499A2D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68" w:type="pct"/>
                  <w:tcBorders>
                    <w:top w:val="single" w:color="auto" w:sz="4" w:space="0"/>
                    <w:left w:val="single" w:color="auto" w:sz="4" w:space="0"/>
                    <w:bottom w:val="single" w:color="auto" w:sz="4" w:space="0"/>
                    <w:right w:val="single" w:color="auto" w:sz="4" w:space="0"/>
                  </w:tcBorders>
                  <w:noWrap w:val="0"/>
                  <w:vAlign w:val="center"/>
                </w:tcPr>
                <w:p w14:paraId="7A85AB66">
                  <w:pPr>
                    <w:pStyle w:val="1111"/>
                    <w:bidi w:val="0"/>
                  </w:pPr>
                  <w:r>
                    <w:t>管控类别</w:t>
                  </w:r>
                </w:p>
              </w:tc>
              <w:tc>
                <w:tcPr>
                  <w:tcW w:w="3390" w:type="pct"/>
                  <w:tcBorders>
                    <w:top w:val="single" w:color="auto" w:sz="4" w:space="0"/>
                    <w:left w:val="single" w:color="auto" w:sz="4" w:space="0"/>
                    <w:bottom w:val="single" w:color="auto" w:sz="4" w:space="0"/>
                    <w:right w:val="single" w:color="auto" w:sz="4" w:space="0"/>
                  </w:tcBorders>
                  <w:noWrap w:val="0"/>
                  <w:vAlign w:val="center"/>
                </w:tcPr>
                <w:p w14:paraId="119F6309">
                  <w:pPr>
                    <w:pStyle w:val="1111"/>
                    <w:bidi w:val="0"/>
                  </w:pPr>
                  <w:r>
                    <w:t>管控要求</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676DD02C">
                  <w:pPr>
                    <w:pStyle w:val="1111"/>
                    <w:bidi w:val="0"/>
                  </w:pPr>
                  <w:r>
                    <w:t>相符性分析</w:t>
                  </w:r>
                </w:p>
              </w:tc>
            </w:tr>
            <w:tr w14:paraId="2E9B94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68" w:type="pct"/>
                  <w:tcBorders>
                    <w:top w:val="single" w:color="auto" w:sz="4" w:space="0"/>
                    <w:left w:val="single" w:color="auto" w:sz="4" w:space="0"/>
                    <w:bottom w:val="single" w:color="auto" w:sz="4" w:space="0"/>
                    <w:right w:val="single" w:color="auto" w:sz="4" w:space="0"/>
                  </w:tcBorders>
                  <w:noWrap w:val="0"/>
                  <w:vAlign w:val="center"/>
                </w:tcPr>
                <w:p w14:paraId="3BFA45C4">
                  <w:pPr>
                    <w:pStyle w:val="1111"/>
                    <w:bidi w:val="0"/>
                  </w:pPr>
                  <w:r>
                    <w:t>空间布局约束</w:t>
                  </w:r>
                </w:p>
              </w:tc>
              <w:tc>
                <w:tcPr>
                  <w:tcW w:w="3390" w:type="pct"/>
                  <w:tcBorders>
                    <w:top w:val="single" w:color="auto" w:sz="4" w:space="0"/>
                    <w:left w:val="single" w:color="auto" w:sz="4" w:space="0"/>
                    <w:bottom w:val="single" w:color="auto" w:sz="4" w:space="0"/>
                    <w:right w:val="single" w:color="auto" w:sz="4" w:space="0"/>
                  </w:tcBorders>
                  <w:noWrap w:val="0"/>
                  <w:vAlign w:val="center"/>
                </w:tcPr>
                <w:p w14:paraId="3CADD603">
                  <w:pPr>
                    <w:pStyle w:val="1111"/>
                    <w:bidi w:val="0"/>
                    <w:rPr>
                      <w:rFonts w:hint="eastAsia" w:eastAsia="宋体"/>
                      <w:lang w:eastAsia="zh-CN"/>
                    </w:rPr>
                  </w:pPr>
                  <w:r>
                    <w:t>1</w:t>
                  </w:r>
                  <w:r>
                    <w:rPr>
                      <w:rFonts w:hint="eastAsia"/>
                      <w:lang w:eastAsia="zh-CN"/>
                    </w:rPr>
                    <w:t>、</w:t>
                  </w:r>
                  <w:r>
                    <w:t>严格执行《连云港市基于空间控制单元的环境准入制度及负面清单管理办法</w:t>
                  </w:r>
                  <w:r>
                    <w:rPr>
                      <w:rFonts w:hint="eastAsia"/>
                      <w:lang w:eastAsia="zh-CN"/>
                    </w:rPr>
                    <w:t>（</w:t>
                  </w:r>
                  <w:r>
                    <w:t>试行</w:t>
                  </w:r>
                  <w:r>
                    <w:rPr>
                      <w:rFonts w:hint="eastAsia"/>
                      <w:lang w:eastAsia="zh-CN"/>
                    </w:rPr>
                    <w:t>）</w:t>
                  </w:r>
                  <w:r>
                    <w:t>》</w:t>
                  </w:r>
                  <w:r>
                    <w:rPr>
                      <w:rFonts w:hint="eastAsia"/>
                      <w:lang w:eastAsia="zh-CN"/>
                    </w:rPr>
                    <w:t>（</w:t>
                  </w:r>
                  <w:r>
                    <w:t>连政办发</w:t>
                  </w:r>
                  <w:r>
                    <w:rPr>
                      <w:rFonts w:hint="eastAsia"/>
                      <w:lang w:eastAsia="zh-CN"/>
                    </w:rPr>
                    <w:t>[</w:t>
                  </w:r>
                  <w:r>
                    <w:t>2018</w:t>
                  </w:r>
                  <w:r>
                    <w:rPr>
                      <w:rFonts w:hint="eastAsia"/>
                      <w:lang w:eastAsia="zh-CN"/>
                    </w:rPr>
                    <w:t>]</w:t>
                  </w:r>
                  <w:r>
                    <w:t>9号</w:t>
                  </w:r>
                  <w:r>
                    <w:rPr>
                      <w:rFonts w:hint="eastAsia"/>
                      <w:lang w:eastAsia="zh-CN"/>
                    </w:rPr>
                    <w:t>）、</w:t>
                  </w:r>
                  <w:r>
                    <w:t>《连云港市化工产业建设项目环境准入管控要求</w:t>
                  </w:r>
                  <w:r>
                    <w:rPr>
                      <w:rFonts w:hint="eastAsia"/>
                      <w:lang w:eastAsia="zh-CN"/>
                    </w:rPr>
                    <w:t>（</w:t>
                  </w:r>
                  <w:r>
                    <w:t>2018年本</w:t>
                  </w:r>
                  <w:r>
                    <w:rPr>
                      <w:rFonts w:hint="eastAsia"/>
                      <w:lang w:eastAsia="zh-CN"/>
                    </w:rPr>
                    <w:t>）</w:t>
                  </w:r>
                  <w:r>
                    <w:t>》</w:t>
                  </w:r>
                  <w:r>
                    <w:rPr>
                      <w:rFonts w:hint="eastAsia"/>
                      <w:lang w:eastAsia="zh-CN"/>
                    </w:rPr>
                    <w:t>（</w:t>
                  </w:r>
                  <w:r>
                    <w:t>连环发</w:t>
                  </w:r>
                  <w:r>
                    <w:rPr>
                      <w:rFonts w:hint="eastAsia"/>
                      <w:lang w:eastAsia="zh-CN"/>
                    </w:rPr>
                    <w:t>[</w:t>
                  </w:r>
                  <w:r>
                    <w:t>2018</w:t>
                  </w:r>
                  <w:r>
                    <w:rPr>
                      <w:rFonts w:hint="eastAsia"/>
                      <w:lang w:eastAsia="zh-CN"/>
                    </w:rPr>
                    <w:t>]</w:t>
                  </w:r>
                  <w:r>
                    <w:t>324号</w:t>
                  </w:r>
                  <w:r>
                    <w:rPr>
                      <w:rFonts w:hint="eastAsia"/>
                      <w:lang w:eastAsia="zh-CN"/>
                    </w:rPr>
                    <w:t>）</w:t>
                  </w:r>
                  <w:r>
                    <w:t>等文件要求</w:t>
                  </w:r>
                  <w:r>
                    <w:rPr>
                      <w:rFonts w:hint="eastAsia"/>
                      <w:lang w:eastAsia="zh-CN"/>
                    </w:rPr>
                    <w:t>。</w:t>
                  </w:r>
                </w:p>
                <w:p w14:paraId="48742185">
                  <w:pPr>
                    <w:pStyle w:val="1111"/>
                    <w:bidi w:val="0"/>
                    <w:rPr>
                      <w:rFonts w:hint="eastAsia" w:eastAsia="宋体"/>
                      <w:lang w:eastAsia="zh-CN"/>
                    </w:rPr>
                  </w:pPr>
                  <w:r>
                    <w:t>2</w:t>
                  </w:r>
                  <w:r>
                    <w:rPr>
                      <w:rFonts w:hint="eastAsia"/>
                      <w:lang w:eastAsia="zh-CN"/>
                    </w:rPr>
                    <w:t>、</w:t>
                  </w:r>
                  <w:r>
                    <w:t>根据《连云港市基于空间控制单元的环境准入制度及负面清单管理办法</w:t>
                  </w:r>
                  <w:r>
                    <w:rPr>
                      <w:rFonts w:hint="eastAsia"/>
                      <w:lang w:eastAsia="zh-CN"/>
                    </w:rPr>
                    <w:t>（</w:t>
                  </w:r>
                  <w:r>
                    <w:t>试行</w:t>
                  </w:r>
                  <w:r>
                    <w:rPr>
                      <w:rFonts w:hint="eastAsia"/>
                      <w:lang w:eastAsia="zh-CN"/>
                    </w:rPr>
                    <w:t>）</w:t>
                  </w:r>
                  <w:r>
                    <w:t>》</w:t>
                  </w:r>
                  <w:r>
                    <w:rPr>
                      <w:rFonts w:hint="eastAsia"/>
                      <w:lang w:eastAsia="zh-CN"/>
                    </w:rPr>
                    <w:t>（</w:t>
                  </w:r>
                  <w:r>
                    <w:t>连政办发</w:t>
                  </w:r>
                  <w:r>
                    <w:rPr>
                      <w:rFonts w:hint="eastAsia"/>
                      <w:lang w:eastAsia="zh-CN"/>
                    </w:rPr>
                    <w:t>[</w:t>
                  </w:r>
                  <w:r>
                    <w:t>2018</w:t>
                  </w:r>
                  <w:r>
                    <w:rPr>
                      <w:rFonts w:hint="eastAsia"/>
                      <w:lang w:eastAsia="zh-CN"/>
                    </w:rPr>
                    <w:t>]</w:t>
                  </w:r>
                  <w:r>
                    <w:t>9号</w:t>
                  </w:r>
                  <w:r>
                    <w:rPr>
                      <w:rFonts w:hint="eastAsia"/>
                      <w:lang w:eastAsia="zh-CN"/>
                    </w:rPr>
                    <w:t>），</w:t>
                  </w:r>
                  <w:r>
                    <w:t>全市所有的建设项目选址应符合主体功能区划</w:t>
                  </w:r>
                  <w:r>
                    <w:rPr>
                      <w:rFonts w:hint="eastAsia"/>
                      <w:lang w:eastAsia="zh-CN"/>
                    </w:rPr>
                    <w:t>、</w:t>
                  </w:r>
                  <w:r>
                    <w:t>产业发展规划</w:t>
                  </w:r>
                  <w:r>
                    <w:rPr>
                      <w:rFonts w:hint="eastAsia"/>
                      <w:lang w:eastAsia="zh-CN"/>
                    </w:rPr>
                    <w:t>、</w:t>
                  </w:r>
                  <w:r>
                    <w:t>城市总体规划</w:t>
                  </w:r>
                  <w:r>
                    <w:rPr>
                      <w:rFonts w:hint="eastAsia"/>
                      <w:lang w:eastAsia="zh-CN"/>
                    </w:rPr>
                    <w:t>、</w:t>
                  </w:r>
                  <w:r>
                    <w:t>土地利用规划</w:t>
                  </w:r>
                  <w:r>
                    <w:rPr>
                      <w:rFonts w:hint="eastAsia"/>
                      <w:lang w:eastAsia="zh-CN"/>
                    </w:rPr>
                    <w:t>、</w:t>
                  </w:r>
                  <w:r>
                    <w:t>环境保护规划</w:t>
                  </w:r>
                  <w:r>
                    <w:rPr>
                      <w:rFonts w:hint="eastAsia"/>
                      <w:lang w:eastAsia="zh-CN"/>
                    </w:rPr>
                    <w:t>、</w:t>
                  </w:r>
                  <w:r>
                    <w:t>生态保护红线等要求</w:t>
                  </w:r>
                  <w:r>
                    <w:rPr>
                      <w:rFonts w:hint="eastAsia"/>
                      <w:lang w:eastAsia="zh-CN"/>
                    </w:rPr>
                    <w:t>。</w:t>
                  </w:r>
                  <w:r>
                    <w:t>新建有污染物排放的工业项目应按规划进入符合产业定位的工业园区或工业集中区</w:t>
                  </w:r>
                  <w:r>
                    <w:rPr>
                      <w:rFonts w:hint="eastAsia"/>
                      <w:lang w:eastAsia="zh-CN"/>
                    </w:rPr>
                    <w:t>；</w:t>
                  </w:r>
                  <w:r>
                    <w:t>禁止开发区域内</w:t>
                  </w:r>
                  <w:r>
                    <w:rPr>
                      <w:rFonts w:hint="eastAsia"/>
                      <w:lang w:eastAsia="zh-CN"/>
                    </w:rPr>
                    <w:t>，</w:t>
                  </w:r>
                  <w:r>
                    <w:t>禁止一切形式的建设活动</w:t>
                  </w:r>
                  <w:r>
                    <w:rPr>
                      <w:rFonts w:hint="eastAsia"/>
                      <w:lang w:eastAsia="zh-CN"/>
                    </w:rPr>
                    <w:t>。</w:t>
                  </w:r>
                  <w:r>
                    <w:t>钢铁重点布局在赣榆临港产业区</w:t>
                  </w:r>
                  <w:r>
                    <w:rPr>
                      <w:rFonts w:hint="eastAsia"/>
                      <w:lang w:eastAsia="zh-CN"/>
                    </w:rPr>
                    <w:t>，</w:t>
                  </w:r>
                  <w:r>
                    <w:t>石化重点布局在徐圩新区</w:t>
                  </w:r>
                  <w:r>
                    <w:rPr>
                      <w:rFonts w:hint="eastAsia"/>
                      <w:lang w:eastAsia="zh-CN"/>
                    </w:rPr>
                    <w:t>，</w:t>
                  </w:r>
                  <w:r>
                    <w:t>化工项目按不同园区的产业定位</w:t>
                  </w:r>
                  <w:r>
                    <w:rPr>
                      <w:rFonts w:hint="eastAsia"/>
                      <w:lang w:eastAsia="zh-CN"/>
                    </w:rPr>
                    <w:t>，</w:t>
                  </w:r>
                  <w:r>
                    <w:t>布局在具有其产业定位的园区内</w:t>
                  </w:r>
                  <w:r>
                    <w:rPr>
                      <w:rFonts w:hint="eastAsia"/>
                      <w:lang w:eastAsia="zh-CN"/>
                    </w:rPr>
                    <w:t>。</w:t>
                  </w:r>
                  <w:r>
                    <w:t>重点建设徐圩IGCC和赣榆天然气热电联产电厂</w:t>
                  </w:r>
                  <w:r>
                    <w:rPr>
                      <w:rFonts w:hint="eastAsia"/>
                      <w:lang w:eastAsia="zh-CN"/>
                    </w:rPr>
                    <w:t>，</w:t>
                  </w:r>
                  <w:r>
                    <w:t>其他地区原则上不再新建燃煤电厂；工业项目应符合产业政策</w:t>
                  </w:r>
                  <w:r>
                    <w:rPr>
                      <w:rFonts w:hint="eastAsia"/>
                      <w:lang w:eastAsia="zh-CN"/>
                    </w:rPr>
                    <w:t>，</w:t>
                  </w:r>
                  <w:r>
                    <w:t>不得采用国家</w:t>
                  </w:r>
                  <w:r>
                    <w:rPr>
                      <w:rFonts w:hint="eastAsia"/>
                      <w:lang w:eastAsia="zh-CN"/>
                    </w:rPr>
                    <w:t>、</w:t>
                  </w:r>
                  <w:r>
                    <w:t>省和本市淘汰的或禁止使用的工艺</w:t>
                  </w:r>
                  <w:r>
                    <w:rPr>
                      <w:rFonts w:hint="eastAsia"/>
                      <w:lang w:eastAsia="zh-CN"/>
                    </w:rPr>
                    <w:t>、</w:t>
                  </w:r>
                  <w:r>
                    <w:t>技术和设备</w:t>
                  </w:r>
                  <w:r>
                    <w:rPr>
                      <w:rFonts w:hint="eastAsia"/>
                      <w:lang w:eastAsia="zh-CN"/>
                    </w:rPr>
                    <w:t>，</w:t>
                  </w:r>
                  <w:r>
                    <w:t>不得建设生产工艺或污染防治技术不成熟的项目</w:t>
                  </w:r>
                  <w:r>
                    <w:rPr>
                      <w:rFonts w:hint="eastAsia"/>
                      <w:lang w:eastAsia="zh-CN"/>
                    </w:rPr>
                    <w:t>；</w:t>
                  </w:r>
                  <w:r>
                    <w:t>限制列入环境保护综合名录的高污染</w:t>
                  </w:r>
                  <w:r>
                    <w:rPr>
                      <w:rFonts w:hint="eastAsia"/>
                      <w:lang w:eastAsia="zh-CN"/>
                    </w:rPr>
                    <w:t>、</w:t>
                  </w:r>
                  <w:r>
                    <w:t>高环境风险产品的生产</w:t>
                  </w:r>
                  <w:r>
                    <w:rPr>
                      <w:rFonts w:hint="eastAsia"/>
                      <w:lang w:eastAsia="zh-CN"/>
                    </w:rPr>
                    <w:t>。</w:t>
                  </w:r>
                </w:p>
                <w:p w14:paraId="78DEE94A">
                  <w:pPr>
                    <w:pStyle w:val="1111"/>
                    <w:bidi w:val="0"/>
                    <w:rPr>
                      <w:rFonts w:hint="eastAsia" w:eastAsia="宋体"/>
                      <w:lang w:eastAsia="zh-CN"/>
                    </w:rPr>
                  </w:pPr>
                  <w:r>
                    <w:t>3</w:t>
                  </w:r>
                  <w:r>
                    <w:rPr>
                      <w:rFonts w:hint="eastAsia"/>
                      <w:lang w:eastAsia="zh-CN"/>
                    </w:rPr>
                    <w:t>、</w:t>
                  </w:r>
                  <w:r>
                    <w:t>根据《连云港市化工产业建设项目环境准入管控要求</w:t>
                  </w:r>
                  <w:r>
                    <w:rPr>
                      <w:rFonts w:hint="eastAsia"/>
                      <w:lang w:eastAsia="zh-CN"/>
                    </w:rPr>
                    <w:t>（</w:t>
                  </w:r>
                  <w:r>
                    <w:t>2018年本</w:t>
                  </w:r>
                  <w:r>
                    <w:rPr>
                      <w:rFonts w:hint="eastAsia"/>
                      <w:lang w:eastAsia="zh-CN"/>
                    </w:rPr>
                    <w:t>）</w:t>
                  </w:r>
                  <w:r>
                    <w:t>》</w:t>
                  </w:r>
                  <w:r>
                    <w:rPr>
                      <w:rFonts w:hint="eastAsia"/>
                      <w:lang w:eastAsia="zh-CN"/>
                    </w:rPr>
                    <w:t>（</w:t>
                  </w:r>
                  <w:r>
                    <w:t>连环发</w:t>
                  </w:r>
                  <w:r>
                    <w:rPr>
                      <w:rFonts w:hint="eastAsia"/>
                      <w:lang w:eastAsia="zh-CN"/>
                    </w:rPr>
                    <w:t>[</w:t>
                  </w:r>
                  <w:r>
                    <w:t>2018</w:t>
                  </w:r>
                  <w:r>
                    <w:rPr>
                      <w:rFonts w:hint="eastAsia"/>
                      <w:lang w:eastAsia="zh-CN"/>
                    </w:rPr>
                    <w:t>]</w:t>
                  </w:r>
                  <w:r>
                    <w:t>324号</w:t>
                  </w:r>
                  <w:r>
                    <w:rPr>
                      <w:rFonts w:hint="eastAsia"/>
                      <w:lang w:eastAsia="zh-CN"/>
                    </w:rPr>
                    <w:t>），</w:t>
                  </w:r>
                  <w:r>
                    <w:t>化工项目必须进入由市级以上政府批准且规划环评通过环保部门审查的产业园区</w:t>
                  </w:r>
                  <w:r>
                    <w:rPr>
                      <w:rFonts w:hint="eastAsia"/>
                      <w:lang w:eastAsia="zh-CN"/>
                    </w:rPr>
                    <w:t>（</w:t>
                  </w:r>
                  <w:r>
                    <w:t>化工重点监测点的提升安全</w:t>
                  </w:r>
                  <w:r>
                    <w:rPr>
                      <w:rFonts w:hint="eastAsia"/>
                      <w:lang w:eastAsia="zh-CN"/>
                    </w:rPr>
                    <w:t>、</w:t>
                  </w:r>
                  <w:r>
                    <w:t>环保</w:t>
                  </w:r>
                  <w:r>
                    <w:rPr>
                      <w:rFonts w:hint="eastAsia"/>
                      <w:lang w:eastAsia="zh-CN"/>
                    </w:rPr>
                    <w:t>、</w:t>
                  </w:r>
                  <w:r>
                    <w:t>节能水平</w:t>
                  </w:r>
                  <w:r>
                    <w:rPr>
                      <w:rFonts w:hint="eastAsia"/>
                      <w:lang w:eastAsia="zh-CN"/>
                    </w:rPr>
                    <w:t>、</w:t>
                  </w:r>
                  <w:r>
                    <w:t>结构调整的技改项目除外</w:t>
                  </w:r>
                  <w:r>
                    <w:rPr>
                      <w:rFonts w:hint="eastAsia"/>
                      <w:lang w:eastAsia="zh-CN"/>
                    </w:rPr>
                    <w:t>）。</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18F5112C">
                  <w:pPr>
                    <w:pStyle w:val="1111"/>
                    <w:bidi w:val="0"/>
                    <w:rPr>
                      <w:rFonts w:hint="eastAsia" w:eastAsia="宋体"/>
                      <w:lang w:eastAsia="zh-CN"/>
                    </w:rPr>
                  </w:pPr>
                  <w:r>
                    <w:t>项目严格执行《连云港市基于空间控制单元的环境准入制度及负面清单管理办法</w:t>
                  </w:r>
                  <w:r>
                    <w:rPr>
                      <w:rFonts w:hint="eastAsia"/>
                      <w:lang w:eastAsia="zh-CN"/>
                    </w:rPr>
                    <w:t>（</w:t>
                  </w:r>
                  <w:r>
                    <w:t>试行</w:t>
                  </w:r>
                  <w:r>
                    <w:rPr>
                      <w:rFonts w:hint="eastAsia"/>
                      <w:lang w:eastAsia="zh-CN"/>
                    </w:rPr>
                    <w:t>）</w:t>
                  </w:r>
                  <w:r>
                    <w:t>》</w:t>
                  </w:r>
                  <w:r>
                    <w:rPr>
                      <w:rFonts w:hint="eastAsia"/>
                      <w:lang w:eastAsia="zh-CN"/>
                    </w:rPr>
                    <w:t>（</w:t>
                  </w:r>
                  <w:r>
                    <w:t>连政办发</w:t>
                  </w:r>
                  <w:r>
                    <w:rPr>
                      <w:rFonts w:hint="eastAsia"/>
                      <w:lang w:eastAsia="zh-CN"/>
                    </w:rPr>
                    <w:t>[</w:t>
                  </w:r>
                  <w:r>
                    <w:t>2018</w:t>
                  </w:r>
                  <w:r>
                    <w:rPr>
                      <w:rFonts w:hint="eastAsia"/>
                      <w:lang w:eastAsia="zh-CN"/>
                    </w:rPr>
                    <w:t>]</w:t>
                  </w:r>
                  <w:r>
                    <w:t>9号</w:t>
                  </w:r>
                  <w:r>
                    <w:rPr>
                      <w:rFonts w:hint="eastAsia"/>
                      <w:lang w:eastAsia="zh-CN"/>
                    </w:rPr>
                    <w:t>）</w:t>
                  </w:r>
                  <w:r>
                    <w:t>等文件要求</w:t>
                  </w:r>
                  <w:r>
                    <w:rPr>
                      <w:rFonts w:hint="eastAsia"/>
                      <w:lang w:eastAsia="zh-CN"/>
                    </w:rPr>
                    <w:t>。</w:t>
                  </w:r>
                </w:p>
                <w:p w14:paraId="79A71F49">
                  <w:pPr>
                    <w:pStyle w:val="1111"/>
                    <w:bidi w:val="0"/>
                    <w:rPr>
                      <w:rFonts w:hint="eastAsia" w:eastAsia="宋体"/>
                      <w:lang w:eastAsia="zh-CN"/>
                    </w:rPr>
                  </w:pPr>
                  <w:r>
                    <w:t>项目满足选址符合主体功能区划</w:t>
                  </w:r>
                  <w:r>
                    <w:rPr>
                      <w:rFonts w:hint="eastAsia"/>
                      <w:lang w:eastAsia="zh-CN"/>
                    </w:rPr>
                    <w:t>、</w:t>
                  </w:r>
                  <w:r>
                    <w:t>产业发展规划</w:t>
                  </w:r>
                  <w:r>
                    <w:rPr>
                      <w:rFonts w:hint="eastAsia"/>
                      <w:lang w:eastAsia="zh-CN"/>
                    </w:rPr>
                    <w:t>、</w:t>
                  </w:r>
                  <w:r>
                    <w:t>城市总体规划</w:t>
                  </w:r>
                  <w:r>
                    <w:rPr>
                      <w:rFonts w:hint="eastAsia"/>
                      <w:lang w:eastAsia="zh-CN"/>
                    </w:rPr>
                    <w:t>、</w:t>
                  </w:r>
                  <w:r>
                    <w:t>土地利用规划</w:t>
                  </w:r>
                  <w:r>
                    <w:rPr>
                      <w:rFonts w:hint="eastAsia"/>
                      <w:lang w:eastAsia="zh-CN"/>
                    </w:rPr>
                    <w:t>、</w:t>
                  </w:r>
                  <w:r>
                    <w:t>环境保护规划</w:t>
                  </w:r>
                  <w:r>
                    <w:rPr>
                      <w:rFonts w:hint="eastAsia"/>
                      <w:lang w:eastAsia="zh-CN"/>
                    </w:rPr>
                    <w:t>、</w:t>
                  </w:r>
                  <w:r>
                    <w:t>生态保护红线等要求</w:t>
                  </w:r>
                  <w:r>
                    <w:rPr>
                      <w:rFonts w:hint="eastAsia"/>
                      <w:lang w:eastAsia="zh-CN"/>
                    </w:rPr>
                    <w:t>。</w:t>
                  </w:r>
                </w:p>
              </w:tc>
            </w:tr>
            <w:tr w14:paraId="632302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68" w:type="pct"/>
                  <w:tcBorders>
                    <w:top w:val="single" w:color="auto" w:sz="4" w:space="0"/>
                    <w:left w:val="single" w:color="auto" w:sz="4" w:space="0"/>
                    <w:bottom w:val="single" w:color="auto" w:sz="4" w:space="0"/>
                    <w:right w:val="single" w:color="auto" w:sz="4" w:space="0"/>
                  </w:tcBorders>
                  <w:noWrap w:val="0"/>
                  <w:vAlign w:val="center"/>
                </w:tcPr>
                <w:p w14:paraId="4D9EC92A">
                  <w:pPr>
                    <w:pStyle w:val="1111"/>
                    <w:bidi w:val="0"/>
                  </w:pPr>
                  <w:r>
                    <w:t>污染物排放管控</w:t>
                  </w:r>
                </w:p>
              </w:tc>
              <w:tc>
                <w:tcPr>
                  <w:tcW w:w="3390" w:type="pct"/>
                  <w:tcBorders>
                    <w:top w:val="single" w:color="auto" w:sz="4" w:space="0"/>
                    <w:left w:val="single" w:color="auto" w:sz="4" w:space="0"/>
                    <w:bottom w:val="single" w:color="auto" w:sz="4" w:space="0"/>
                    <w:right w:val="single" w:color="auto" w:sz="4" w:space="0"/>
                  </w:tcBorders>
                  <w:noWrap w:val="0"/>
                  <w:vAlign w:val="center"/>
                </w:tcPr>
                <w:p w14:paraId="036B14CA">
                  <w:pPr>
                    <w:pStyle w:val="1111"/>
                    <w:bidi w:val="0"/>
                    <w:rPr>
                      <w:rFonts w:hint="eastAsia" w:eastAsia="宋体"/>
                      <w:lang w:eastAsia="zh-CN"/>
                    </w:rPr>
                  </w:pPr>
                  <w:r>
                    <w:t>1</w:t>
                  </w:r>
                  <w:r>
                    <w:rPr>
                      <w:rFonts w:hint="eastAsia"/>
                      <w:lang w:eastAsia="zh-CN"/>
                    </w:rPr>
                    <w:t>、</w:t>
                  </w:r>
                  <w:r>
                    <w:t>2020年连云港市化学需氧量</w:t>
                  </w:r>
                  <w:r>
                    <w:rPr>
                      <w:rFonts w:hint="eastAsia"/>
                      <w:lang w:eastAsia="zh-CN"/>
                    </w:rPr>
                    <w:t>、</w:t>
                  </w:r>
                  <w:r>
                    <w:t>氨氮</w:t>
                  </w:r>
                  <w:r>
                    <w:rPr>
                      <w:rFonts w:hint="eastAsia"/>
                      <w:lang w:eastAsia="zh-CN"/>
                    </w:rPr>
                    <w:t>、</w:t>
                  </w:r>
                  <w:r>
                    <w:t>总氮</w:t>
                  </w:r>
                  <w:r>
                    <w:rPr>
                      <w:rFonts w:hint="eastAsia"/>
                      <w:lang w:eastAsia="zh-CN"/>
                    </w:rPr>
                    <w:t>、</w:t>
                  </w:r>
                  <w:r>
                    <w:t>总磷</w:t>
                  </w:r>
                  <w:r>
                    <w:rPr>
                      <w:rFonts w:hint="eastAsia"/>
                      <w:lang w:eastAsia="zh-CN"/>
                    </w:rPr>
                    <w:t>、</w:t>
                  </w:r>
                  <w:r>
                    <w:t>二氧化硫</w:t>
                  </w:r>
                  <w:r>
                    <w:rPr>
                      <w:rFonts w:hint="eastAsia"/>
                      <w:lang w:eastAsia="zh-CN"/>
                    </w:rPr>
                    <w:t>、</w:t>
                  </w:r>
                  <w:r>
                    <w:t>氮氧化物</w:t>
                  </w:r>
                  <w:r>
                    <w:rPr>
                      <w:rFonts w:hint="eastAsia"/>
                      <w:lang w:eastAsia="zh-CN"/>
                    </w:rPr>
                    <w:t>、</w:t>
                  </w:r>
                  <w:r>
                    <w:t>烟粉尘</w:t>
                  </w:r>
                  <w:r>
                    <w:rPr>
                      <w:rFonts w:hint="eastAsia"/>
                      <w:lang w:eastAsia="zh-CN"/>
                    </w:rPr>
                    <w:t>、</w:t>
                  </w:r>
                  <w:r>
                    <w:t>VOCs排放量不得超过8.19万吨/年</w:t>
                  </w:r>
                  <w:r>
                    <w:rPr>
                      <w:rFonts w:hint="eastAsia"/>
                      <w:lang w:eastAsia="zh-CN"/>
                    </w:rPr>
                    <w:t>、</w:t>
                  </w:r>
                  <w:r>
                    <w:t>0.85万吨/年</w:t>
                  </w:r>
                  <w:r>
                    <w:rPr>
                      <w:rFonts w:hint="eastAsia"/>
                      <w:lang w:eastAsia="zh-CN"/>
                    </w:rPr>
                    <w:t>、</w:t>
                  </w:r>
                  <w:r>
                    <w:t>2.44万吨/年</w:t>
                  </w:r>
                  <w:r>
                    <w:rPr>
                      <w:rFonts w:hint="eastAsia"/>
                      <w:lang w:eastAsia="zh-CN"/>
                    </w:rPr>
                    <w:t>、</w:t>
                  </w:r>
                  <w:r>
                    <w:t>0.24万吨/年</w:t>
                  </w:r>
                  <w:r>
                    <w:rPr>
                      <w:rFonts w:hint="eastAsia"/>
                      <w:lang w:eastAsia="zh-CN"/>
                    </w:rPr>
                    <w:t>、</w:t>
                  </w:r>
                  <w:r>
                    <w:t>3.45万吨/年</w:t>
                  </w:r>
                  <w:r>
                    <w:rPr>
                      <w:rFonts w:hint="eastAsia"/>
                      <w:lang w:eastAsia="zh-CN"/>
                    </w:rPr>
                    <w:t>、</w:t>
                  </w:r>
                  <w:r>
                    <w:t>3.40万吨/年</w:t>
                  </w:r>
                  <w:r>
                    <w:rPr>
                      <w:rFonts w:hint="eastAsia"/>
                      <w:lang w:eastAsia="zh-CN"/>
                    </w:rPr>
                    <w:t>、</w:t>
                  </w:r>
                  <w:r>
                    <w:t>2.61万吨/年</w:t>
                  </w:r>
                  <w:r>
                    <w:rPr>
                      <w:rFonts w:hint="eastAsia"/>
                      <w:lang w:eastAsia="zh-CN"/>
                    </w:rPr>
                    <w:t>、</w:t>
                  </w:r>
                  <w:r>
                    <w:t>8.3万吨/年</w:t>
                  </w:r>
                  <w:r>
                    <w:rPr>
                      <w:rFonts w:hint="eastAsia"/>
                      <w:lang w:eastAsia="zh-CN"/>
                    </w:rPr>
                    <w:t>。</w:t>
                  </w:r>
                </w:p>
                <w:p w14:paraId="620D536B">
                  <w:pPr>
                    <w:pStyle w:val="1111"/>
                    <w:bidi w:val="0"/>
                  </w:pPr>
                  <w:r>
                    <w:t>2</w:t>
                  </w:r>
                  <w:r>
                    <w:rPr>
                      <w:rFonts w:hint="eastAsia"/>
                      <w:lang w:eastAsia="zh-CN"/>
                    </w:rPr>
                    <w:t>、</w:t>
                  </w:r>
                  <w:r>
                    <w:t>根据《连云港市基于空间控制单元的环境准入制度及负面清单管理办法</w:t>
                  </w:r>
                  <w:r>
                    <w:rPr>
                      <w:rFonts w:hint="eastAsia"/>
                      <w:lang w:eastAsia="zh-CN"/>
                    </w:rPr>
                    <w:t>（</w:t>
                  </w:r>
                  <w:r>
                    <w:t>试行</w:t>
                  </w:r>
                  <w:r>
                    <w:rPr>
                      <w:rFonts w:hint="eastAsia"/>
                      <w:lang w:eastAsia="zh-CN"/>
                    </w:rPr>
                    <w:t>）</w:t>
                  </w:r>
                  <w:r>
                    <w:t>》</w:t>
                  </w:r>
                  <w:r>
                    <w:rPr>
                      <w:rFonts w:hint="eastAsia"/>
                      <w:lang w:eastAsia="zh-CN"/>
                    </w:rPr>
                    <w:t>（</w:t>
                  </w:r>
                  <w:r>
                    <w:t>连政办发</w:t>
                  </w:r>
                  <w:r>
                    <w:rPr>
                      <w:rFonts w:hint="eastAsia"/>
                      <w:lang w:eastAsia="zh-CN"/>
                    </w:rPr>
                    <w:t>[</w:t>
                  </w:r>
                  <w:r>
                    <w:t>2018</w:t>
                  </w:r>
                  <w:r>
                    <w:rPr>
                      <w:rFonts w:hint="eastAsia"/>
                      <w:lang w:eastAsia="zh-CN"/>
                    </w:rPr>
                    <w:t>]</w:t>
                  </w:r>
                  <w:r>
                    <w:t>9号</w:t>
                  </w:r>
                  <w:r>
                    <w:rPr>
                      <w:rFonts w:hint="eastAsia"/>
                      <w:lang w:eastAsia="zh-CN"/>
                    </w:rPr>
                    <w:t>），</w:t>
                  </w:r>
                  <w:r>
                    <w:t>全市工业项目排放污染物必须达到国家和地方规定的污染物排放标准</w:t>
                  </w:r>
                  <w:r>
                    <w:rPr>
                      <w:rFonts w:hint="eastAsia"/>
                      <w:lang w:eastAsia="zh-CN"/>
                    </w:rPr>
                    <w:t>，</w:t>
                  </w:r>
                  <w:r>
                    <w:t>工业项目选址区域应有相应的环境容量</w:t>
                  </w:r>
                  <w:r>
                    <w:rPr>
                      <w:rFonts w:hint="eastAsia"/>
                      <w:lang w:eastAsia="zh-CN"/>
                    </w:rPr>
                    <w:t>，</w:t>
                  </w:r>
                  <w:r>
                    <w:t>未按要求完成污染物总量削减任务的区域和流域</w:t>
                  </w:r>
                  <w:r>
                    <w:rPr>
                      <w:rFonts w:hint="eastAsia"/>
                      <w:lang w:eastAsia="zh-CN"/>
                    </w:rPr>
                    <w:t>，</w:t>
                  </w:r>
                  <w:r>
                    <w:t>不得建设新增相应污染物排放量的工业</w:t>
                  </w:r>
                  <w:r>
                    <w:rPr>
                      <w:rFonts w:hint="eastAsia"/>
                      <w:lang w:eastAsia="zh-CN"/>
                    </w:rPr>
                    <w:t>项目。</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3948349A">
                  <w:pPr>
                    <w:pStyle w:val="1111"/>
                    <w:bidi w:val="0"/>
                    <w:rPr>
                      <w:rFonts w:hint="eastAsia" w:eastAsia="宋体"/>
                      <w:lang w:eastAsia="zh-CN"/>
                    </w:rPr>
                  </w:pPr>
                  <w:r>
                    <w:t>项目污染物排放量满足国家和地方规定的污染物排放标准</w:t>
                  </w:r>
                  <w:r>
                    <w:rPr>
                      <w:rFonts w:hint="eastAsia"/>
                      <w:lang w:eastAsia="zh-CN"/>
                    </w:rPr>
                    <w:t>。</w:t>
                  </w:r>
                  <w:r>
                    <w:t>项目选址区域有相应的环境容量</w:t>
                  </w:r>
                  <w:r>
                    <w:rPr>
                      <w:rFonts w:hint="eastAsia"/>
                      <w:lang w:eastAsia="zh-CN"/>
                    </w:rPr>
                    <w:t>。</w:t>
                  </w:r>
                </w:p>
              </w:tc>
            </w:tr>
            <w:tr w14:paraId="3136D9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68" w:type="pct"/>
                  <w:tcBorders>
                    <w:top w:val="single" w:color="auto" w:sz="4" w:space="0"/>
                    <w:left w:val="single" w:color="auto" w:sz="4" w:space="0"/>
                    <w:bottom w:val="single" w:color="auto" w:sz="4" w:space="0"/>
                    <w:right w:val="single" w:color="auto" w:sz="4" w:space="0"/>
                  </w:tcBorders>
                  <w:noWrap w:val="0"/>
                  <w:vAlign w:val="center"/>
                </w:tcPr>
                <w:p w14:paraId="00F8D32C">
                  <w:pPr>
                    <w:pStyle w:val="1111"/>
                    <w:bidi w:val="0"/>
                  </w:pPr>
                  <w:r>
                    <w:t>环境风险防控</w:t>
                  </w:r>
                </w:p>
              </w:tc>
              <w:tc>
                <w:tcPr>
                  <w:tcW w:w="3390" w:type="pct"/>
                  <w:tcBorders>
                    <w:top w:val="single" w:color="auto" w:sz="4" w:space="0"/>
                    <w:left w:val="single" w:color="auto" w:sz="4" w:space="0"/>
                    <w:bottom w:val="single" w:color="auto" w:sz="4" w:space="0"/>
                    <w:right w:val="single" w:color="auto" w:sz="4" w:space="0"/>
                  </w:tcBorders>
                  <w:noWrap w:val="0"/>
                  <w:vAlign w:val="center"/>
                </w:tcPr>
                <w:p w14:paraId="48F63224">
                  <w:pPr>
                    <w:pStyle w:val="1111"/>
                    <w:bidi w:val="0"/>
                    <w:rPr>
                      <w:rFonts w:hint="eastAsia" w:eastAsia="宋体"/>
                      <w:lang w:eastAsia="zh-CN"/>
                    </w:rPr>
                  </w:pPr>
                  <w:r>
                    <w:t>根据《连云港市突发环境事件应急预案》</w:t>
                  </w:r>
                  <w:r>
                    <w:rPr>
                      <w:rFonts w:hint="eastAsia"/>
                      <w:lang w:eastAsia="zh-CN"/>
                    </w:rPr>
                    <w:t>（</w:t>
                  </w:r>
                  <w:r>
                    <w:t>连政办发</w:t>
                  </w:r>
                  <w:r>
                    <w:rPr>
                      <w:rFonts w:hint="eastAsia"/>
                      <w:lang w:eastAsia="zh-CN"/>
                    </w:rPr>
                    <w:t>[</w:t>
                  </w:r>
                  <w:r>
                    <w:t>2015</w:t>
                  </w:r>
                  <w:r>
                    <w:rPr>
                      <w:rFonts w:hint="eastAsia"/>
                      <w:lang w:eastAsia="zh-CN"/>
                    </w:rPr>
                    <w:t>]</w:t>
                  </w:r>
                  <w:r>
                    <w:t>47号</w:t>
                  </w:r>
                  <w:r>
                    <w:rPr>
                      <w:rFonts w:hint="eastAsia"/>
                      <w:lang w:eastAsia="zh-CN"/>
                    </w:rPr>
                    <w:t>）</w:t>
                  </w:r>
                  <w:r>
                    <w:t>，建立突发环境事件预警防范体系，及时消除环境安全隐患，提高应急处置能力</w:t>
                  </w:r>
                  <w:r>
                    <w:rPr>
                      <w:rFonts w:hint="eastAsia"/>
                      <w:lang w:eastAsia="zh-CN"/>
                    </w:rPr>
                    <w:t>；</w:t>
                  </w:r>
                  <w:r>
                    <w:t>强化部门沟通协作</w:t>
                  </w:r>
                  <w:r>
                    <w:rPr>
                      <w:rFonts w:hint="eastAsia"/>
                      <w:lang w:eastAsia="zh-CN"/>
                    </w:rPr>
                    <w:t>，</w:t>
                  </w:r>
                  <w:r>
                    <w:t>充分发挥各部门专业优势</w:t>
                  </w:r>
                  <w:r>
                    <w:rPr>
                      <w:rFonts w:hint="eastAsia"/>
                      <w:lang w:eastAsia="zh-CN"/>
                    </w:rPr>
                    <w:t>，</w:t>
                  </w:r>
                  <w:r>
                    <w:t>提高联防联控和快速反应能力</w:t>
                  </w:r>
                  <w:r>
                    <w:rPr>
                      <w:rFonts w:hint="eastAsia"/>
                      <w:lang w:eastAsia="zh-CN"/>
                    </w:rPr>
                    <w:t>。</w:t>
                  </w:r>
                  <w:r>
                    <w:t>坚持属地为主，发挥地方政府职能作用，形成分级负责</w:t>
                  </w:r>
                  <w:r>
                    <w:rPr>
                      <w:rFonts w:hint="eastAsia"/>
                      <w:lang w:eastAsia="zh-CN"/>
                    </w:rPr>
                    <w:t>、</w:t>
                  </w:r>
                  <w:r>
                    <w:t>分类指挥</w:t>
                  </w:r>
                  <w:r>
                    <w:rPr>
                      <w:rFonts w:hint="eastAsia"/>
                      <w:lang w:eastAsia="zh-CN"/>
                    </w:rPr>
                    <w:t>、</w:t>
                  </w:r>
                  <w:r>
                    <w:t>综合协调</w:t>
                  </w:r>
                  <w:r>
                    <w:rPr>
                      <w:rFonts w:hint="eastAsia"/>
                      <w:lang w:eastAsia="zh-CN"/>
                    </w:rPr>
                    <w:t>、</w:t>
                  </w:r>
                  <w:r>
                    <w:t>逐级响应的突发环境事件处置体系；整合现有环境应急救援力量和环境监测网络，发挥专业应急处置队伍和专家队伍的积极作用</w:t>
                  </w:r>
                  <w:r>
                    <w:rPr>
                      <w:rFonts w:hint="eastAsia"/>
                      <w:lang w:eastAsia="zh-CN"/>
                    </w:rPr>
                    <w:t>。</w:t>
                  </w:r>
                  <w:r>
                    <w:t>充分做好应对突发环境事件的物资装备和技术准备，加强培训演练</w:t>
                  </w:r>
                  <w:r>
                    <w:rPr>
                      <w:rFonts w:hint="eastAsia"/>
                      <w:lang w:eastAsia="zh-CN"/>
                    </w:rPr>
                    <w:t>。</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46DD6D46">
                  <w:pPr>
                    <w:pStyle w:val="1111"/>
                    <w:bidi w:val="0"/>
                    <w:rPr>
                      <w:rFonts w:hint="eastAsia" w:eastAsia="宋体"/>
                      <w:lang w:eastAsia="zh-CN"/>
                    </w:rPr>
                  </w:pPr>
                  <w:r>
                    <w:t>项目建成后，将编制突发环境事件应急预案，企业将按照预案要求建立突发环境事件预警防范体系</w:t>
                  </w:r>
                  <w:r>
                    <w:rPr>
                      <w:rFonts w:hint="eastAsia"/>
                      <w:lang w:eastAsia="zh-CN"/>
                    </w:rPr>
                    <w:t>。</w:t>
                  </w:r>
                </w:p>
              </w:tc>
            </w:tr>
            <w:tr w14:paraId="4C2091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68" w:type="pct"/>
                  <w:tcBorders>
                    <w:top w:val="single" w:color="auto" w:sz="4" w:space="0"/>
                    <w:left w:val="single" w:color="auto" w:sz="4" w:space="0"/>
                    <w:bottom w:val="single" w:color="auto" w:sz="4" w:space="0"/>
                    <w:right w:val="single" w:color="auto" w:sz="4" w:space="0"/>
                  </w:tcBorders>
                  <w:noWrap w:val="0"/>
                  <w:vAlign w:val="center"/>
                </w:tcPr>
                <w:p w14:paraId="3AFE9C25">
                  <w:pPr>
                    <w:pStyle w:val="1111"/>
                    <w:bidi w:val="0"/>
                  </w:pPr>
                  <w:r>
                    <w:t>资源利用效率要求</w:t>
                  </w:r>
                </w:p>
              </w:tc>
              <w:tc>
                <w:tcPr>
                  <w:tcW w:w="3390" w:type="pct"/>
                  <w:tcBorders>
                    <w:top w:val="single" w:color="auto" w:sz="4" w:space="0"/>
                    <w:left w:val="single" w:color="auto" w:sz="4" w:space="0"/>
                    <w:bottom w:val="single" w:color="auto" w:sz="4" w:space="0"/>
                    <w:right w:val="single" w:color="auto" w:sz="4" w:space="0"/>
                  </w:tcBorders>
                  <w:noWrap w:val="0"/>
                  <w:vAlign w:val="center"/>
                </w:tcPr>
                <w:p w14:paraId="234B0A03">
                  <w:pPr>
                    <w:pStyle w:val="1111"/>
                    <w:bidi w:val="0"/>
                    <w:rPr>
                      <w:rFonts w:hint="eastAsia" w:eastAsia="宋体"/>
                      <w:lang w:eastAsia="zh-CN"/>
                    </w:rPr>
                  </w:pPr>
                  <w:r>
                    <w:t>1</w:t>
                  </w:r>
                  <w:r>
                    <w:rPr>
                      <w:rFonts w:hint="eastAsia"/>
                      <w:lang w:eastAsia="zh-CN"/>
                    </w:rPr>
                    <w:t>、</w:t>
                  </w:r>
                  <w:r>
                    <w:t>2020年连云港市用水总量不得超过29.43亿立方米</w:t>
                  </w:r>
                  <w:r>
                    <w:rPr>
                      <w:rFonts w:hint="eastAsia"/>
                      <w:lang w:eastAsia="zh-CN"/>
                    </w:rPr>
                    <w:t>、</w:t>
                  </w:r>
                  <w:r>
                    <w:t>耕地保有量不得低于37.467万公顷</w:t>
                  </w:r>
                  <w:r>
                    <w:rPr>
                      <w:rFonts w:hint="eastAsia"/>
                      <w:lang w:eastAsia="zh-CN"/>
                    </w:rPr>
                    <w:t>，</w:t>
                  </w:r>
                  <w:r>
                    <w:t>基本农田保护面积不低于31.344万公顷</w:t>
                  </w:r>
                  <w:r>
                    <w:rPr>
                      <w:rFonts w:hint="eastAsia"/>
                      <w:lang w:eastAsia="zh-CN"/>
                    </w:rPr>
                    <w:t>。</w:t>
                  </w:r>
                </w:p>
                <w:p w14:paraId="6F585082">
                  <w:pPr>
                    <w:pStyle w:val="1111"/>
                    <w:bidi w:val="0"/>
                    <w:rPr>
                      <w:rFonts w:hint="eastAsia" w:eastAsia="宋体"/>
                      <w:lang w:eastAsia="zh-CN"/>
                    </w:rPr>
                  </w:pPr>
                  <w:r>
                    <w:t>2</w:t>
                  </w:r>
                  <w:r>
                    <w:rPr>
                      <w:rFonts w:hint="eastAsia"/>
                      <w:lang w:eastAsia="zh-CN"/>
                    </w:rPr>
                    <w:t>、</w:t>
                  </w:r>
                  <w:r>
                    <w:t>禁燃区内禁止销售使用燃料为“</w:t>
                  </w:r>
                  <w:r>
                    <w:rPr>
                      <w:rFonts w:hint="eastAsia"/>
                    </w:rPr>
                    <w:t>Ⅱ</w:t>
                  </w:r>
                  <w:r>
                    <w:t>类”</w:t>
                  </w:r>
                  <w:r>
                    <w:rPr>
                      <w:rFonts w:hint="eastAsia"/>
                      <w:lang w:eastAsia="zh-CN"/>
                    </w:rPr>
                    <w:t>（</w:t>
                  </w:r>
                  <w:r>
                    <w:t>较严</w:t>
                  </w:r>
                  <w:r>
                    <w:rPr>
                      <w:rFonts w:hint="eastAsia"/>
                      <w:lang w:eastAsia="zh-CN"/>
                    </w:rPr>
                    <w:t>）</w:t>
                  </w:r>
                  <w:r>
                    <w:t>，具体包括</w:t>
                  </w:r>
                  <w:r>
                    <w:rPr>
                      <w:rFonts w:hint="eastAsia"/>
                      <w:lang w:eastAsia="zh-CN"/>
                    </w:rPr>
                    <w:t>：</w:t>
                  </w:r>
                  <w:r>
                    <w:t>1</w:t>
                  </w:r>
                  <w:r>
                    <w:rPr>
                      <w:rFonts w:hint="eastAsia"/>
                      <w:lang w:eastAsia="zh-CN"/>
                    </w:rPr>
                    <w:t>、</w:t>
                  </w:r>
                  <w:r>
                    <w:t>除单台出力大于等于20蒸吨/小时锅炉以外燃用的煤炭及其制品</w:t>
                  </w:r>
                  <w:r>
                    <w:rPr>
                      <w:rFonts w:hint="eastAsia"/>
                      <w:lang w:eastAsia="zh-CN"/>
                    </w:rPr>
                    <w:t>。</w:t>
                  </w:r>
                  <w:r>
                    <w:t>2</w:t>
                  </w:r>
                  <w:r>
                    <w:rPr>
                      <w:rFonts w:hint="eastAsia"/>
                      <w:lang w:eastAsia="zh-CN"/>
                    </w:rPr>
                    <w:t>、</w:t>
                  </w:r>
                  <w:r>
                    <w:t>石油焦</w:t>
                  </w:r>
                  <w:r>
                    <w:rPr>
                      <w:rFonts w:hint="eastAsia"/>
                      <w:lang w:eastAsia="zh-CN"/>
                    </w:rPr>
                    <w:t>、</w:t>
                  </w:r>
                  <w:r>
                    <w:t>油页岩</w:t>
                  </w:r>
                  <w:r>
                    <w:rPr>
                      <w:rFonts w:hint="eastAsia"/>
                      <w:lang w:eastAsia="zh-CN"/>
                    </w:rPr>
                    <w:t>、</w:t>
                  </w:r>
                  <w:r>
                    <w:t>原油</w:t>
                  </w:r>
                  <w:r>
                    <w:rPr>
                      <w:rFonts w:hint="eastAsia"/>
                      <w:lang w:eastAsia="zh-CN"/>
                    </w:rPr>
                    <w:t>、</w:t>
                  </w:r>
                  <w:r>
                    <w:t>重油</w:t>
                  </w:r>
                  <w:r>
                    <w:rPr>
                      <w:rFonts w:hint="eastAsia"/>
                      <w:lang w:eastAsia="zh-CN"/>
                    </w:rPr>
                    <w:t>、</w:t>
                  </w:r>
                  <w:r>
                    <w:t>渣油</w:t>
                  </w:r>
                  <w:r>
                    <w:rPr>
                      <w:rFonts w:hint="eastAsia"/>
                      <w:lang w:eastAsia="zh-CN"/>
                    </w:rPr>
                    <w:t>、</w:t>
                  </w:r>
                  <w:r>
                    <w:t>煤焦油</w:t>
                  </w:r>
                  <w:r>
                    <w:rPr>
                      <w:rFonts w:hint="eastAsia"/>
                      <w:lang w:eastAsia="zh-CN"/>
                    </w:rPr>
                    <w:t>。</w:t>
                  </w:r>
                </w:p>
                <w:p w14:paraId="0267D9D4">
                  <w:pPr>
                    <w:pStyle w:val="1111"/>
                    <w:bidi w:val="0"/>
                    <w:rPr>
                      <w:rFonts w:hint="eastAsia" w:eastAsia="宋体"/>
                      <w:lang w:eastAsia="zh-CN"/>
                    </w:rPr>
                  </w:pPr>
                  <w:r>
                    <w:t>3</w:t>
                  </w:r>
                  <w:r>
                    <w:rPr>
                      <w:rFonts w:hint="eastAsia"/>
                      <w:lang w:eastAsia="zh-CN"/>
                    </w:rPr>
                    <w:t>、</w:t>
                  </w:r>
                  <w:r>
                    <w:t>根据《连云港市基于空间控制单元的环境准入制度及负面清单管理办法</w:t>
                  </w:r>
                  <w:r>
                    <w:rPr>
                      <w:rFonts w:hint="eastAsia"/>
                      <w:lang w:eastAsia="zh-CN"/>
                    </w:rPr>
                    <w:t>（</w:t>
                  </w:r>
                  <w:r>
                    <w:t>试行</w:t>
                  </w:r>
                  <w:r>
                    <w:rPr>
                      <w:rFonts w:hint="eastAsia"/>
                      <w:lang w:eastAsia="zh-CN"/>
                    </w:rPr>
                    <w:t>）</w:t>
                  </w:r>
                  <w:r>
                    <w:t>》</w:t>
                  </w:r>
                  <w:r>
                    <w:rPr>
                      <w:rFonts w:hint="eastAsia"/>
                      <w:lang w:eastAsia="zh-CN"/>
                    </w:rPr>
                    <w:t>（</w:t>
                  </w:r>
                  <w:r>
                    <w:t>连政办发</w:t>
                  </w:r>
                  <w:r>
                    <w:rPr>
                      <w:rFonts w:hint="eastAsia"/>
                      <w:lang w:eastAsia="zh-CN"/>
                    </w:rPr>
                    <w:t>[</w:t>
                  </w:r>
                  <w:r>
                    <w:t>2018</w:t>
                  </w:r>
                  <w:r>
                    <w:rPr>
                      <w:rFonts w:hint="eastAsia"/>
                      <w:lang w:eastAsia="zh-CN"/>
                    </w:rPr>
                    <w:t>]</w:t>
                  </w:r>
                  <w:r>
                    <w:t>9号</w:t>
                  </w:r>
                  <w:r>
                    <w:rPr>
                      <w:rFonts w:hint="eastAsia"/>
                      <w:lang w:eastAsia="zh-CN"/>
                    </w:rPr>
                    <w:t>）</w:t>
                  </w:r>
                  <w:r>
                    <w:t>，新建企业生产技术和工艺</w:t>
                  </w:r>
                  <w:r>
                    <w:rPr>
                      <w:rFonts w:hint="eastAsia"/>
                      <w:lang w:eastAsia="zh-CN"/>
                    </w:rPr>
                    <w:t>、</w:t>
                  </w:r>
                  <w:r>
                    <w:t>水耗</w:t>
                  </w:r>
                  <w:r>
                    <w:rPr>
                      <w:rFonts w:hint="eastAsia"/>
                      <w:lang w:eastAsia="zh-CN"/>
                    </w:rPr>
                    <w:t>、</w:t>
                  </w:r>
                  <w:r>
                    <w:t>能耗</w:t>
                  </w:r>
                  <w:r>
                    <w:rPr>
                      <w:rFonts w:hint="eastAsia"/>
                      <w:lang w:eastAsia="zh-CN"/>
                    </w:rPr>
                    <w:t>、</w:t>
                  </w:r>
                  <w:r>
                    <w:t>物耗</w:t>
                  </w:r>
                  <w:r>
                    <w:rPr>
                      <w:rFonts w:hint="eastAsia"/>
                      <w:lang w:eastAsia="zh-CN"/>
                    </w:rPr>
                    <w:t>、</w:t>
                  </w:r>
                  <w:r>
                    <w:t>产排污情况及环境管理等方面应达到国内先进水平，扩建</w:t>
                  </w:r>
                  <w:r>
                    <w:rPr>
                      <w:rFonts w:hint="eastAsia"/>
                      <w:lang w:eastAsia="zh-CN"/>
                    </w:rPr>
                    <w:t>、</w:t>
                  </w:r>
                  <w:r>
                    <w:t>改建的工业项目清洁生产水平不得低于国家清洁生产先进水平</w:t>
                  </w:r>
                  <w:r>
                    <w:rPr>
                      <w:rFonts w:hint="eastAsia"/>
                      <w:lang w:eastAsia="zh-CN"/>
                    </w:rPr>
                    <w:t>。</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1BDB956D">
                  <w:pPr>
                    <w:pStyle w:val="1111"/>
                    <w:bidi w:val="0"/>
                  </w:pPr>
                  <w:r>
                    <w:t>项目不设置锅炉。</w:t>
                  </w:r>
                </w:p>
              </w:tc>
            </w:tr>
          </w:tbl>
          <w:p w14:paraId="13BC1C76">
            <w:pPr>
              <w:pStyle w:val="1111"/>
              <w:bidi w:val="0"/>
            </w:pPr>
            <w:r>
              <w:t>表1-</w:t>
            </w:r>
            <w:r>
              <w:rPr>
                <w:rFonts w:hint="eastAsia"/>
                <w:lang w:val="en-US" w:eastAsia="zh-CN"/>
              </w:rPr>
              <w:t xml:space="preserve">8  </w:t>
            </w:r>
            <w:r>
              <w:t>重点管控单元生态环境准入清单相符性分析</w:t>
            </w:r>
          </w:p>
          <w:tbl>
            <w:tblPr>
              <w:tblStyle w:val="7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785"/>
              <w:gridCol w:w="666"/>
              <w:gridCol w:w="2272"/>
              <w:gridCol w:w="1118"/>
              <w:gridCol w:w="1396"/>
              <w:gridCol w:w="818"/>
            </w:tblGrid>
            <w:tr w14:paraId="270754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56" w:type="pct"/>
                  <w:vMerge w:val="restart"/>
                  <w:tcBorders>
                    <w:top w:val="single" w:color="auto" w:sz="4" w:space="0"/>
                    <w:left w:val="single" w:color="auto" w:sz="4" w:space="0"/>
                    <w:bottom w:val="single" w:color="auto" w:sz="4" w:space="0"/>
                    <w:right w:val="single" w:color="auto" w:sz="4" w:space="0"/>
                  </w:tcBorders>
                  <w:noWrap w:val="0"/>
                  <w:vAlign w:val="center"/>
                </w:tcPr>
                <w:p w14:paraId="0E6B5A6A">
                  <w:pPr>
                    <w:pStyle w:val="1111"/>
                    <w:bidi w:val="0"/>
                  </w:pPr>
                  <w:r>
                    <w:t>环境管控单元名称</w:t>
                  </w:r>
                </w:p>
              </w:tc>
              <w:tc>
                <w:tcPr>
                  <w:tcW w:w="471" w:type="pct"/>
                  <w:vMerge w:val="restart"/>
                  <w:tcBorders>
                    <w:top w:val="single" w:color="auto" w:sz="4" w:space="0"/>
                    <w:left w:val="single" w:color="auto" w:sz="4" w:space="0"/>
                    <w:bottom w:val="single" w:color="auto" w:sz="4" w:space="0"/>
                    <w:right w:val="single" w:color="auto" w:sz="4" w:space="0"/>
                  </w:tcBorders>
                  <w:noWrap w:val="0"/>
                  <w:vAlign w:val="center"/>
                </w:tcPr>
                <w:p w14:paraId="543C697F">
                  <w:pPr>
                    <w:pStyle w:val="1111"/>
                    <w:bidi w:val="0"/>
                  </w:pPr>
                  <w:r>
                    <w:t>类型</w:t>
                  </w:r>
                </w:p>
              </w:tc>
              <w:tc>
                <w:tcPr>
                  <w:tcW w:w="3971" w:type="pct"/>
                  <w:gridSpan w:val="4"/>
                  <w:tcBorders>
                    <w:top w:val="single" w:color="auto" w:sz="4" w:space="0"/>
                    <w:left w:val="single" w:color="auto" w:sz="4" w:space="0"/>
                    <w:bottom w:val="single" w:color="auto" w:sz="4" w:space="0"/>
                    <w:right w:val="single" w:color="auto" w:sz="4" w:space="0"/>
                  </w:tcBorders>
                  <w:noWrap w:val="0"/>
                  <w:vAlign w:val="center"/>
                </w:tcPr>
                <w:p w14:paraId="034570A8">
                  <w:pPr>
                    <w:pStyle w:val="1111"/>
                    <w:bidi w:val="0"/>
                  </w:pPr>
                  <w:r>
                    <w:t>生态环境准入清单</w:t>
                  </w:r>
                </w:p>
              </w:tc>
            </w:tr>
            <w:tr w14:paraId="294222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56" w:type="pct"/>
                  <w:vMerge w:val="continue"/>
                  <w:tcBorders>
                    <w:top w:val="single" w:color="auto" w:sz="4" w:space="0"/>
                    <w:left w:val="single" w:color="auto" w:sz="4" w:space="0"/>
                    <w:bottom w:val="single" w:color="auto" w:sz="4" w:space="0"/>
                    <w:right w:val="single" w:color="auto" w:sz="4" w:space="0"/>
                  </w:tcBorders>
                  <w:noWrap w:val="0"/>
                  <w:vAlign w:val="center"/>
                </w:tcPr>
                <w:p w14:paraId="0C67DEAE">
                  <w:pPr>
                    <w:pStyle w:val="1111"/>
                    <w:bidi w:val="0"/>
                  </w:pPr>
                </w:p>
              </w:tc>
              <w:tc>
                <w:tcPr>
                  <w:tcW w:w="471" w:type="pct"/>
                  <w:vMerge w:val="continue"/>
                  <w:tcBorders>
                    <w:top w:val="single" w:color="auto" w:sz="4" w:space="0"/>
                    <w:left w:val="single" w:color="auto" w:sz="4" w:space="0"/>
                    <w:bottom w:val="single" w:color="auto" w:sz="4" w:space="0"/>
                    <w:right w:val="single" w:color="auto" w:sz="4" w:space="0"/>
                  </w:tcBorders>
                  <w:noWrap w:val="0"/>
                  <w:vAlign w:val="center"/>
                </w:tcPr>
                <w:p w14:paraId="60AB9FFE">
                  <w:pPr>
                    <w:pStyle w:val="1111"/>
                    <w:bidi w:val="0"/>
                  </w:pPr>
                </w:p>
              </w:tc>
              <w:tc>
                <w:tcPr>
                  <w:tcW w:w="1610" w:type="pct"/>
                  <w:tcBorders>
                    <w:top w:val="single" w:color="auto" w:sz="4" w:space="0"/>
                    <w:left w:val="single" w:color="auto" w:sz="4" w:space="0"/>
                    <w:bottom w:val="single" w:color="auto" w:sz="4" w:space="0"/>
                    <w:right w:val="single" w:color="auto" w:sz="4" w:space="0"/>
                  </w:tcBorders>
                  <w:noWrap w:val="0"/>
                  <w:vAlign w:val="center"/>
                </w:tcPr>
                <w:p w14:paraId="602C9617">
                  <w:pPr>
                    <w:pStyle w:val="1111"/>
                    <w:bidi w:val="0"/>
                  </w:pPr>
                  <w:r>
                    <w:t>空间布局约束</w:t>
                  </w:r>
                </w:p>
              </w:tc>
              <w:tc>
                <w:tcPr>
                  <w:tcW w:w="792" w:type="pct"/>
                  <w:tcBorders>
                    <w:top w:val="single" w:color="auto" w:sz="4" w:space="0"/>
                    <w:left w:val="single" w:color="auto" w:sz="4" w:space="0"/>
                    <w:bottom w:val="single" w:color="auto" w:sz="4" w:space="0"/>
                    <w:right w:val="single" w:color="auto" w:sz="4" w:space="0"/>
                  </w:tcBorders>
                  <w:noWrap w:val="0"/>
                  <w:vAlign w:val="center"/>
                </w:tcPr>
                <w:p w14:paraId="7C5A9E8B">
                  <w:pPr>
                    <w:pStyle w:val="1111"/>
                    <w:bidi w:val="0"/>
                  </w:pPr>
                  <w:r>
                    <w:t>污染物排放管控</w:t>
                  </w:r>
                </w:p>
              </w:tc>
              <w:tc>
                <w:tcPr>
                  <w:tcW w:w="989" w:type="pct"/>
                  <w:tcBorders>
                    <w:top w:val="single" w:color="auto" w:sz="4" w:space="0"/>
                    <w:left w:val="single" w:color="auto" w:sz="4" w:space="0"/>
                    <w:bottom w:val="single" w:color="auto" w:sz="4" w:space="0"/>
                    <w:right w:val="single" w:color="auto" w:sz="4" w:space="0"/>
                  </w:tcBorders>
                  <w:noWrap w:val="0"/>
                  <w:vAlign w:val="center"/>
                </w:tcPr>
                <w:p w14:paraId="548D0D8B">
                  <w:pPr>
                    <w:pStyle w:val="1111"/>
                    <w:bidi w:val="0"/>
                  </w:pPr>
                  <w:r>
                    <w:t>环境风险防控</w:t>
                  </w:r>
                </w:p>
              </w:tc>
              <w:tc>
                <w:tcPr>
                  <w:tcW w:w="578" w:type="pct"/>
                  <w:tcBorders>
                    <w:top w:val="single" w:color="auto" w:sz="4" w:space="0"/>
                    <w:left w:val="single" w:color="auto" w:sz="4" w:space="0"/>
                    <w:bottom w:val="single" w:color="auto" w:sz="4" w:space="0"/>
                    <w:right w:val="single" w:color="auto" w:sz="4" w:space="0"/>
                  </w:tcBorders>
                  <w:noWrap w:val="0"/>
                  <w:vAlign w:val="center"/>
                </w:tcPr>
                <w:p w14:paraId="650A83FF">
                  <w:pPr>
                    <w:pStyle w:val="1111"/>
                    <w:bidi w:val="0"/>
                  </w:pPr>
                  <w:r>
                    <w:t>资源利用效率要求</w:t>
                  </w:r>
                </w:p>
              </w:tc>
            </w:tr>
            <w:tr w14:paraId="078D16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56" w:type="pct"/>
                  <w:tcBorders>
                    <w:top w:val="single" w:color="auto" w:sz="4" w:space="0"/>
                    <w:left w:val="single" w:color="auto" w:sz="4" w:space="0"/>
                    <w:bottom w:val="single" w:color="auto" w:sz="4" w:space="0"/>
                    <w:right w:val="single" w:color="auto" w:sz="4" w:space="0"/>
                  </w:tcBorders>
                  <w:noWrap w:val="0"/>
                  <w:vAlign w:val="center"/>
                </w:tcPr>
                <w:p w14:paraId="2DE4C183">
                  <w:pPr>
                    <w:pStyle w:val="1111"/>
                    <w:bidi w:val="0"/>
                  </w:pPr>
                  <w:r>
                    <w:t>连云港经济技术开发区</w:t>
                  </w:r>
                </w:p>
              </w:tc>
              <w:tc>
                <w:tcPr>
                  <w:tcW w:w="471" w:type="pct"/>
                  <w:tcBorders>
                    <w:top w:val="single" w:color="auto" w:sz="4" w:space="0"/>
                    <w:left w:val="single" w:color="auto" w:sz="4" w:space="0"/>
                    <w:bottom w:val="single" w:color="auto" w:sz="4" w:space="0"/>
                    <w:right w:val="single" w:color="auto" w:sz="4" w:space="0"/>
                  </w:tcBorders>
                  <w:noWrap w:val="0"/>
                  <w:vAlign w:val="center"/>
                </w:tcPr>
                <w:p w14:paraId="4717F13B">
                  <w:pPr>
                    <w:pStyle w:val="1111"/>
                    <w:bidi w:val="0"/>
                  </w:pPr>
                  <w:r>
                    <w:t>园区</w:t>
                  </w:r>
                </w:p>
              </w:tc>
              <w:tc>
                <w:tcPr>
                  <w:tcW w:w="1610" w:type="pct"/>
                  <w:tcBorders>
                    <w:top w:val="single" w:color="auto" w:sz="4" w:space="0"/>
                    <w:left w:val="single" w:color="auto" w:sz="4" w:space="0"/>
                    <w:bottom w:val="single" w:color="auto" w:sz="4" w:space="0"/>
                    <w:right w:val="single" w:color="auto" w:sz="4" w:space="0"/>
                  </w:tcBorders>
                  <w:noWrap w:val="0"/>
                  <w:vAlign w:val="center"/>
                </w:tcPr>
                <w:p w14:paraId="0B9740AA">
                  <w:pPr>
                    <w:pStyle w:val="1111"/>
                    <w:bidi w:val="0"/>
                  </w:pPr>
                  <w:r>
                    <w:t>（1）禁止类化工项目严禁进入园区，除重大产业链发展需要外原则上不得新建限制类化工项目。</w:t>
                  </w:r>
                </w:p>
                <w:p w14:paraId="52E9493E">
                  <w:pPr>
                    <w:pStyle w:val="1111"/>
                    <w:bidi w:val="0"/>
                  </w:pPr>
                  <w:r>
                    <w:t>（2）严格限制使用和排放有毒气体、恶臭物质类项目，禁止新建生产《危险化学品名录》所列剧毒化学品、恶臭物质、“POPs”清单物质等严重影响人身健康和环境质量的项目，禁止建设“三废”（尤其是废盐）产生量大且无法安全处置或合理利用的生产工艺与装置。（3）新、改、扩建排放化学需氧量、氨氮、总磷、总氮等主要水污染物的建设项目，水污染指标按2倍削减量替代；新、改、扩建排放二氧化硫、氮氧化物、工业烟粉尘、挥发性有机物的建设项目及通过排污权交易形式获得的排污指标，实行现役源2倍削减替代；火电机组“可替代总量指标”原则上不得用于其他行业建设项目；涉及丙烯、甲苯、苯、对二甲苯、间二甲苯、乙苯、正庚烷、正己烷、邻二甲苯、苯乙烯、1</w:t>
                  </w:r>
                  <w:r>
                    <w:rPr>
                      <w:rFonts w:hint="eastAsia"/>
                      <w:lang w:eastAsia="zh-CN"/>
                    </w:rPr>
                    <w:t>，</w:t>
                  </w:r>
                  <w:r>
                    <w:t>2</w:t>
                  </w:r>
                  <w:r>
                    <w:rPr>
                      <w:rFonts w:hint="eastAsia"/>
                      <w:lang w:eastAsia="zh-CN"/>
                    </w:rPr>
                    <w:t>，</w:t>
                  </w:r>
                  <w:r>
                    <w:t>4-三甲苯、环己烷、4-乙基甲苯、1</w:t>
                  </w:r>
                  <w:r>
                    <w:rPr>
                      <w:rFonts w:hint="eastAsia"/>
                      <w:lang w:eastAsia="zh-CN"/>
                    </w:rPr>
                    <w:t>，</w:t>
                  </w:r>
                  <w:r>
                    <w:t>3</w:t>
                  </w:r>
                  <w:r>
                    <w:rPr>
                      <w:rFonts w:hint="eastAsia"/>
                      <w:lang w:eastAsia="zh-CN"/>
                    </w:rPr>
                    <w:t>，</w:t>
                  </w:r>
                  <w:r>
                    <w:t>5三甲苯等14种主要臭氧前驱物的新建项目，实行主要臭氧前驱物2倍削减替代。</w:t>
                  </w:r>
                </w:p>
              </w:tc>
              <w:tc>
                <w:tcPr>
                  <w:tcW w:w="792" w:type="pct"/>
                  <w:tcBorders>
                    <w:top w:val="single" w:color="auto" w:sz="4" w:space="0"/>
                    <w:left w:val="single" w:color="auto" w:sz="4" w:space="0"/>
                    <w:bottom w:val="single" w:color="auto" w:sz="4" w:space="0"/>
                    <w:right w:val="single" w:color="auto" w:sz="4" w:space="0"/>
                  </w:tcBorders>
                  <w:noWrap w:val="0"/>
                  <w:vAlign w:val="center"/>
                </w:tcPr>
                <w:p w14:paraId="6BB7858F">
                  <w:pPr>
                    <w:pStyle w:val="1111"/>
                    <w:bidi w:val="0"/>
                  </w:pPr>
                  <w:r>
                    <w:t>（1）废气污染物排放量：粉尘（烟尘）100吨/年，二氧化硫700吨/年，氮氧化物700吨/年，VOCs（含甲苯、二甲苯）</w:t>
                  </w:r>
                </w:p>
                <w:p w14:paraId="730CA5DD">
                  <w:pPr>
                    <w:pStyle w:val="1111"/>
                    <w:bidi w:val="0"/>
                  </w:pPr>
                  <w:r>
                    <w:t>200吨/年。（2）废水污染物排放量：废水量500万吨/年、COD2500吨/年，SS1500吨/年，氨氮175吨/年，总氮250吨/年，总磷40吨/年。</w:t>
                  </w:r>
                </w:p>
              </w:tc>
              <w:tc>
                <w:tcPr>
                  <w:tcW w:w="989" w:type="pct"/>
                  <w:tcBorders>
                    <w:top w:val="single" w:color="auto" w:sz="4" w:space="0"/>
                    <w:left w:val="single" w:color="auto" w:sz="4" w:space="0"/>
                    <w:bottom w:val="single" w:color="auto" w:sz="4" w:space="0"/>
                    <w:right w:val="single" w:color="auto" w:sz="4" w:space="0"/>
                  </w:tcBorders>
                  <w:noWrap w:val="0"/>
                  <w:vAlign w:val="center"/>
                </w:tcPr>
                <w:p w14:paraId="75DC13F7">
                  <w:pPr>
                    <w:pStyle w:val="1111"/>
                    <w:bidi w:val="0"/>
                  </w:pPr>
                  <w:r>
                    <w:t>园区应建立环境风险防控体系。（1）切实加强集中区环境安全管理工作，在园区基础设施建设中及企业生产项目运营管理中均应制</w:t>
                  </w:r>
                </w:p>
                <w:p w14:paraId="68B55A41">
                  <w:pPr>
                    <w:pStyle w:val="1111"/>
                    <w:bidi w:val="0"/>
                  </w:pPr>
                  <w:r>
                    <w:t>定并落实各类风险防范措施和应急预案。（2）定期演练，防止和减轻事故危害。（3）污水处理厂及排放工业废水的企业均有设置足</w:t>
                  </w:r>
                </w:p>
                <w:p w14:paraId="2C21953C">
                  <w:pPr>
                    <w:pStyle w:val="1111"/>
                    <w:bidi w:val="0"/>
                  </w:pPr>
                  <w:r>
                    <w:t>够容量的事故污水池，严禁污水超标排放。</w:t>
                  </w:r>
                </w:p>
              </w:tc>
              <w:tc>
                <w:tcPr>
                  <w:tcW w:w="578" w:type="pct"/>
                  <w:tcBorders>
                    <w:top w:val="single" w:color="auto" w:sz="4" w:space="0"/>
                    <w:left w:val="single" w:color="auto" w:sz="4" w:space="0"/>
                    <w:bottom w:val="single" w:color="auto" w:sz="4" w:space="0"/>
                    <w:right w:val="single" w:color="auto" w:sz="4" w:space="0"/>
                  </w:tcBorders>
                  <w:noWrap w:val="0"/>
                  <w:vAlign w:val="center"/>
                </w:tcPr>
                <w:p w14:paraId="189FCB66">
                  <w:pPr>
                    <w:pStyle w:val="1111"/>
                    <w:bidi w:val="0"/>
                  </w:pPr>
                  <w:r>
                    <w:t>/</w:t>
                  </w:r>
                </w:p>
              </w:tc>
            </w:tr>
            <w:tr w14:paraId="1F0739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028" w:type="pct"/>
                  <w:gridSpan w:val="2"/>
                  <w:tcBorders>
                    <w:top w:val="single" w:color="auto" w:sz="4" w:space="0"/>
                    <w:left w:val="single" w:color="auto" w:sz="4" w:space="0"/>
                    <w:bottom w:val="single" w:color="auto" w:sz="4" w:space="0"/>
                    <w:right w:val="single" w:color="auto" w:sz="4" w:space="0"/>
                  </w:tcBorders>
                  <w:noWrap w:val="0"/>
                  <w:vAlign w:val="center"/>
                </w:tcPr>
                <w:p w14:paraId="2C91CFF2">
                  <w:pPr>
                    <w:pStyle w:val="1111"/>
                    <w:bidi w:val="0"/>
                  </w:pPr>
                  <w:r>
                    <w:t>相符性分析</w:t>
                  </w:r>
                </w:p>
              </w:tc>
              <w:tc>
                <w:tcPr>
                  <w:tcW w:w="3971" w:type="pct"/>
                  <w:gridSpan w:val="4"/>
                  <w:tcBorders>
                    <w:top w:val="single" w:color="auto" w:sz="4" w:space="0"/>
                    <w:left w:val="single" w:color="auto" w:sz="4" w:space="0"/>
                    <w:bottom w:val="single" w:color="auto" w:sz="4" w:space="0"/>
                    <w:right w:val="single" w:color="auto" w:sz="4" w:space="0"/>
                  </w:tcBorders>
                  <w:noWrap w:val="0"/>
                  <w:vAlign w:val="center"/>
                </w:tcPr>
                <w:p w14:paraId="2B8EA419">
                  <w:pPr>
                    <w:pStyle w:val="1111"/>
                    <w:bidi w:val="0"/>
                    <w:rPr>
                      <w:rFonts w:hint="eastAsia" w:eastAsia="宋体"/>
                      <w:lang w:eastAsia="zh-CN"/>
                    </w:rPr>
                  </w:pPr>
                  <w:r>
                    <w:t>本项目为</w:t>
                  </w:r>
                  <w:r>
                    <w:rPr>
                      <w:rFonts w:ascii="Times New Roman"/>
                      <w:color w:val="000000"/>
                    </w:rPr>
                    <w:t>危险废物（不含医疗废物）利用及处置</w:t>
                  </w:r>
                  <w:r>
                    <w:rPr>
                      <w:rFonts w:ascii="Times New Roman"/>
                      <w:color w:val="000000"/>
                      <w:szCs w:val="21"/>
                    </w:rPr>
                    <w:t>行业</w:t>
                  </w:r>
                  <w:r>
                    <w:rPr>
                      <w:rFonts w:ascii="Times New Roman"/>
                      <w:color w:val="000000"/>
                    </w:rPr>
                    <w:t>，</w:t>
                  </w:r>
                  <w:r>
                    <w:rPr>
                      <w:rFonts w:hint="eastAsia"/>
                      <w:lang w:val="en-US" w:eastAsia="zh-CN"/>
                    </w:rPr>
                    <w:t>储存中华药港园区内企业和连云港市小微企业以及</w:t>
                  </w:r>
                  <w:r>
                    <w:rPr>
                      <w:color w:val="000000"/>
                      <w:kern w:val="0"/>
                      <w:sz w:val="24"/>
                    </w:rPr>
                    <w:t>科研院所、高等学校、各类检测机构、机动车维修机构、加油站等</w:t>
                  </w:r>
                  <w:r>
                    <w:rPr>
                      <w:rFonts w:hint="eastAsia"/>
                      <w:lang w:val="en-US" w:eastAsia="zh-CN"/>
                    </w:rPr>
                    <w:t>产生的危险废物。</w:t>
                  </w:r>
                  <w:r>
                    <w:t>项目不使用原料，项目污染物排放量满足园区总量要求</w:t>
                  </w:r>
                  <w:r>
                    <w:rPr>
                      <w:rFonts w:hint="eastAsia"/>
                      <w:lang w:eastAsia="zh-CN"/>
                    </w:rPr>
                    <w:t>。</w:t>
                  </w:r>
                </w:p>
              </w:tc>
            </w:tr>
          </w:tbl>
          <w:p w14:paraId="130C9031">
            <w:pPr>
              <w:pStyle w:val="512"/>
              <w:numPr>
                <w:ilvl w:val="0"/>
                <w:numId w:val="0"/>
              </w:numPr>
              <w:ind w:firstLine="480" w:firstLineChars="200"/>
              <w:rPr>
                <w:rFonts w:hint="eastAsia"/>
                <w:lang w:eastAsia="zh-CN"/>
              </w:rPr>
            </w:pPr>
            <w:r>
              <w:rPr>
                <w:rFonts w:hint="eastAsia" w:ascii="Times New Roman" w:hAnsi="Times New Roman" w:eastAsia="宋体" w:cs="Times New Roman"/>
                <w:spacing w:val="0"/>
                <w:kern w:val="0"/>
                <w:sz w:val="24"/>
                <w:szCs w:val="20"/>
                <w:lang w:val="en-US" w:eastAsia="zh-CN" w:bidi="ar-SA"/>
              </w:rPr>
              <w:t>（5）</w:t>
            </w:r>
            <w:r>
              <w:rPr>
                <w:rFonts w:hint="eastAsia"/>
                <w:lang w:eastAsia="zh-CN"/>
              </w:rPr>
              <w:t>与《江苏省</w:t>
            </w:r>
            <w:r>
              <w:rPr>
                <w:rFonts w:hint="eastAsia"/>
                <w:lang w:val="en-US" w:eastAsia="zh-CN"/>
              </w:rPr>
              <w:t>2023年度生态环境分区管控动态更新成果</w:t>
            </w:r>
            <w:r>
              <w:rPr>
                <w:rFonts w:hint="eastAsia"/>
                <w:lang w:eastAsia="zh-CN"/>
              </w:rPr>
              <w:t>》相符性分析</w:t>
            </w:r>
          </w:p>
          <w:p w14:paraId="37E28945">
            <w:pPr>
              <w:pStyle w:val="512"/>
              <w:bidi w:val="0"/>
              <w:rPr>
                <w:rFonts w:hint="eastAsia"/>
                <w:lang w:val="en-US" w:eastAsia="zh-CN"/>
              </w:rPr>
            </w:pPr>
            <w:r>
              <w:rPr>
                <w:rFonts w:hint="eastAsia"/>
                <w:lang w:val="en-US" w:eastAsia="zh-CN"/>
              </w:rPr>
              <w:t>根据“江苏省生态环境分区管控综合服务”查询，本项目位于临港产业区西北片区，生态环境准入清单如表1-9所示。</w:t>
            </w:r>
          </w:p>
          <w:p w14:paraId="1F585BB4">
            <w:pPr>
              <w:pStyle w:val="1111"/>
              <w:bidi w:val="0"/>
            </w:pPr>
            <w:r>
              <w:t>表1-</w:t>
            </w:r>
            <w:r>
              <w:rPr>
                <w:rFonts w:hint="eastAsia"/>
                <w:lang w:val="en-US" w:eastAsia="zh-CN"/>
              </w:rPr>
              <w:t xml:space="preserve">9  </w:t>
            </w:r>
            <w:r>
              <w:rPr>
                <w:rFonts w:hint="eastAsia"/>
                <w:lang w:eastAsia="zh-CN"/>
              </w:rPr>
              <w:t>生态环境准入清单</w:t>
            </w:r>
            <w:r>
              <w:t>相符性分析</w:t>
            </w:r>
          </w:p>
          <w:tbl>
            <w:tblPr>
              <w:tblStyle w:val="78"/>
              <w:tblW w:w="704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8"/>
              <w:gridCol w:w="2865"/>
              <w:gridCol w:w="2565"/>
              <w:gridCol w:w="766"/>
            </w:tblGrid>
            <w:tr w14:paraId="2EE47E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8" w:type="dxa"/>
                  <w:shd w:val="clear" w:color="auto" w:fill="auto"/>
                  <w:vAlign w:val="center"/>
                </w:tcPr>
                <w:p w14:paraId="3D5FED9D">
                  <w:pPr>
                    <w:pStyle w:val="1111"/>
                    <w:bidi w:val="0"/>
                    <w:jc w:val="center"/>
                    <w:rPr>
                      <w:rFonts w:hint="eastAsia" w:ascii="Times New Roman" w:hAnsi="Times New Roman" w:eastAsia="宋体" w:cs="Times New Roman"/>
                      <w:kern w:val="0"/>
                      <w:sz w:val="21"/>
                      <w:szCs w:val="20"/>
                      <w:lang w:val="en-US" w:eastAsia="zh-CN" w:bidi="ar-SA"/>
                    </w:rPr>
                  </w:pPr>
                  <w:r>
                    <w:rPr>
                      <w:rFonts w:hint="eastAsia"/>
                      <w:lang w:eastAsia="zh-CN"/>
                    </w:rPr>
                    <w:t>类别</w:t>
                  </w:r>
                </w:p>
              </w:tc>
              <w:tc>
                <w:tcPr>
                  <w:tcW w:w="2865" w:type="dxa"/>
                  <w:shd w:val="clear" w:color="auto" w:fill="auto"/>
                  <w:vAlign w:val="center"/>
                </w:tcPr>
                <w:p w14:paraId="14E93871">
                  <w:pPr>
                    <w:pStyle w:val="1111"/>
                    <w:bidi w:val="0"/>
                    <w:jc w:val="center"/>
                    <w:rPr>
                      <w:rFonts w:hint="eastAsia" w:ascii="Times New Roman" w:hAnsi="Times New Roman" w:eastAsia="宋体" w:cs="Times New Roman"/>
                      <w:kern w:val="0"/>
                      <w:sz w:val="21"/>
                      <w:szCs w:val="20"/>
                      <w:lang w:val="en-US" w:eastAsia="zh-CN" w:bidi="ar-SA"/>
                    </w:rPr>
                  </w:pPr>
                  <w:r>
                    <w:t>相关要求</w:t>
                  </w:r>
                </w:p>
              </w:tc>
              <w:tc>
                <w:tcPr>
                  <w:tcW w:w="2565" w:type="dxa"/>
                  <w:shd w:val="clear" w:color="auto" w:fill="auto"/>
                  <w:vAlign w:val="center"/>
                </w:tcPr>
                <w:p w14:paraId="25B2E9D1">
                  <w:pPr>
                    <w:pStyle w:val="1111"/>
                    <w:jc w:val="center"/>
                    <w:rPr>
                      <w:rFonts w:hint="eastAsia" w:ascii="Times New Roman" w:hAnsi="Times New Roman" w:eastAsia="宋体" w:cs="Times New Roman"/>
                      <w:kern w:val="0"/>
                      <w:sz w:val="21"/>
                      <w:szCs w:val="20"/>
                      <w:lang w:val="en-US" w:eastAsia="zh-CN" w:bidi="ar-SA"/>
                    </w:rPr>
                  </w:pPr>
                  <w:r>
                    <w:t>本项目情况</w:t>
                  </w:r>
                </w:p>
              </w:tc>
              <w:tc>
                <w:tcPr>
                  <w:tcW w:w="766" w:type="dxa"/>
                  <w:shd w:val="clear" w:color="auto" w:fill="auto"/>
                  <w:vAlign w:val="center"/>
                </w:tcPr>
                <w:p w14:paraId="41DA368B">
                  <w:pPr>
                    <w:pStyle w:val="1111"/>
                    <w:jc w:val="center"/>
                    <w:rPr>
                      <w:rFonts w:hint="eastAsia" w:ascii="Times New Roman" w:hAnsi="Times New Roman" w:eastAsia="宋体" w:cs="Times New Roman"/>
                      <w:kern w:val="0"/>
                      <w:sz w:val="21"/>
                      <w:szCs w:val="20"/>
                      <w:lang w:val="en-US" w:eastAsia="zh-CN" w:bidi="ar-SA"/>
                    </w:rPr>
                  </w:pPr>
                  <w:r>
                    <w:t>相符性</w:t>
                  </w:r>
                </w:p>
              </w:tc>
            </w:tr>
            <w:tr w14:paraId="7FA7CE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8" w:type="dxa"/>
                  <w:shd w:val="clear" w:color="auto" w:fill="auto"/>
                  <w:vAlign w:val="center"/>
                </w:tcPr>
                <w:p w14:paraId="2FBE7AB0">
                  <w:pPr>
                    <w:pStyle w:val="1111"/>
                    <w:bidi w:val="0"/>
                    <w:rPr>
                      <w:rFonts w:hint="eastAsia"/>
                      <w:lang w:val="en-US" w:eastAsia="zh-CN"/>
                    </w:rPr>
                  </w:pPr>
                  <w:r>
                    <w:t>空间布局约束</w:t>
                  </w:r>
                </w:p>
              </w:tc>
              <w:tc>
                <w:tcPr>
                  <w:tcW w:w="2865" w:type="dxa"/>
                  <w:shd w:val="clear" w:color="auto" w:fill="auto"/>
                  <w:vAlign w:val="center"/>
                </w:tcPr>
                <w:p w14:paraId="3FC799B7">
                  <w:pPr>
                    <w:pStyle w:val="1111"/>
                    <w:bidi w:val="0"/>
                    <w:rPr>
                      <w:rFonts w:hint="eastAsia"/>
                      <w:lang w:val="en-US" w:eastAsia="zh-CN"/>
                    </w:rPr>
                  </w:pPr>
                  <w:r>
                    <w:t>主导产业为：新医药、新材料、新能源、高端装备制造；推动新材料产业发展，促进新能源材料技术攻关与规模化应用，打造生物医药先进制造业集群、绿色低碳制造集群，实现高端装备产品的绿色化、智能化、高端化。园区禁止引进高污染三类工业项目及排放含汞、砷、镉、铬、铅等重金属污染物项目；限制使用和排放有毒气体、恶臭物质类项目、使用高毒、高VOCs含量物质为主要生产原料，又无可靠有效的污染控制措施的项目、列入环境保护综合名录的高污染、高环境风险产品的生产。</w:t>
                  </w:r>
                </w:p>
              </w:tc>
              <w:tc>
                <w:tcPr>
                  <w:tcW w:w="2565" w:type="dxa"/>
                  <w:shd w:val="clear" w:color="auto" w:fill="auto"/>
                  <w:vAlign w:val="center"/>
                </w:tcPr>
                <w:p w14:paraId="39D6D4C3">
                  <w:pPr>
                    <w:pStyle w:val="1111"/>
                    <w:jc w:val="center"/>
                    <w:rPr>
                      <w:rFonts w:hint="eastAsia" w:ascii="Times New Roman" w:hAnsi="Times New Roman" w:eastAsia="宋体" w:cs="Times New Roman"/>
                      <w:kern w:val="0"/>
                      <w:sz w:val="21"/>
                      <w:szCs w:val="20"/>
                      <w:vertAlign w:val="baseline"/>
                      <w:lang w:val="en-US" w:eastAsia="zh-CN" w:bidi="ar-SA"/>
                    </w:rPr>
                  </w:pPr>
                  <w:r>
                    <w:t>本项目为</w:t>
                  </w:r>
                  <w:r>
                    <w:rPr>
                      <w:color w:val="000000"/>
                      <w:sz w:val="21"/>
                      <w:szCs w:val="21"/>
                    </w:rPr>
                    <w:t>危险废物（不含医疗废物）</w:t>
                  </w:r>
                  <w:r>
                    <w:rPr>
                      <w:rFonts w:hint="eastAsia"/>
                      <w:color w:val="000000"/>
                      <w:sz w:val="21"/>
                      <w:szCs w:val="21"/>
                    </w:rPr>
                    <w:t>收集贮存委托处置项目</w:t>
                  </w:r>
                  <w:r>
                    <w:t>，</w:t>
                  </w:r>
                  <w:r>
                    <w:rPr>
                      <w:rFonts w:hint="eastAsia"/>
                      <w:lang w:eastAsia="zh-CN"/>
                    </w:rPr>
                    <w:t>属于中华药港配套设施项目。本项目不属于</w:t>
                  </w:r>
                  <w:r>
                    <w:t>高污染三类工业项目及排放</w:t>
                  </w:r>
                  <w:r>
                    <w:rPr>
                      <w:rFonts w:hint="eastAsia"/>
                      <w:lang w:eastAsia="zh-CN"/>
                    </w:rPr>
                    <w:t>含重金属污染物项目</w:t>
                  </w:r>
                </w:p>
              </w:tc>
              <w:tc>
                <w:tcPr>
                  <w:tcW w:w="766" w:type="dxa"/>
                  <w:shd w:val="clear" w:color="auto" w:fill="auto"/>
                  <w:vAlign w:val="center"/>
                </w:tcPr>
                <w:p w14:paraId="2740AAE6">
                  <w:pPr>
                    <w:pStyle w:val="1111"/>
                    <w:jc w:val="center"/>
                    <w:rPr>
                      <w:rFonts w:hint="eastAsia" w:ascii="Times New Roman" w:hAnsi="Times New Roman" w:eastAsia="宋体" w:cs="Times New Roman"/>
                      <w:kern w:val="0"/>
                      <w:sz w:val="21"/>
                      <w:szCs w:val="20"/>
                      <w:vertAlign w:val="baseline"/>
                      <w:lang w:val="en-US" w:eastAsia="zh-CN" w:bidi="ar-SA"/>
                    </w:rPr>
                  </w:pPr>
                  <w:r>
                    <w:rPr>
                      <w:rFonts w:hint="eastAsia"/>
                      <w:vertAlign w:val="baseline"/>
                      <w:lang w:eastAsia="zh-CN"/>
                    </w:rPr>
                    <w:t>符合</w:t>
                  </w:r>
                </w:p>
              </w:tc>
            </w:tr>
            <w:tr w14:paraId="6C4014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8" w:type="dxa"/>
                  <w:shd w:val="clear" w:color="auto" w:fill="auto"/>
                  <w:vAlign w:val="center"/>
                </w:tcPr>
                <w:p w14:paraId="6281B074">
                  <w:pPr>
                    <w:pStyle w:val="1111"/>
                    <w:bidi w:val="0"/>
                    <w:rPr>
                      <w:rFonts w:hint="eastAsia"/>
                      <w:lang w:val="en-US" w:eastAsia="zh-CN"/>
                    </w:rPr>
                  </w:pPr>
                  <w:r>
                    <w:t>污染物排放管控</w:t>
                  </w:r>
                </w:p>
              </w:tc>
              <w:tc>
                <w:tcPr>
                  <w:tcW w:w="2865" w:type="dxa"/>
                  <w:shd w:val="clear" w:color="auto" w:fill="auto"/>
                  <w:vAlign w:val="center"/>
                </w:tcPr>
                <w:p w14:paraId="63D87E2E">
                  <w:pPr>
                    <w:pStyle w:val="1111"/>
                    <w:bidi w:val="0"/>
                    <w:rPr>
                      <w:rFonts w:hint="eastAsia"/>
                      <w:lang w:val="en-US" w:eastAsia="zh-CN"/>
                    </w:rPr>
                  </w:pPr>
                  <w:r>
                    <w:t>（1）废气污染物排放量：二氧化硫2.07吨/年、烟（粉）尘100.3吨/年、氮氧化物11.15吨/年、VOCs171.545吨/年。（2）废水污染物排放量：废水排放量：232.29万吨/年、COD246.636吨/年、氨氮19.883吨/年、SS90.404吨/年、总磷1.71吨/年。</w:t>
                  </w:r>
                </w:p>
              </w:tc>
              <w:tc>
                <w:tcPr>
                  <w:tcW w:w="2565" w:type="dxa"/>
                  <w:shd w:val="clear" w:color="auto" w:fill="auto"/>
                  <w:vAlign w:val="center"/>
                </w:tcPr>
                <w:p w14:paraId="2AF6D250">
                  <w:pPr>
                    <w:pStyle w:val="1111"/>
                    <w:jc w:val="center"/>
                    <w:rPr>
                      <w:rFonts w:hint="default" w:ascii="Times New Roman" w:hAnsi="Times New Roman" w:eastAsia="宋体" w:cs="Times New Roman"/>
                      <w:kern w:val="0"/>
                      <w:sz w:val="21"/>
                      <w:szCs w:val="20"/>
                      <w:vertAlign w:val="baseline"/>
                      <w:lang w:val="en-US" w:eastAsia="zh-CN" w:bidi="ar-SA"/>
                    </w:rPr>
                  </w:pPr>
                  <w:r>
                    <w:rPr>
                      <w:rFonts w:hint="eastAsia"/>
                      <w:color w:val="auto"/>
                      <w:vertAlign w:val="baseline"/>
                      <w:lang w:eastAsia="zh-CN"/>
                    </w:rPr>
                    <w:t>本项目废水污染物外排量：</w:t>
                  </w:r>
                  <w:r>
                    <w:rPr>
                      <w:rFonts w:hint="eastAsia"/>
                      <w:color w:val="auto"/>
                    </w:rPr>
                    <w:t>C</w:t>
                  </w:r>
                  <w:r>
                    <w:rPr>
                      <w:color w:val="auto"/>
                    </w:rPr>
                    <w:t>OD</w:t>
                  </w:r>
                  <w:r>
                    <w:rPr>
                      <w:rFonts w:hint="eastAsia"/>
                      <w:color w:val="auto"/>
                    </w:rPr>
                    <w:t>0.</w:t>
                  </w:r>
                  <w:r>
                    <w:rPr>
                      <w:rFonts w:hint="eastAsia"/>
                      <w:color w:val="auto"/>
                      <w:lang w:val="en-US" w:eastAsia="zh-CN"/>
                    </w:rPr>
                    <w:t>0096</w:t>
                  </w:r>
                  <w:r>
                    <w:rPr>
                      <w:color w:val="auto"/>
                    </w:rPr>
                    <w:t>t/a</w:t>
                  </w:r>
                  <w:r>
                    <w:rPr>
                      <w:rFonts w:hint="eastAsia"/>
                      <w:color w:val="auto"/>
                    </w:rPr>
                    <w:t>、</w:t>
                  </w:r>
                  <w:r>
                    <w:rPr>
                      <w:color w:val="auto"/>
                    </w:rPr>
                    <w:t>SS</w:t>
                  </w:r>
                  <w:r>
                    <w:rPr>
                      <w:rFonts w:hint="eastAsia"/>
                      <w:color w:val="auto"/>
                    </w:rPr>
                    <w:t>0.</w:t>
                  </w:r>
                  <w:r>
                    <w:rPr>
                      <w:rFonts w:hint="eastAsia"/>
                      <w:color w:val="auto"/>
                      <w:lang w:val="en-US" w:eastAsia="zh-CN"/>
                    </w:rPr>
                    <w:t>00192</w:t>
                  </w:r>
                  <w:r>
                    <w:rPr>
                      <w:color w:val="auto"/>
                    </w:rPr>
                    <w:t>t/a</w:t>
                  </w:r>
                  <w:r>
                    <w:rPr>
                      <w:rFonts w:hint="eastAsia"/>
                      <w:color w:val="auto"/>
                    </w:rPr>
                    <w:t>、</w:t>
                  </w:r>
                  <w:r>
                    <w:rPr>
                      <w:color w:val="auto"/>
                    </w:rPr>
                    <w:t>NH</w:t>
                  </w:r>
                  <w:r>
                    <w:rPr>
                      <w:color w:val="auto"/>
                      <w:vertAlign w:val="subscript"/>
                    </w:rPr>
                    <w:t>3</w:t>
                  </w:r>
                  <w:r>
                    <w:rPr>
                      <w:color w:val="auto"/>
                    </w:rPr>
                    <w:t>-N</w:t>
                  </w:r>
                  <w:r>
                    <w:rPr>
                      <w:rFonts w:hint="eastAsia"/>
                      <w:color w:val="auto"/>
                      <w:lang w:val="en-US" w:eastAsia="zh-CN"/>
                    </w:rPr>
                    <w:t>0.0009</w:t>
                  </w:r>
                  <w:r>
                    <w:rPr>
                      <w:color w:val="auto"/>
                    </w:rPr>
                    <w:t>t/a</w:t>
                  </w:r>
                  <w:r>
                    <w:rPr>
                      <w:rFonts w:hint="eastAsia"/>
                      <w:color w:val="auto"/>
                    </w:rPr>
                    <w:t>、</w:t>
                  </w:r>
                  <w:r>
                    <w:rPr>
                      <w:color w:val="auto"/>
                    </w:rPr>
                    <w:t>TN</w:t>
                  </w:r>
                  <w:r>
                    <w:rPr>
                      <w:rFonts w:hint="eastAsia"/>
                      <w:color w:val="auto"/>
                      <w:lang w:val="en-US" w:eastAsia="zh-CN"/>
                    </w:rPr>
                    <w:t>0.0028</w:t>
                  </w:r>
                  <w:r>
                    <w:rPr>
                      <w:color w:val="auto"/>
                    </w:rPr>
                    <w:t>t/a</w:t>
                  </w:r>
                  <w:r>
                    <w:rPr>
                      <w:rFonts w:hint="eastAsia"/>
                      <w:color w:val="auto"/>
                    </w:rPr>
                    <w:t>、T</w:t>
                  </w:r>
                  <w:r>
                    <w:rPr>
                      <w:color w:val="auto"/>
                    </w:rPr>
                    <w:t>P</w:t>
                  </w:r>
                  <w:r>
                    <w:rPr>
                      <w:rFonts w:hint="eastAsia"/>
                      <w:color w:val="auto"/>
                    </w:rPr>
                    <w:t>0.00</w:t>
                  </w:r>
                  <w:r>
                    <w:rPr>
                      <w:rFonts w:hint="eastAsia"/>
                      <w:color w:val="auto"/>
                      <w:lang w:val="en-US" w:eastAsia="zh-CN"/>
                    </w:rPr>
                    <w:t>009</w:t>
                  </w:r>
                  <w:r>
                    <w:rPr>
                      <w:color w:val="auto"/>
                    </w:rPr>
                    <w:t>t/a。</w:t>
                  </w:r>
                  <w:r>
                    <w:rPr>
                      <w:rFonts w:hint="eastAsia"/>
                      <w:color w:val="auto"/>
                      <w:lang w:eastAsia="zh-CN"/>
                    </w:rPr>
                    <w:t>大气污染物排放量：非甲烷总烃</w:t>
                  </w:r>
                  <w:r>
                    <w:rPr>
                      <w:rFonts w:hint="eastAsia"/>
                      <w:color w:val="auto"/>
                      <w:lang w:val="en-US" w:eastAsia="zh-CN"/>
                    </w:rPr>
                    <w:t>0.197</w:t>
                  </w:r>
                  <w:r>
                    <w:rPr>
                      <w:rFonts w:hint="eastAsia"/>
                      <w:color w:val="auto"/>
                    </w:rPr>
                    <w:t>t/a</w:t>
                  </w:r>
                  <w:r>
                    <w:rPr>
                      <w:rFonts w:hint="eastAsia"/>
                      <w:color w:val="auto"/>
                      <w:lang w:val="en-US" w:eastAsia="zh-CN"/>
                    </w:rPr>
                    <w:t>。符合总量控制要求。</w:t>
                  </w:r>
                </w:p>
              </w:tc>
              <w:tc>
                <w:tcPr>
                  <w:tcW w:w="766" w:type="dxa"/>
                  <w:shd w:val="clear" w:color="auto" w:fill="auto"/>
                  <w:vAlign w:val="center"/>
                </w:tcPr>
                <w:p w14:paraId="5026CBDF">
                  <w:pPr>
                    <w:pStyle w:val="1111"/>
                    <w:jc w:val="center"/>
                    <w:rPr>
                      <w:rFonts w:hint="eastAsia" w:ascii="Times New Roman" w:hAnsi="Times New Roman" w:eastAsia="宋体" w:cs="Times New Roman"/>
                      <w:kern w:val="0"/>
                      <w:sz w:val="21"/>
                      <w:szCs w:val="20"/>
                      <w:vertAlign w:val="baseline"/>
                      <w:lang w:val="en-US" w:eastAsia="zh-CN" w:bidi="ar-SA"/>
                    </w:rPr>
                  </w:pPr>
                  <w:r>
                    <w:rPr>
                      <w:rFonts w:hint="eastAsia"/>
                      <w:vertAlign w:val="baseline"/>
                      <w:lang w:eastAsia="zh-CN"/>
                    </w:rPr>
                    <w:t>符合</w:t>
                  </w:r>
                </w:p>
              </w:tc>
            </w:tr>
            <w:tr w14:paraId="77582E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8" w:type="dxa"/>
                  <w:shd w:val="clear" w:color="auto" w:fill="auto"/>
                  <w:vAlign w:val="center"/>
                </w:tcPr>
                <w:p w14:paraId="056D76AD">
                  <w:pPr>
                    <w:pStyle w:val="1111"/>
                    <w:bidi w:val="0"/>
                    <w:rPr>
                      <w:rFonts w:hint="eastAsia"/>
                      <w:lang w:val="en-US" w:eastAsia="zh-CN"/>
                    </w:rPr>
                  </w:pPr>
                  <w:r>
                    <w:t>环境风险防控</w:t>
                  </w:r>
                </w:p>
              </w:tc>
              <w:tc>
                <w:tcPr>
                  <w:tcW w:w="2865" w:type="dxa"/>
                  <w:shd w:val="clear" w:color="auto" w:fill="auto"/>
                  <w:vAlign w:val="center"/>
                </w:tcPr>
                <w:p w14:paraId="334D43D7">
                  <w:pPr>
                    <w:pStyle w:val="1111"/>
                    <w:bidi w:val="0"/>
                    <w:rPr>
                      <w:rFonts w:hint="eastAsia"/>
                      <w:lang w:val="en-US" w:eastAsia="zh-CN"/>
                    </w:rPr>
                  </w:pPr>
                  <w:r>
                    <w:t>（1）完成区内较大及以上环境风险企业环境风险评估、应急预案修编及备案、“八查八改”和安全达标建设工作。（2）完成开发区环境风险评估和应急预案修编备案工作，定期演练，防止和减轻事故危害。</w:t>
                  </w:r>
                </w:p>
              </w:tc>
              <w:tc>
                <w:tcPr>
                  <w:tcW w:w="2565" w:type="dxa"/>
                  <w:shd w:val="clear" w:color="auto" w:fill="auto"/>
                  <w:vAlign w:val="center"/>
                </w:tcPr>
                <w:p w14:paraId="63EE9F89">
                  <w:pPr>
                    <w:pStyle w:val="1111"/>
                    <w:jc w:val="center"/>
                    <w:rPr>
                      <w:rFonts w:hint="eastAsia" w:ascii="Times New Roman" w:hAnsi="Times New Roman" w:eastAsia="宋体" w:cs="Times New Roman"/>
                      <w:kern w:val="0"/>
                      <w:sz w:val="21"/>
                      <w:szCs w:val="20"/>
                      <w:vertAlign w:val="baseline"/>
                      <w:lang w:val="en-US" w:eastAsia="zh-CN" w:bidi="ar-SA"/>
                    </w:rPr>
                  </w:pPr>
                  <w:r>
                    <w:rPr>
                      <w:rFonts w:hint="eastAsia"/>
                      <w:vertAlign w:val="baseline"/>
                      <w:lang w:eastAsia="zh-CN"/>
                    </w:rPr>
                    <w:t>本项目已强化环境风险评价。待项目建成后，</w:t>
                  </w:r>
                  <w:r>
                    <w:rPr>
                      <w:rFonts w:hint="eastAsia"/>
                    </w:rPr>
                    <w:t>尽快执行</w:t>
                  </w:r>
                  <w:r>
                    <w:rPr>
                      <w:rFonts w:hint="eastAsia"/>
                      <w:lang w:eastAsia="zh-CN"/>
                    </w:rPr>
                    <w:t>事故</w:t>
                  </w:r>
                  <w:r>
                    <w:rPr>
                      <w:rFonts w:hint="eastAsia"/>
                    </w:rPr>
                    <w:t>防治对策措施，编制应急预案，贮存必要的应急物资，定期开展事故应急演练。</w:t>
                  </w:r>
                </w:p>
              </w:tc>
              <w:tc>
                <w:tcPr>
                  <w:tcW w:w="766" w:type="dxa"/>
                  <w:shd w:val="clear" w:color="auto" w:fill="auto"/>
                  <w:vAlign w:val="center"/>
                </w:tcPr>
                <w:p w14:paraId="2985C413">
                  <w:pPr>
                    <w:jc w:val="center"/>
                    <w:rPr>
                      <w:rFonts w:hint="eastAsia" w:ascii="Times New Roman" w:hAnsi="Times New Roman" w:eastAsia="宋体" w:cs="Times New Roman"/>
                      <w:kern w:val="2"/>
                      <w:sz w:val="21"/>
                      <w:szCs w:val="24"/>
                      <w:vertAlign w:val="baseline"/>
                      <w:lang w:val="en-US" w:eastAsia="zh-CN" w:bidi="ar-SA"/>
                    </w:rPr>
                  </w:pPr>
                  <w:r>
                    <w:rPr>
                      <w:rFonts w:hint="eastAsia"/>
                      <w:vertAlign w:val="baseline"/>
                      <w:lang w:eastAsia="zh-CN"/>
                    </w:rPr>
                    <w:t>符合</w:t>
                  </w:r>
                </w:p>
              </w:tc>
            </w:tr>
            <w:tr w14:paraId="772FA3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8" w:type="dxa"/>
                  <w:shd w:val="clear" w:color="auto" w:fill="auto"/>
                  <w:vAlign w:val="center"/>
                </w:tcPr>
                <w:p w14:paraId="5CD8CC3B">
                  <w:pPr>
                    <w:pStyle w:val="1111"/>
                    <w:bidi w:val="0"/>
                    <w:rPr>
                      <w:rFonts w:hint="eastAsia"/>
                      <w:lang w:val="en-US" w:eastAsia="zh-CN"/>
                    </w:rPr>
                  </w:pPr>
                  <w:r>
                    <w:t>资源开发效率要求</w:t>
                  </w:r>
                </w:p>
              </w:tc>
              <w:tc>
                <w:tcPr>
                  <w:tcW w:w="2865" w:type="dxa"/>
                  <w:shd w:val="clear" w:color="auto" w:fill="auto"/>
                  <w:vAlign w:val="center"/>
                </w:tcPr>
                <w:p w14:paraId="134717A7">
                  <w:pPr>
                    <w:pStyle w:val="1111"/>
                    <w:bidi w:val="0"/>
                    <w:rPr>
                      <w:rFonts w:hint="eastAsia"/>
                      <w:lang w:val="en-US" w:eastAsia="zh-CN"/>
                    </w:rPr>
                  </w:pPr>
                  <w:r>
                    <w:t>单位工业增加值新鲜水耗（吨/万元）≦8、单位工业增加值能耗（吨标煤/万元）≦0.5。</w:t>
                  </w:r>
                </w:p>
              </w:tc>
              <w:tc>
                <w:tcPr>
                  <w:tcW w:w="2565" w:type="dxa"/>
                  <w:shd w:val="clear" w:color="auto" w:fill="auto"/>
                  <w:vAlign w:val="center"/>
                </w:tcPr>
                <w:p w14:paraId="4E568B8F">
                  <w:pPr>
                    <w:pStyle w:val="1111"/>
                    <w:jc w:val="center"/>
                    <w:rPr>
                      <w:rFonts w:hint="eastAsia" w:ascii="Times New Roman" w:hAnsi="Times New Roman" w:eastAsia="宋体" w:cs="Times New Roman"/>
                      <w:kern w:val="0"/>
                      <w:sz w:val="21"/>
                      <w:szCs w:val="20"/>
                      <w:vertAlign w:val="baseline"/>
                      <w:lang w:val="en-US" w:eastAsia="zh-CN" w:bidi="ar-SA"/>
                    </w:rPr>
                  </w:pPr>
                  <w:r>
                    <w:rPr>
                      <w:rFonts w:hint="eastAsia"/>
                      <w:lang w:eastAsia="zh-CN"/>
                    </w:rPr>
                    <w:t>本项目</w:t>
                  </w:r>
                  <w:r>
                    <w:t>拟用水量210m</w:t>
                  </w:r>
                  <w:r>
                    <w:rPr>
                      <w:vertAlign w:val="superscript"/>
                    </w:rPr>
                    <w:t>3</w:t>
                  </w:r>
                  <w:r>
                    <w:t>/a</w:t>
                  </w:r>
                  <w:r>
                    <w:rPr>
                      <w:rFonts w:hint="eastAsia"/>
                    </w:rPr>
                    <w:t>。</w:t>
                  </w:r>
                  <w:r>
                    <w:t>本项目综合能耗为1.</w:t>
                  </w:r>
                  <w:r>
                    <w:rPr>
                      <w:rFonts w:hint="eastAsia"/>
                      <w:lang w:val="en-US" w:eastAsia="zh-CN"/>
                    </w:rPr>
                    <w:t>406</w:t>
                  </w:r>
                  <w:r>
                    <w:t>吨标准煤（电耗和水消耗折算）。</w:t>
                  </w:r>
                </w:p>
              </w:tc>
              <w:tc>
                <w:tcPr>
                  <w:tcW w:w="766" w:type="dxa"/>
                  <w:shd w:val="clear" w:color="auto" w:fill="auto"/>
                  <w:vAlign w:val="center"/>
                </w:tcPr>
                <w:p w14:paraId="631D360E">
                  <w:pPr>
                    <w:jc w:val="center"/>
                    <w:rPr>
                      <w:rFonts w:hint="eastAsia" w:ascii="Times New Roman" w:hAnsi="Times New Roman" w:eastAsia="宋体" w:cs="Times New Roman"/>
                      <w:kern w:val="2"/>
                      <w:sz w:val="21"/>
                      <w:szCs w:val="24"/>
                      <w:vertAlign w:val="baseline"/>
                      <w:lang w:val="en-US" w:eastAsia="zh-CN" w:bidi="ar-SA"/>
                    </w:rPr>
                  </w:pPr>
                  <w:r>
                    <w:rPr>
                      <w:rFonts w:hint="eastAsia"/>
                      <w:vertAlign w:val="baseline"/>
                      <w:lang w:eastAsia="zh-CN"/>
                    </w:rPr>
                    <w:t>符合</w:t>
                  </w:r>
                </w:p>
              </w:tc>
            </w:tr>
          </w:tbl>
          <w:p w14:paraId="0DC7DAFF">
            <w:pPr>
              <w:pStyle w:val="1111"/>
              <w:bidi w:val="0"/>
            </w:pPr>
          </w:p>
          <w:p w14:paraId="22C658AF">
            <w:pPr>
              <w:pStyle w:val="512"/>
            </w:pPr>
            <w:r>
              <w:t>综上，本项目的建设符合“三线一单”相关要求</w:t>
            </w:r>
            <w:r>
              <w:rPr>
                <w:rFonts w:hint="eastAsia"/>
              </w:rPr>
              <w:t>。</w:t>
            </w:r>
          </w:p>
          <w:p w14:paraId="38D3FCE9">
            <w:pPr>
              <w:pStyle w:val="512"/>
              <w:numPr>
                <w:ilvl w:val="0"/>
                <w:numId w:val="8"/>
              </w:numPr>
              <w:bidi w:val="0"/>
              <w:rPr>
                <w:rFonts w:hint="eastAsia"/>
              </w:rPr>
            </w:pPr>
            <w:r>
              <w:rPr>
                <w:rFonts w:hint="eastAsia"/>
                <w:lang w:eastAsia="zh-CN"/>
              </w:rPr>
              <w:t>与相关环保政策</w:t>
            </w:r>
            <w:r>
              <w:rPr>
                <w:rFonts w:hint="eastAsia"/>
              </w:rPr>
              <w:t>相符性分析</w:t>
            </w:r>
          </w:p>
          <w:p w14:paraId="32277218">
            <w:pPr>
              <w:pStyle w:val="512"/>
              <w:bidi w:val="0"/>
            </w:pPr>
            <w:r>
              <w:rPr>
                <w:rFonts w:hint="eastAsia"/>
              </w:rPr>
              <w:t>（1）</w:t>
            </w:r>
            <w:r>
              <w:t>省生态环境厅关于印发《江苏省危险废物集中收集体系建设工作方案（试行）》的通知（苏环[2021]290号）</w:t>
            </w:r>
          </w:p>
          <w:p w14:paraId="4694343C">
            <w:pPr>
              <w:pStyle w:val="512"/>
              <w:bidi w:val="0"/>
              <w:rPr>
                <w:rFonts w:hint="eastAsia"/>
              </w:rPr>
            </w:pPr>
            <w:r>
              <w:t>本项目严格落实《省生态环境厅关于印发&lt;江苏办</w:t>
            </w:r>
            <w:r>
              <w:rPr>
                <w:color w:val="000000"/>
                <w:kern w:val="0"/>
              </w:rPr>
              <w:t>省危险废物集中收集体系建设工作方案（试行）&gt;的通知》（苏环办[2021]290号）的要求，在</w:t>
            </w:r>
            <w:r>
              <w:rPr>
                <w:rFonts w:hint="eastAsia"/>
                <w:color w:val="000000"/>
                <w:lang w:eastAsia="zh-CN"/>
              </w:rPr>
              <w:t>连云港经济技术开发区</w:t>
            </w:r>
            <w:r>
              <w:rPr>
                <w:color w:val="000000"/>
                <w:kern w:val="0"/>
              </w:rPr>
              <w:t>建设小微集中收集点，</w:t>
            </w:r>
            <w:r>
              <w:rPr>
                <w:rFonts w:hint="eastAsia"/>
                <w:color w:val="000000"/>
                <w:kern w:val="0"/>
              </w:rPr>
              <w:t>形成危废</w:t>
            </w:r>
            <w:r>
              <w:rPr>
                <w:rFonts w:hint="eastAsia"/>
                <w:color w:val="000000"/>
                <w:kern w:val="0"/>
                <w:lang w:eastAsia="zh-CN"/>
              </w:rPr>
              <w:t>收集</w:t>
            </w:r>
            <w:r>
              <w:rPr>
                <w:rFonts w:hint="eastAsia"/>
                <w:color w:val="000000"/>
                <w:kern w:val="0"/>
              </w:rPr>
              <w:t>贮存能力5</w:t>
            </w:r>
            <w:r>
              <w:rPr>
                <w:color w:val="000000"/>
                <w:kern w:val="0"/>
              </w:rPr>
              <w:t>000</w:t>
            </w:r>
            <w:r>
              <w:rPr>
                <w:rFonts w:hint="eastAsia"/>
                <w:color w:val="000000"/>
                <w:kern w:val="0"/>
              </w:rPr>
              <w:t>吨的项目，</w:t>
            </w:r>
            <w:r>
              <w:rPr>
                <w:color w:val="000000"/>
                <w:kern w:val="0"/>
              </w:rPr>
              <w:t>推进</w:t>
            </w:r>
            <w:r>
              <w:rPr>
                <w:rFonts w:hint="eastAsia"/>
                <w:color w:val="000000"/>
                <w:kern w:val="0"/>
                <w:lang w:eastAsia="zh-CN"/>
              </w:rPr>
              <w:t>连云港</w:t>
            </w:r>
            <w:r>
              <w:rPr>
                <w:color w:val="000000"/>
                <w:kern w:val="0"/>
              </w:rPr>
              <w:t>市危险废物集中收集体系建设。同时本项目按照文件中“鼓励收集后直接转运至利用处置单位”的要求，园区外的在产废单位收集的危险废物直接转运至有资质的利用处置单位，不在危废库贮存；园区</w:t>
            </w:r>
            <w:r>
              <w:rPr>
                <w:rFonts w:hint="eastAsia"/>
                <w:color w:val="000000"/>
                <w:kern w:val="0"/>
                <w:lang w:eastAsia="zh-CN"/>
              </w:rPr>
              <w:t>及配套设施</w:t>
            </w:r>
            <w:r>
              <w:rPr>
                <w:rFonts w:hint="eastAsia"/>
                <w:color w:val="000000"/>
                <w:kern w:val="0"/>
              </w:rPr>
              <w:t>企业产生</w:t>
            </w:r>
            <w:r>
              <w:rPr>
                <w:color w:val="000000"/>
                <w:kern w:val="0"/>
              </w:rPr>
              <w:t>的危险废物进入本项目危废</w:t>
            </w:r>
            <w:r>
              <w:t>库分区暂存</w:t>
            </w:r>
            <w:r>
              <w:rPr>
                <w:rFonts w:hint="eastAsia"/>
              </w:rPr>
              <w:t>。</w:t>
            </w:r>
          </w:p>
          <w:p w14:paraId="674018FE">
            <w:pPr>
              <w:pStyle w:val="512"/>
              <w:bidi w:val="0"/>
            </w:pPr>
            <w:r>
              <w:rPr>
                <w:rFonts w:hint="eastAsia"/>
              </w:rPr>
              <w:t>（2）省生态环境厅关于印发《江苏省固体废物全过程环境监管工作意见》的通知（苏环办〔2024〕16号）</w:t>
            </w:r>
          </w:p>
          <w:p w14:paraId="4E2539FD">
            <w:pPr>
              <w:pStyle w:val="512"/>
              <w:bidi w:val="0"/>
              <w:rPr>
                <w:rFonts w:hint="eastAsia"/>
              </w:rPr>
            </w:pPr>
            <w:r>
              <w:rPr>
                <w:rFonts w:hint="eastAsia"/>
                <w:lang w:eastAsia="zh-CN"/>
              </w:rPr>
              <w:t>根据</w:t>
            </w:r>
            <w:r>
              <w:rPr>
                <w:rFonts w:hint="eastAsia"/>
              </w:rPr>
              <w:t>《江苏省固体废物全过程环境监管工作意见》（苏环办〔2024〕16号）</w:t>
            </w:r>
            <w:r>
              <w:rPr>
                <w:rFonts w:hint="eastAsia"/>
                <w:lang w:eastAsia="zh-CN"/>
              </w:rPr>
              <w:t>，</w:t>
            </w:r>
            <w:r>
              <w:t>本项目</w:t>
            </w:r>
            <w:r>
              <w:rPr>
                <w:rFonts w:hint="eastAsia"/>
                <w:lang w:eastAsia="zh-CN"/>
              </w:rPr>
              <w:t>执行</w:t>
            </w:r>
            <w:r>
              <w:t>《江苏办</w:t>
            </w:r>
            <w:r>
              <w:rPr>
                <w:color w:val="000000"/>
                <w:kern w:val="0"/>
              </w:rPr>
              <w:t>省危险废物集中收集体系建设工作方案（试行）》（苏环办[2021]290号）的要求，在</w:t>
            </w:r>
            <w:r>
              <w:rPr>
                <w:rFonts w:hint="eastAsia"/>
                <w:color w:val="000000"/>
                <w:lang w:eastAsia="zh-CN"/>
              </w:rPr>
              <w:t>连云港经济技术开发区</w:t>
            </w:r>
            <w:r>
              <w:rPr>
                <w:color w:val="000000"/>
                <w:kern w:val="0"/>
              </w:rPr>
              <w:t>建设小微集中收集点，</w:t>
            </w:r>
            <w:r>
              <w:rPr>
                <w:rFonts w:hint="eastAsia"/>
                <w:color w:val="000000"/>
                <w:kern w:val="0"/>
              </w:rPr>
              <w:t>形成危废</w:t>
            </w:r>
            <w:r>
              <w:rPr>
                <w:rFonts w:hint="eastAsia"/>
                <w:color w:val="000000"/>
                <w:kern w:val="0"/>
                <w:lang w:eastAsia="zh-CN"/>
              </w:rPr>
              <w:t>收集</w:t>
            </w:r>
            <w:r>
              <w:rPr>
                <w:rFonts w:hint="eastAsia"/>
                <w:color w:val="000000"/>
                <w:kern w:val="0"/>
              </w:rPr>
              <w:t>贮存能力5</w:t>
            </w:r>
            <w:r>
              <w:rPr>
                <w:color w:val="000000"/>
                <w:kern w:val="0"/>
              </w:rPr>
              <w:t>000</w:t>
            </w:r>
            <w:r>
              <w:rPr>
                <w:rFonts w:hint="eastAsia"/>
                <w:color w:val="000000"/>
                <w:kern w:val="0"/>
              </w:rPr>
              <w:t>吨的项目，</w:t>
            </w:r>
            <w:r>
              <w:rPr>
                <w:color w:val="000000"/>
                <w:kern w:val="0"/>
              </w:rPr>
              <w:t>推进</w:t>
            </w:r>
            <w:r>
              <w:rPr>
                <w:rFonts w:hint="eastAsia"/>
                <w:color w:val="000000"/>
                <w:kern w:val="0"/>
                <w:lang w:eastAsia="zh-CN"/>
              </w:rPr>
              <w:t>连云港</w:t>
            </w:r>
            <w:r>
              <w:rPr>
                <w:color w:val="000000"/>
                <w:kern w:val="0"/>
              </w:rPr>
              <w:t>市危险废物集中收集体系建设。同时本项目</w:t>
            </w:r>
            <w:r>
              <w:rPr>
                <w:rFonts w:hint="eastAsia"/>
                <w:color w:val="000000"/>
                <w:kern w:val="0"/>
                <w:lang w:eastAsia="zh-CN"/>
              </w:rPr>
              <w:t>执行危险废物转移电子联单制度。</w:t>
            </w:r>
            <w:r>
              <w:rPr>
                <w:color w:val="000000"/>
                <w:kern w:val="0"/>
              </w:rPr>
              <w:t>按照文件中“</w:t>
            </w:r>
            <w:r>
              <w:rPr>
                <w:rFonts w:hint="eastAsia"/>
                <w:color w:val="000000"/>
                <w:kern w:val="0"/>
                <w:lang w:eastAsia="zh-CN"/>
              </w:rPr>
              <w:t>推进固废就近利用处置</w:t>
            </w:r>
            <w:r>
              <w:rPr>
                <w:color w:val="000000"/>
                <w:kern w:val="0"/>
              </w:rPr>
              <w:t>”的要求，在园区外的产废单位收集的危险废物直接转运至有资质的利用处置单位，不在危废库贮存；园区</w:t>
            </w:r>
            <w:r>
              <w:rPr>
                <w:rFonts w:hint="eastAsia"/>
                <w:color w:val="000000"/>
                <w:kern w:val="0"/>
                <w:lang w:eastAsia="zh-CN"/>
              </w:rPr>
              <w:t>及配套设施</w:t>
            </w:r>
            <w:r>
              <w:rPr>
                <w:rFonts w:hint="eastAsia"/>
                <w:color w:val="000000"/>
                <w:kern w:val="0"/>
              </w:rPr>
              <w:t>企业产生</w:t>
            </w:r>
            <w:r>
              <w:rPr>
                <w:color w:val="000000"/>
                <w:kern w:val="0"/>
              </w:rPr>
              <w:t>的危险废物进入本项目危废</w:t>
            </w:r>
            <w:r>
              <w:t>库分区暂存</w:t>
            </w:r>
            <w:r>
              <w:rPr>
                <w:rFonts w:hint="eastAsia"/>
              </w:rPr>
              <w:t>。</w:t>
            </w:r>
          </w:p>
          <w:p w14:paraId="7D96025B">
            <w:pPr>
              <w:pStyle w:val="512"/>
              <w:bidi w:val="0"/>
            </w:pPr>
            <w:r>
              <w:rPr>
                <w:rFonts w:hint="eastAsia"/>
              </w:rPr>
              <w:t>（3）</w:t>
            </w:r>
            <w:r>
              <w:t>与《省生态环境厅关于印发江苏省危险废物集中收集贮存试点工作方案的通知》（苏环办[2019]390号）相符性分析</w:t>
            </w:r>
          </w:p>
          <w:p w14:paraId="65ECD2E2">
            <w:pPr>
              <w:pStyle w:val="512"/>
              <w:bidi w:val="0"/>
              <w:rPr>
                <w:lang w:eastAsia="zh-CN"/>
              </w:rPr>
            </w:pPr>
            <w:r>
              <w:rPr>
                <w:lang w:eastAsia="zh-CN"/>
              </w:rPr>
              <w:t>经对比分析，本项目符合试点工作的收集对象范围、试点单位和经营管理规章制度等要求，本项目与工作方案要求的符合性分析见表1-</w:t>
            </w:r>
            <w:r>
              <w:rPr>
                <w:rFonts w:hint="eastAsia"/>
                <w:lang w:val="en-US" w:eastAsia="zh-CN"/>
              </w:rPr>
              <w:t>10</w:t>
            </w:r>
            <w:r>
              <w:rPr>
                <w:lang w:eastAsia="zh-CN"/>
              </w:rPr>
              <w:t>。</w:t>
            </w:r>
          </w:p>
          <w:p w14:paraId="033733EA">
            <w:pPr>
              <w:pStyle w:val="1111"/>
              <w:bidi w:val="0"/>
            </w:pPr>
            <w:r>
              <w:t>表1-</w:t>
            </w:r>
            <w:r>
              <w:rPr>
                <w:rFonts w:hint="eastAsia"/>
                <w:lang w:val="en-US" w:eastAsia="zh-CN"/>
              </w:rPr>
              <w:t>10</w:t>
            </w:r>
            <w:r>
              <w:t xml:space="preserve">  与苏环办[2019]390号相符性分析</w:t>
            </w:r>
          </w:p>
          <w:tbl>
            <w:tblPr>
              <w:tblStyle w:val="77"/>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9"/>
              <w:gridCol w:w="2942"/>
              <w:gridCol w:w="3070"/>
            </w:tblGrid>
            <w:tr w14:paraId="6B195E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7" w:type="pct"/>
                  <w:tcBorders>
                    <w:tl2br w:val="nil"/>
                    <w:tr2bl w:val="nil"/>
                  </w:tcBorders>
                  <w:shd w:val="clear" w:color="auto" w:fill="auto"/>
                  <w:noWrap w:val="0"/>
                  <w:vAlign w:val="center"/>
                </w:tcPr>
                <w:p w14:paraId="6D061F4D">
                  <w:pPr>
                    <w:pStyle w:val="1111"/>
                    <w:bidi w:val="0"/>
                  </w:pPr>
                  <w:r>
                    <w:rPr>
                      <w:rFonts w:hint="eastAsia"/>
                    </w:rPr>
                    <w:t>类别</w:t>
                  </w:r>
                </w:p>
              </w:tc>
              <w:tc>
                <w:tcPr>
                  <w:tcW w:w="2086" w:type="pct"/>
                  <w:tcBorders>
                    <w:tl2br w:val="nil"/>
                    <w:tr2bl w:val="nil"/>
                  </w:tcBorders>
                  <w:shd w:val="clear" w:color="auto" w:fill="auto"/>
                  <w:noWrap w:val="0"/>
                  <w:vAlign w:val="center"/>
                </w:tcPr>
                <w:p w14:paraId="3FC693FE">
                  <w:pPr>
                    <w:pStyle w:val="1111"/>
                    <w:bidi w:val="0"/>
                  </w:pPr>
                  <w:r>
                    <w:rPr>
                      <w:rFonts w:hint="eastAsia"/>
                    </w:rPr>
                    <w:t>试点工作方案要求</w:t>
                  </w:r>
                </w:p>
              </w:tc>
              <w:tc>
                <w:tcPr>
                  <w:tcW w:w="2176" w:type="pct"/>
                  <w:tcBorders>
                    <w:tl2br w:val="nil"/>
                    <w:tr2bl w:val="nil"/>
                  </w:tcBorders>
                  <w:shd w:val="clear" w:color="auto" w:fill="auto"/>
                  <w:noWrap w:val="0"/>
                  <w:vAlign w:val="center"/>
                </w:tcPr>
                <w:p w14:paraId="23FDB51D">
                  <w:pPr>
                    <w:pStyle w:val="1111"/>
                    <w:bidi w:val="0"/>
                  </w:pPr>
                  <w:r>
                    <w:rPr>
                      <w:rFonts w:hint="eastAsia"/>
                    </w:rPr>
                    <w:t>本项目实际情况</w:t>
                  </w:r>
                </w:p>
              </w:tc>
            </w:tr>
            <w:tr w14:paraId="6721FA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7" w:type="pct"/>
                  <w:vMerge w:val="restart"/>
                  <w:tcBorders>
                    <w:tl2br w:val="nil"/>
                    <w:tr2bl w:val="nil"/>
                  </w:tcBorders>
                  <w:shd w:val="clear" w:color="auto" w:fill="auto"/>
                  <w:noWrap w:val="0"/>
                  <w:vAlign w:val="center"/>
                </w:tcPr>
                <w:p w14:paraId="717C5CFB">
                  <w:pPr>
                    <w:pStyle w:val="1111"/>
                    <w:bidi w:val="0"/>
                  </w:pPr>
                  <w:r>
                    <w:t>试点单位要求</w:t>
                  </w:r>
                </w:p>
              </w:tc>
              <w:tc>
                <w:tcPr>
                  <w:tcW w:w="2086" w:type="pct"/>
                  <w:tcBorders>
                    <w:tl2br w:val="nil"/>
                    <w:tr2bl w:val="nil"/>
                  </w:tcBorders>
                  <w:shd w:val="clear" w:color="auto" w:fill="auto"/>
                  <w:noWrap w:val="0"/>
                  <w:vAlign w:val="center"/>
                </w:tcPr>
                <w:p w14:paraId="18C2E26F">
                  <w:pPr>
                    <w:pStyle w:val="1111"/>
                    <w:bidi w:val="0"/>
                  </w:pPr>
                  <w:r>
                    <w:t>具有危险废物集中处置经营资质的单位。</w:t>
                  </w:r>
                </w:p>
              </w:tc>
              <w:tc>
                <w:tcPr>
                  <w:tcW w:w="2176" w:type="pct"/>
                  <w:tcBorders>
                    <w:tl2br w:val="nil"/>
                    <w:tr2bl w:val="nil"/>
                  </w:tcBorders>
                  <w:shd w:val="clear" w:color="auto" w:fill="auto"/>
                  <w:noWrap w:val="0"/>
                  <w:vAlign w:val="center"/>
                </w:tcPr>
                <w:p w14:paraId="08D61019">
                  <w:pPr>
                    <w:pStyle w:val="1111"/>
                    <w:bidi w:val="0"/>
                  </w:pPr>
                  <w:r>
                    <w:rPr>
                      <w:rFonts w:hint="eastAsia"/>
                    </w:rPr>
                    <w:t>企业</w:t>
                  </w:r>
                  <w:r>
                    <w:t>将按照要求申请危废经营许可证</w:t>
                  </w:r>
                </w:p>
              </w:tc>
            </w:tr>
            <w:tr w14:paraId="0BD8F7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7" w:type="pct"/>
                  <w:vMerge w:val="continue"/>
                  <w:tcBorders>
                    <w:tl2br w:val="nil"/>
                    <w:tr2bl w:val="nil"/>
                  </w:tcBorders>
                  <w:shd w:val="clear" w:color="auto" w:fill="auto"/>
                  <w:noWrap w:val="0"/>
                  <w:vAlign w:val="center"/>
                </w:tcPr>
                <w:p w14:paraId="0BF5FB54">
                  <w:pPr>
                    <w:pStyle w:val="1111"/>
                    <w:bidi w:val="0"/>
                  </w:pPr>
                </w:p>
              </w:tc>
              <w:tc>
                <w:tcPr>
                  <w:tcW w:w="2086" w:type="pct"/>
                  <w:tcBorders>
                    <w:tl2br w:val="nil"/>
                    <w:tr2bl w:val="nil"/>
                  </w:tcBorders>
                  <w:shd w:val="clear" w:color="auto" w:fill="auto"/>
                  <w:noWrap w:val="0"/>
                  <w:vAlign w:val="center"/>
                </w:tcPr>
                <w:p w14:paraId="351915CA">
                  <w:pPr>
                    <w:pStyle w:val="1111"/>
                    <w:bidi w:val="0"/>
                  </w:pPr>
                  <w:r>
                    <w:t>从事环境科研、工程设计及建设、技术咨询、运营管理等环保科研机构或者环保企业，并至少有三名以上环境工程专业或者相关专业中级以上职称的专职环境管理人员，具备符合国务院交通主管部门有关危险货物运输要求的运输能力，有符合国家或者地方环境保护标准的包装工具，中转和临时存放设施、设备，有保证危废经营安全的规章制度、污染防治措施和事故应急处置措施</w:t>
                  </w:r>
                </w:p>
              </w:tc>
              <w:tc>
                <w:tcPr>
                  <w:tcW w:w="2176" w:type="pct"/>
                  <w:tcBorders>
                    <w:tl2br w:val="nil"/>
                    <w:tr2bl w:val="nil"/>
                  </w:tcBorders>
                  <w:shd w:val="clear" w:color="auto" w:fill="auto"/>
                  <w:noWrap w:val="0"/>
                  <w:vAlign w:val="center"/>
                </w:tcPr>
                <w:p w14:paraId="08D0B440">
                  <w:pPr>
                    <w:pStyle w:val="1111"/>
                    <w:bidi w:val="0"/>
                  </w:pPr>
                  <w:r>
                    <w:rPr>
                      <w:rFonts w:hint="eastAsia"/>
                      <w:lang w:eastAsia="zh-CN"/>
                    </w:rPr>
                    <w:t>江苏省环境资源有限公司连云港经开区分公司</w:t>
                  </w:r>
                  <w:r>
                    <w:rPr>
                      <w:rFonts w:hint="eastAsia"/>
                    </w:rPr>
                    <w:t>是</w:t>
                  </w:r>
                  <w:r>
                    <w:t>一家专业从事危险废物处理处置及资源化利用的综合性环保服务企业。本项目建成后，将配置三名以上环境工程专业或者相关专业中级职称的专职环境管理人员，将委托有危险货物运输资质的运输单位进行危废收集运输，要求收集的危废均采用符合国家或者地方环境保护标准的包装工具，中转和临时存放设施、设备，制定保证危废经营安全的规章制度、污染防治措施和事故应急处置措施</w:t>
                  </w:r>
                </w:p>
              </w:tc>
            </w:tr>
            <w:tr w14:paraId="6F3E3C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7" w:type="pct"/>
                  <w:tcBorders>
                    <w:tl2br w:val="nil"/>
                    <w:tr2bl w:val="nil"/>
                  </w:tcBorders>
                  <w:shd w:val="clear" w:color="auto" w:fill="auto"/>
                  <w:noWrap w:val="0"/>
                  <w:vAlign w:val="center"/>
                </w:tcPr>
                <w:p w14:paraId="789C5104">
                  <w:pPr>
                    <w:pStyle w:val="1111"/>
                    <w:bidi w:val="0"/>
                  </w:pPr>
                  <w:r>
                    <w:t>试点地区范围</w:t>
                  </w:r>
                </w:p>
              </w:tc>
              <w:tc>
                <w:tcPr>
                  <w:tcW w:w="2086" w:type="pct"/>
                  <w:tcBorders>
                    <w:tl2br w:val="nil"/>
                    <w:tr2bl w:val="nil"/>
                  </w:tcBorders>
                  <w:shd w:val="clear" w:color="auto" w:fill="auto"/>
                  <w:noWrap w:val="0"/>
                  <w:vAlign w:val="center"/>
                </w:tcPr>
                <w:p w14:paraId="7F30BB97">
                  <w:pPr>
                    <w:pStyle w:val="1111"/>
                    <w:bidi w:val="0"/>
                  </w:pPr>
                  <w:r>
                    <w:t>全省13个设区市，试点单位收集范围不得超出所在地设区市范围。</w:t>
                  </w:r>
                </w:p>
              </w:tc>
              <w:tc>
                <w:tcPr>
                  <w:tcW w:w="2176" w:type="pct"/>
                  <w:tcBorders>
                    <w:tl2br w:val="nil"/>
                    <w:tr2bl w:val="nil"/>
                  </w:tcBorders>
                  <w:shd w:val="clear" w:color="auto" w:fill="auto"/>
                  <w:noWrap w:val="0"/>
                  <w:vAlign w:val="center"/>
                </w:tcPr>
                <w:p w14:paraId="1BF40C33">
                  <w:pPr>
                    <w:pStyle w:val="1111"/>
                    <w:bidi w:val="0"/>
                  </w:pPr>
                  <w:r>
                    <w:t>本项目在</w:t>
                  </w:r>
                  <w:r>
                    <w:rPr>
                      <w:rFonts w:hint="eastAsia"/>
                      <w:lang w:eastAsia="zh-CN"/>
                    </w:rPr>
                    <w:t>连云港</w:t>
                  </w:r>
                  <w:r>
                    <w:t>市范围收集危险废物</w:t>
                  </w:r>
                </w:p>
              </w:tc>
            </w:tr>
            <w:tr w14:paraId="1ADC95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7" w:type="pct"/>
                  <w:tcBorders>
                    <w:tl2br w:val="nil"/>
                    <w:tr2bl w:val="nil"/>
                  </w:tcBorders>
                  <w:shd w:val="clear" w:color="auto" w:fill="auto"/>
                  <w:noWrap w:val="0"/>
                  <w:vAlign w:val="center"/>
                </w:tcPr>
                <w:p w14:paraId="1AAFD37A">
                  <w:pPr>
                    <w:pStyle w:val="1111"/>
                    <w:bidi w:val="0"/>
                  </w:pPr>
                  <w:r>
                    <w:t>试点收集对象要求</w:t>
                  </w:r>
                </w:p>
              </w:tc>
              <w:tc>
                <w:tcPr>
                  <w:tcW w:w="2086" w:type="pct"/>
                  <w:tcBorders>
                    <w:tl2br w:val="nil"/>
                    <w:tr2bl w:val="nil"/>
                  </w:tcBorders>
                  <w:shd w:val="clear" w:color="auto" w:fill="auto"/>
                  <w:noWrap w:val="0"/>
                  <w:vAlign w:val="center"/>
                </w:tcPr>
                <w:p w14:paraId="38170FFE">
                  <w:pPr>
                    <w:pStyle w:val="1111"/>
                    <w:bidi w:val="0"/>
                  </w:pPr>
                  <w:r>
                    <w:t>试点单位所在设区市内年产生量在10吨以下的企事业单位产生的危险废物；科研院所、高等学校、各类检测机构等产生的实验室废物</w:t>
                  </w:r>
                  <w:r>
                    <w:rPr>
                      <w:rFonts w:hint="eastAsia"/>
                      <w:lang w:eastAsia="zh-CN"/>
                    </w:rPr>
                    <w:t>（</w:t>
                  </w:r>
                  <w:r>
                    <w:t>医疗废物除外</w:t>
                  </w:r>
                  <w:r>
                    <w:rPr>
                      <w:rFonts w:hint="eastAsia"/>
                      <w:lang w:eastAsia="zh-CN"/>
                    </w:rPr>
                    <w:t>）</w:t>
                  </w:r>
                  <w:r>
                    <w:t>；机动车维修机构、加油站等产生的危险废物。</w:t>
                  </w:r>
                </w:p>
              </w:tc>
              <w:tc>
                <w:tcPr>
                  <w:tcW w:w="2176" w:type="pct"/>
                  <w:tcBorders>
                    <w:tl2br w:val="nil"/>
                    <w:tr2bl w:val="nil"/>
                  </w:tcBorders>
                  <w:shd w:val="clear" w:color="auto" w:fill="auto"/>
                  <w:noWrap w:val="0"/>
                  <w:vAlign w:val="center"/>
                </w:tcPr>
                <w:p w14:paraId="69DB8BBE">
                  <w:pPr>
                    <w:pStyle w:val="1111"/>
                    <w:bidi w:val="0"/>
                  </w:pPr>
                  <w:r>
                    <w:t>本项目</w:t>
                  </w:r>
                  <w:r>
                    <w:rPr>
                      <w:rFonts w:hint="eastAsia"/>
                    </w:rPr>
                    <w:t>租用</w:t>
                  </w:r>
                  <w:r>
                    <w:rPr>
                      <w:rFonts w:hint="eastAsia"/>
                      <w:lang w:eastAsia="zh-CN"/>
                    </w:rPr>
                    <w:t>江苏鑫科医药产业投资发展有限公司高端化学制剂产业园</w:t>
                  </w:r>
                  <w:r>
                    <w:t>项目危废品库</w:t>
                  </w:r>
                  <w:r>
                    <w:rPr>
                      <w:rFonts w:hint="eastAsia"/>
                    </w:rPr>
                    <w:t>，收集贮存</w:t>
                  </w:r>
                  <w:r>
                    <w:rPr>
                      <w:rFonts w:hint="eastAsia"/>
                      <w:lang w:eastAsia="zh-CN"/>
                    </w:rPr>
                    <w:t>中华药港内</w:t>
                  </w:r>
                  <w:r>
                    <w:rPr>
                      <w:rFonts w:hint="eastAsia"/>
                    </w:rPr>
                    <w:t>企业产生的危险废物，同步收集</w:t>
                  </w:r>
                  <w:r>
                    <w:rPr>
                      <w:rFonts w:hint="eastAsia"/>
                      <w:lang w:eastAsia="zh-CN"/>
                    </w:rPr>
                    <w:t>连云港</w:t>
                  </w:r>
                  <w:r>
                    <w:t>市范围内年产生量在10吨以下的企事业单位产生的危险废物</w:t>
                  </w:r>
                  <w:r>
                    <w:rPr>
                      <w:rFonts w:hint="eastAsia"/>
                    </w:rPr>
                    <w:t>；</w:t>
                  </w:r>
                  <w:r>
                    <w:t>科研院所、高等学校、各类检测机构、机动车维修机构、加油站等产生的危险废弃物</w:t>
                  </w:r>
                  <w:r>
                    <w:rPr>
                      <w:rFonts w:hint="eastAsia"/>
                    </w:rPr>
                    <w:t>。</w:t>
                  </w:r>
                </w:p>
              </w:tc>
            </w:tr>
          </w:tbl>
          <w:p w14:paraId="5A8B8E73">
            <w:pPr>
              <w:pStyle w:val="512"/>
              <w:bidi w:val="0"/>
            </w:pPr>
            <w:r>
              <w:rPr>
                <w:rFonts w:hint="eastAsia"/>
              </w:rPr>
              <w:t>（</w:t>
            </w:r>
            <w:r>
              <w:t>4</w:t>
            </w:r>
            <w:r>
              <w:rPr>
                <w:rFonts w:hint="eastAsia"/>
              </w:rPr>
              <w:t>）</w:t>
            </w:r>
            <w:r>
              <w:t>与《危险废物贮存污染控制标准》（GB18597-2023）相符性分析</w:t>
            </w:r>
          </w:p>
          <w:p w14:paraId="2AE4063A">
            <w:pPr>
              <w:pStyle w:val="512"/>
              <w:bidi w:val="0"/>
            </w:pPr>
            <w:r>
              <w:t>对照《危险废物贮存污染控制标准》（GB18597-2023）关于危险废物贮存设施的选址要求，本项目选址合理，符合危废库选址要求。</w:t>
            </w:r>
          </w:p>
          <w:p w14:paraId="26CDE933">
            <w:pPr>
              <w:pStyle w:val="1111"/>
              <w:bidi w:val="0"/>
            </w:pPr>
            <w:r>
              <w:t>表1-1</w:t>
            </w:r>
            <w:r>
              <w:rPr>
                <w:rFonts w:hint="eastAsia"/>
                <w:lang w:val="en-US" w:eastAsia="zh-CN"/>
              </w:rPr>
              <w:t>1</w:t>
            </w:r>
            <w:r>
              <w:t xml:space="preserve">  危废库选址相符性分析</w:t>
            </w:r>
          </w:p>
          <w:tbl>
            <w:tblPr>
              <w:tblStyle w:val="77"/>
              <w:tblW w:w="4997"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7"/>
              <w:gridCol w:w="3061"/>
              <w:gridCol w:w="2656"/>
              <w:gridCol w:w="697"/>
            </w:tblGrid>
            <w:tr w14:paraId="75118D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37" w:type="dxa"/>
                  <w:tcBorders>
                    <w:tl2br w:val="nil"/>
                    <w:tr2bl w:val="nil"/>
                  </w:tcBorders>
                  <w:noWrap w:val="0"/>
                  <w:vAlign w:val="center"/>
                </w:tcPr>
                <w:p w14:paraId="0777B178">
                  <w:pPr>
                    <w:pStyle w:val="1111"/>
                    <w:bidi w:val="0"/>
                  </w:pPr>
                  <w:r>
                    <w:rPr>
                      <w:rFonts w:hint="eastAsia"/>
                    </w:rPr>
                    <w:t>类别</w:t>
                  </w:r>
                </w:p>
              </w:tc>
              <w:tc>
                <w:tcPr>
                  <w:tcW w:w="3058" w:type="dxa"/>
                  <w:tcBorders>
                    <w:tl2br w:val="nil"/>
                    <w:tr2bl w:val="nil"/>
                  </w:tcBorders>
                  <w:noWrap w:val="0"/>
                  <w:vAlign w:val="center"/>
                </w:tcPr>
                <w:p w14:paraId="63939B34">
                  <w:pPr>
                    <w:pStyle w:val="1111"/>
                    <w:bidi w:val="0"/>
                  </w:pPr>
                  <w:r>
                    <w:t>标准要求</w:t>
                  </w:r>
                </w:p>
              </w:tc>
              <w:tc>
                <w:tcPr>
                  <w:tcW w:w="2654" w:type="dxa"/>
                  <w:tcBorders>
                    <w:tl2br w:val="nil"/>
                    <w:tr2bl w:val="nil"/>
                  </w:tcBorders>
                  <w:noWrap w:val="0"/>
                  <w:vAlign w:val="center"/>
                </w:tcPr>
                <w:p w14:paraId="645215E6">
                  <w:pPr>
                    <w:pStyle w:val="1111"/>
                    <w:bidi w:val="0"/>
                  </w:pPr>
                  <w:r>
                    <w:t>本项目情况</w:t>
                  </w:r>
                </w:p>
              </w:tc>
              <w:tc>
                <w:tcPr>
                  <w:tcW w:w="696" w:type="dxa"/>
                  <w:tcBorders>
                    <w:tl2br w:val="nil"/>
                    <w:tr2bl w:val="nil"/>
                  </w:tcBorders>
                  <w:noWrap w:val="0"/>
                  <w:vAlign w:val="center"/>
                </w:tcPr>
                <w:p w14:paraId="4C046CF7">
                  <w:pPr>
                    <w:pStyle w:val="1111"/>
                    <w:bidi w:val="0"/>
                  </w:pPr>
                  <w:r>
                    <w:t>相符性</w:t>
                  </w:r>
                </w:p>
              </w:tc>
            </w:tr>
            <w:tr w14:paraId="57C05D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7" w:type="dxa"/>
                  <w:tcBorders>
                    <w:tl2br w:val="nil"/>
                    <w:tr2bl w:val="nil"/>
                  </w:tcBorders>
                  <w:noWrap w:val="0"/>
                  <w:vAlign w:val="center"/>
                </w:tcPr>
                <w:p w14:paraId="6EC29A79">
                  <w:pPr>
                    <w:pStyle w:val="1111"/>
                    <w:bidi w:val="0"/>
                  </w:pPr>
                  <w:r>
                    <w:t>贮存设施选址要求</w:t>
                  </w:r>
                </w:p>
              </w:tc>
              <w:tc>
                <w:tcPr>
                  <w:tcW w:w="3058" w:type="dxa"/>
                  <w:tcBorders>
                    <w:tl2br w:val="nil"/>
                    <w:tr2bl w:val="nil"/>
                  </w:tcBorders>
                  <w:noWrap w:val="0"/>
                  <w:vAlign w:val="center"/>
                </w:tcPr>
                <w:p w14:paraId="600C9A43">
                  <w:pPr>
                    <w:pStyle w:val="1111"/>
                    <w:bidi w:val="0"/>
                  </w:pPr>
                  <w:r>
                    <w:rPr>
                      <w:rFonts w:hint="eastAsia"/>
                    </w:rPr>
                    <w:t>（1）</w:t>
                  </w:r>
                  <w:r>
                    <w:t>贮存设施选址应满足生态环境保护法律法规、规划和“三线一单”生态环境分区管控的要求，建设项目应依法进行环境影响评价。</w:t>
                  </w:r>
                </w:p>
                <w:p w14:paraId="6ADFF259">
                  <w:pPr>
                    <w:pStyle w:val="1111"/>
                    <w:bidi w:val="0"/>
                  </w:pPr>
                  <w:r>
                    <w:rPr>
                      <w:rFonts w:hint="eastAsia"/>
                    </w:rPr>
                    <w:t>（2）</w:t>
                  </w:r>
                  <w:r>
                    <w:t>集中贮存设施不应选在生态保护红线区域、永久基本农田和其他需要特别保护的区域内，不应建在溶洞区或易遭受洪水、滑坡、泥石流、潮汐等严重自然灾害影响的地区</w:t>
                  </w:r>
                  <w:r>
                    <w:rPr>
                      <w:rFonts w:hint="eastAsia"/>
                    </w:rPr>
                    <w:t>。</w:t>
                  </w:r>
                </w:p>
                <w:p w14:paraId="3058E06F">
                  <w:pPr>
                    <w:pStyle w:val="1111"/>
                    <w:bidi w:val="0"/>
                  </w:pPr>
                  <w:r>
                    <w:rPr>
                      <w:rFonts w:hint="eastAsia"/>
                    </w:rPr>
                    <w:t>（3）</w:t>
                  </w:r>
                  <w:r>
                    <w:t>贮存设施不应选在江河、湖泊、运河、渠道、水库及其最高水位线以下的滩地和岸坡，以及法律法规规定禁止贮存危险废物的其他地点。</w:t>
                  </w:r>
                </w:p>
                <w:p w14:paraId="42B17C83">
                  <w:pPr>
                    <w:pStyle w:val="1111"/>
                    <w:bidi w:val="0"/>
                    <w:rPr>
                      <w:rFonts w:hint="eastAsia"/>
                    </w:rPr>
                  </w:pPr>
                  <w:r>
                    <w:t>（4）贮存设施场址的位置以及其与周围环境敏感目标的距离应依据环境影响评价文件确定。</w:t>
                  </w:r>
                </w:p>
              </w:tc>
              <w:tc>
                <w:tcPr>
                  <w:tcW w:w="2654" w:type="dxa"/>
                  <w:tcBorders>
                    <w:tl2br w:val="nil"/>
                    <w:tr2bl w:val="nil"/>
                  </w:tcBorders>
                  <w:noWrap w:val="0"/>
                  <w:vAlign w:val="center"/>
                </w:tcPr>
                <w:p w14:paraId="06AFD4F6">
                  <w:pPr>
                    <w:pStyle w:val="1111"/>
                    <w:bidi w:val="0"/>
                  </w:pPr>
                  <w:r>
                    <w:rPr>
                      <w:rFonts w:hint="eastAsia"/>
                      <w:lang w:eastAsia="zh-CN"/>
                    </w:rPr>
                    <w:t>（</w:t>
                  </w:r>
                  <w:r>
                    <w:rPr>
                      <w:rFonts w:hint="eastAsia"/>
                      <w:lang w:val="en-US" w:eastAsia="zh-CN"/>
                    </w:rPr>
                    <w:t>1</w:t>
                  </w:r>
                  <w:r>
                    <w:rPr>
                      <w:rFonts w:hint="eastAsia"/>
                      <w:lang w:eastAsia="zh-CN"/>
                    </w:rPr>
                    <w:t>）</w:t>
                  </w:r>
                  <w:r>
                    <w:t>项目</w:t>
                  </w:r>
                  <w:r>
                    <w:rPr>
                      <w:rFonts w:hint="eastAsia"/>
                    </w:rPr>
                    <w:t>选址符合</w:t>
                  </w:r>
                  <w:r>
                    <w:t>满足生态环境保护法律法规、规划和“三线一单”生态环境分区管控的要求。</w:t>
                  </w:r>
                </w:p>
                <w:p w14:paraId="54CA5812">
                  <w:pPr>
                    <w:pStyle w:val="1111"/>
                    <w:bidi w:val="0"/>
                    <w:rPr>
                      <w:rFonts w:hint="eastAsia"/>
                      <w:lang w:eastAsia="zh-CN"/>
                    </w:rPr>
                  </w:pPr>
                  <w:r>
                    <w:rPr>
                      <w:rFonts w:hint="eastAsia"/>
                      <w:lang w:eastAsia="zh-CN"/>
                    </w:rPr>
                    <w:t>（</w:t>
                  </w:r>
                  <w:r>
                    <w:rPr>
                      <w:rFonts w:hint="eastAsia"/>
                      <w:lang w:val="en-US" w:eastAsia="zh-CN"/>
                    </w:rPr>
                    <w:t>2</w:t>
                  </w:r>
                  <w:r>
                    <w:rPr>
                      <w:rFonts w:hint="eastAsia"/>
                      <w:lang w:eastAsia="zh-CN"/>
                    </w:rPr>
                    <w:t>）本项目位于中华药港园区内，不在</w:t>
                  </w:r>
                  <w:r>
                    <w:t>生态保护红线区域、永久基本农田和其他需要特别保护的区域内</w:t>
                  </w:r>
                  <w:r>
                    <w:rPr>
                      <w:rFonts w:hint="eastAsia"/>
                      <w:lang w:eastAsia="zh-CN"/>
                    </w:rPr>
                    <w:t>，也不位于严重自然灾害影响的地区。</w:t>
                  </w:r>
                </w:p>
                <w:p w14:paraId="5438704F">
                  <w:pPr>
                    <w:pStyle w:val="1111"/>
                    <w:bidi w:val="0"/>
                  </w:pPr>
                  <w:r>
                    <w:rPr>
                      <w:rFonts w:hint="eastAsia"/>
                      <w:lang w:eastAsia="zh-CN"/>
                    </w:rPr>
                    <w:t>（</w:t>
                  </w:r>
                  <w:r>
                    <w:rPr>
                      <w:rFonts w:hint="eastAsia"/>
                      <w:lang w:val="en-US" w:eastAsia="zh-CN"/>
                    </w:rPr>
                    <w:t>3</w:t>
                  </w:r>
                  <w:r>
                    <w:rPr>
                      <w:rFonts w:hint="eastAsia"/>
                      <w:lang w:eastAsia="zh-CN"/>
                    </w:rPr>
                    <w:t>）本项目不在</w:t>
                  </w:r>
                  <w:r>
                    <w:t>江河、湖泊、运河、渠道、水库及其最高水位线以下的滩地和岸坡以及法律法规规定禁止贮存危险废物的其他地点</w:t>
                  </w:r>
                </w:p>
                <w:p w14:paraId="5A082404">
                  <w:pPr>
                    <w:pStyle w:val="1111"/>
                    <w:bidi w:val="0"/>
                    <w:rPr>
                      <w:rFonts w:hint="default" w:eastAsia="宋体"/>
                      <w:lang w:val="en-US" w:eastAsia="zh-CN"/>
                    </w:rPr>
                  </w:pPr>
                  <w:r>
                    <w:rPr>
                      <w:rFonts w:hint="eastAsia"/>
                      <w:lang w:eastAsia="zh-CN"/>
                    </w:rPr>
                    <w:t>（</w:t>
                  </w:r>
                  <w:r>
                    <w:rPr>
                      <w:rFonts w:hint="eastAsia"/>
                      <w:lang w:val="en-US" w:eastAsia="zh-CN"/>
                    </w:rPr>
                    <w:t>4</w:t>
                  </w:r>
                  <w:r>
                    <w:rPr>
                      <w:rFonts w:hint="eastAsia"/>
                      <w:lang w:eastAsia="zh-CN"/>
                    </w:rPr>
                    <w:t>）本项目位于中华药港园区内，最近的敏感目标距离为</w:t>
                  </w:r>
                  <w:r>
                    <w:rPr>
                      <w:rFonts w:hint="eastAsia"/>
                      <w:lang w:val="en-US" w:eastAsia="zh-CN"/>
                    </w:rPr>
                    <w:t>454m，满足要求</w:t>
                  </w:r>
                </w:p>
              </w:tc>
              <w:tc>
                <w:tcPr>
                  <w:tcW w:w="696" w:type="dxa"/>
                  <w:tcBorders>
                    <w:tl2br w:val="nil"/>
                    <w:tr2bl w:val="nil"/>
                  </w:tcBorders>
                  <w:noWrap w:val="0"/>
                  <w:vAlign w:val="center"/>
                </w:tcPr>
                <w:p w14:paraId="7506FC54">
                  <w:pPr>
                    <w:pStyle w:val="1111"/>
                    <w:bidi w:val="0"/>
                  </w:pPr>
                  <w:r>
                    <w:t>符合</w:t>
                  </w:r>
                </w:p>
              </w:tc>
            </w:tr>
          </w:tbl>
          <w:p w14:paraId="139336C9">
            <w:pPr>
              <w:pStyle w:val="512"/>
              <w:bidi w:val="0"/>
            </w:pPr>
            <w:r>
              <w:rPr>
                <w:rFonts w:hint="eastAsia"/>
              </w:rPr>
              <w:t>（</w:t>
            </w:r>
            <w:r>
              <w:t>5</w:t>
            </w:r>
            <w:r>
              <w:rPr>
                <w:rFonts w:hint="eastAsia"/>
              </w:rPr>
              <w:t>）</w:t>
            </w:r>
            <w:r>
              <w:rPr>
                <w:rFonts w:hint="eastAsia"/>
                <w:lang w:eastAsia="zh-CN"/>
              </w:rPr>
              <w:t>与</w:t>
            </w:r>
            <w:r>
              <w:t>《危险废物收集、贮存、运输技术规范》（HJ2025-2012）相符性分析</w:t>
            </w:r>
          </w:p>
          <w:p w14:paraId="5E9BD8CF">
            <w:pPr>
              <w:pStyle w:val="512"/>
              <w:bidi w:val="0"/>
            </w:pPr>
            <w:r>
              <w:t>经对比分析，本项目满足《危险废物收集、贮存、运输技术规范》（HJ2025-2012）中相关要求，具体相符性分析见表1-1</w:t>
            </w:r>
            <w:r>
              <w:rPr>
                <w:rFonts w:hint="eastAsia"/>
                <w:lang w:val="en-US" w:eastAsia="zh-CN"/>
              </w:rPr>
              <w:t>2</w:t>
            </w:r>
            <w:r>
              <w:t>。</w:t>
            </w:r>
          </w:p>
          <w:p w14:paraId="7CFA1495">
            <w:pPr>
              <w:pStyle w:val="1111"/>
              <w:bidi w:val="0"/>
            </w:pPr>
            <w:r>
              <w:t>表1-1</w:t>
            </w:r>
            <w:r>
              <w:rPr>
                <w:rFonts w:hint="eastAsia"/>
                <w:lang w:val="en-US" w:eastAsia="zh-CN"/>
              </w:rPr>
              <w:t>2</w:t>
            </w:r>
            <w:r>
              <w:t xml:space="preserve">  与《危险废物收集、贮存、运输技术规范》相符性分析</w:t>
            </w:r>
          </w:p>
          <w:tbl>
            <w:tblPr>
              <w:tblStyle w:val="7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8"/>
              <w:gridCol w:w="2874"/>
              <w:gridCol w:w="2846"/>
              <w:gridCol w:w="697"/>
            </w:tblGrid>
            <w:tr w14:paraId="29F1D3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pct"/>
                  <w:tcBorders>
                    <w:tl2br w:val="nil"/>
                    <w:tr2bl w:val="nil"/>
                  </w:tcBorders>
                  <w:noWrap w:val="0"/>
                  <w:vAlign w:val="center"/>
                </w:tcPr>
                <w:p w14:paraId="78C6C932">
                  <w:pPr>
                    <w:pStyle w:val="1111"/>
                    <w:bidi w:val="0"/>
                  </w:pPr>
                  <w:r>
                    <w:t>项目</w:t>
                  </w:r>
                </w:p>
              </w:tc>
              <w:tc>
                <w:tcPr>
                  <w:tcW w:w="2036" w:type="pct"/>
                  <w:tcBorders>
                    <w:tl2br w:val="nil"/>
                    <w:tr2bl w:val="nil"/>
                  </w:tcBorders>
                  <w:noWrap w:val="0"/>
                  <w:vAlign w:val="center"/>
                </w:tcPr>
                <w:p w14:paraId="2973D984">
                  <w:pPr>
                    <w:pStyle w:val="1111"/>
                    <w:bidi w:val="0"/>
                  </w:pPr>
                  <w:r>
                    <w:t>内容</w:t>
                  </w:r>
                </w:p>
              </w:tc>
              <w:tc>
                <w:tcPr>
                  <w:tcW w:w="2016" w:type="pct"/>
                  <w:tcBorders>
                    <w:tl2br w:val="nil"/>
                    <w:tr2bl w:val="nil"/>
                  </w:tcBorders>
                  <w:noWrap w:val="0"/>
                  <w:vAlign w:val="center"/>
                </w:tcPr>
                <w:p w14:paraId="65047580">
                  <w:pPr>
                    <w:pStyle w:val="1111"/>
                    <w:bidi w:val="0"/>
                  </w:pPr>
                  <w:r>
                    <w:t>本项目情况</w:t>
                  </w:r>
                </w:p>
              </w:tc>
              <w:tc>
                <w:tcPr>
                  <w:tcW w:w="494" w:type="pct"/>
                  <w:tcBorders>
                    <w:tl2br w:val="nil"/>
                    <w:tr2bl w:val="nil"/>
                  </w:tcBorders>
                  <w:noWrap w:val="0"/>
                  <w:vAlign w:val="center"/>
                </w:tcPr>
                <w:p w14:paraId="0DE32801">
                  <w:pPr>
                    <w:pStyle w:val="1111"/>
                    <w:bidi w:val="0"/>
                  </w:pPr>
                  <w:r>
                    <w:t>相符性</w:t>
                  </w:r>
                </w:p>
              </w:tc>
            </w:tr>
            <w:tr w14:paraId="0E7401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pct"/>
                  <w:vMerge w:val="restart"/>
                  <w:tcBorders>
                    <w:tl2br w:val="nil"/>
                    <w:tr2bl w:val="nil"/>
                  </w:tcBorders>
                  <w:noWrap w:val="0"/>
                  <w:vAlign w:val="center"/>
                </w:tcPr>
                <w:p w14:paraId="78397984">
                  <w:pPr>
                    <w:pStyle w:val="1111"/>
                    <w:bidi w:val="0"/>
                  </w:pPr>
                  <w:r>
                    <w:t>危险废物收集、贮存、运输的一般要求</w:t>
                  </w:r>
                </w:p>
              </w:tc>
              <w:tc>
                <w:tcPr>
                  <w:tcW w:w="2036" w:type="pct"/>
                  <w:tcBorders>
                    <w:tl2br w:val="nil"/>
                    <w:tr2bl w:val="nil"/>
                  </w:tcBorders>
                  <w:noWrap w:val="0"/>
                  <w:vAlign w:val="center"/>
                </w:tcPr>
                <w:p w14:paraId="718BB826">
                  <w:pPr>
                    <w:pStyle w:val="1111"/>
                    <w:bidi w:val="0"/>
                  </w:pPr>
                  <w:r>
                    <w:t>从事危险废物收集、贮存、运输经营活动的单位应具有危险废物经营许可证。</w:t>
                  </w:r>
                </w:p>
              </w:tc>
              <w:tc>
                <w:tcPr>
                  <w:tcW w:w="2016" w:type="pct"/>
                  <w:tcBorders>
                    <w:tl2br w:val="nil"/>
                    <w:tr2bl w:val="nil"/>
                  </w:tcBorders>
                  <w:noWrap w:val="0"/>
                  <w:vAlign w:val="center"/>
                </w:tcPr>
                <w:p w14:paraId="2EFA7A1D">
                  <w:pPr>
                    <w:pStyle w:val="1111"/>
                    <w:bidi w:val="0"/>
                  </w:pPr>
                  <w:r>
                    <w:t>本项目</w:t>
                  </w:r>
                  <w:r>
                    <w:rPr>
                      <w:rFonts w:hint="eastAsia"/>
                      <w:lang w:eastAsia="zh-CN"/>
                    </w:rPr>
                    <w:t>属于危险废物贮存项目</w:t>
                  </w:r>
                  <w:r>
                    <w:t>，</w:t>
                  </w:r>
                  <w:r>
                    <w:rPr>
                      <w:rFonts w:hint="eastAsia"/>
                      <w:lang w:eastAsia="zh-CN"/>
                    </w:rPr>
                    <w:t>企业</w:t>
                  </w:r>
                  <w:r>
                    <w:t>需取得危险废物经营许可证。</w:t>
                  </w:r>
                </w:p>
              </w:tc>
              <w:tc>
                <w:tcPr>
                  <w:tcW w:w="494" w:type="pct"/>
                  <w:tcBorders>
                    <w:tl2br w:val="nil"/>
                    <w:tr2bl w:val="nil"/>
                  </w:tcBorders>
                  <w:noWrap w:val="0"/>
                  <w:vAlign w:val="center"/>
                </w:tcPr>
                <w:p w14:paraId="7C9D2D30">
                  <w:pPr>
                    <w:pStyle w:val="1111"/>
                    <w:bidi w:val="0"/>
                  </w:pPr>
                  <w:r>
                    <w:t>符合</w:t>
                  </w:r>
                </w:p>
              </w:tc>
            </w:tr>
            <w:tr w14:paraId="39095E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pct"/>
                  <w:vMerge w:val="continue"/>
                  <w:tcBorders>
                    <w:tl2br w:val="nil"/>
                    <w:tr2bl w:val="nil"/>
                  </w:tcBorders>
                  <w:noWrap w:val="0"/>
                  <w:vAlign w:val="center"/>
                </w:tcPr>
                <w:p w14:paraId="3CEB77C1">
                  <w:pPr>
                    <w:pStyle w:val="1111"/>
                    <w:bidi w:val="0"/>
                  </w:pPr>
                </w:p>
              </w:tc>
              <w:tc>
                <w:tcPr>
                  <w:tcW w:w="2036" w:type="pct"/>
                  <w:tcBorders>
                    <w:tl2br w:val="nil"/>
                    <w:tr2bl w:val="nil"/>
                  </w:tcBorders>
                  <w:noWrap w:val="0"/>
                  <w:vAlign w:val="center"/>
                </w:tcPr>
                <w:p w14:paraId="7061ADB4">
                  <w:pPr>
                    <w:pStyle w:val="1111"/>
                    <w:bidi w:val="0"/>
                  </w:pPr>
                  <w:r>
                    <w:t>危险废物转移过程应按《危险废物转移联单管理办法》执行。</w:t>
                  </w:r>
                </w:p>
              </w:tc>
              <w:tc>
                <w:tcPr>
                  <w:tcW w:w="2016" w:type="pct"/>
                  <w:tcBorders>
                    <w:tl2br w:val="nil"/>
                    <w:tr2bl w:val="nil"/>
                  </w:tcBorders>
                  <w:noWrap w:val="0"/>
                  <w:vAlign w:val="center"/>
                </w:tcPr>
                <w:p w14:paraId="18A456D6">
                  <w:pPr>
                    <w:pStyle w:val="1111"/>
                    <w:bidi w:val="0"/>
                  </w:pPr>
                  <w:r>
                    <w:t>本项目危险废物转移过程严格按照《危险废物转移联单管理办法》执行。</w:t>
                  </w:r>
                </w:p>
              </w:tc>
              <w:tc>
                <w:tcPr>
                  <w:tcW w:w="494" w:type="pct"/>
                  <w:tcBorders>
                    <w:tl2br w:val="nil"/>
                    <w:tr2bl w:val="nil"/>
                  </w:tcBorders>
                  <w:noWrap w:val="0"/>
                  <w:vAlign w:val="center"/>
                </w:tcPr>
                <w:p w14:paraId="5F1E9555">
                  <w:pPr>
                    <w:pStyle w:val="1111"/>
                    <w:bidi w:val="0"/>
                  </w:pPr>
                  <w:r>
                    <w:t>符合</w:t>
                  </w:r>
                </w:p>
              </w:tc>
            </w:tr>
            <w:tr w14:paraId="38705E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pct"/>
                  <w:vMerge w:val="continue"/>
                  <w:tcBorders>
                    <w:tl2br w:val="nil"/>
                    <w:tr2bl w:val="nil"/>
                  </w:tcBorders>
                  <w:noWrap w:val="0"/>
                  <w:vAlign w:val="center"/>
                </w:tcPr>
                <w:p w14:paraId="61FB9D24">
                  <w:pPr>
                    <w:pStyle w:val="1111"/>
                    <w:bidi w:val="0"/>
                  </w:pPr>
                </w:p>
              </w:tc>
              <w:tc>
                <w:tcPr>
                  <w:tcW w:w="2036" w:type="pct"/>
                  <w:tcBorders>
                    <w:tl2br w:val="nil"/>
                    <w:tr2bl w:val="nil"/>
                  </w:tcBorders>
                  <w:noWrap w:val="0"/>
                  <w:vAlign w:val="center"/>
                </w:tcPr>
                <w:p w14:paraId="7A051918">
                  <w:pPr>
                    <w:pStyle w:val="1111"/>
                    <w:bidi w:val="0"/>
                  </w:pPr>
                  <w:r>
                    <w:t>危险废物收集、贮存、运输单位应建立规范的管理和技术人员培训制度，定期针对管理和技术人员进行培训。</w:t>
                  </w:r>
                </w:p>
              </w:tc>
              <w:tc>
                <w:tcPr>
                  <w:tcW w:w="2016" w:type="pct"/>
                  <w:tcBorders>
                    <w:tl2br w:val="nil"/>
                    <w:tr2bl w:val="nil"/>
                  </w:tcBorders>
                  <w:noWrap w:val="0"/>
                  <w:vAlign w:val="center"/>
                </w:tcPr>
                <w:p w14:paraId="6709F157">
                  <w:pPr>
                    <w:pStyle w:val="1111"/>
                    <w:bidi w:val="0"/>
                  </w:pPr>
                  <w:r>
                    <w:t>本项目建成后，将建立规范的管理和技术人员培训制度，定期针对管理和技术人员进行培训。</w:t>
                  </w:r>
                </w:p>
              </w:tc>
              <w:tc>
                <w:tcPr>
                  <w:tcW w:w="494" w:type="pct"/>
                  <w:tcBorders>
                    <w:tl2br w:val="nil"/>
                    <w:tr2bl w:val="nil"/>
                  </w:tcBorders>
                  <w:noWrap w:val="0"/>
                  <w:vAlign w:val="center"/>
                </w:tcPr>
                <w:p w14:paraId="2527238C">
                  <w:pPr>
                    <w:pStyle w:val="1111"/>
                    <w:bidi w:val="0"/>
                  </w:pPr>
                  <w:r>
                    <w:t>符合</w:t>
                  </w:r>
                </w:p>
              </w:tc>
            </w:tr>
            <w:tr w14:paraId="561A9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pct"/>
                  <w:vMerge w:val="continue"/>
                  <w:tcBorders>
                    <w:tl2br w:val="nil"/>
                    <w:tr2bl w:val="nil"/>
                  </w:tcBorders>
                  <w:noWrap w:val="0"/>
                  <w:vAlign w:val="center"/>
                </w:tcPr>
                <w:p w14:paraId="1FC026BA">
                  <w:pPr>
                    <w:pStyle w:val="1111"/>
                    <w:bidi w:val="0"/>
                  </w:pPr>
                </w:p>
              </w:tc>
              <w:tc>
                <w:tcPr>
                  <w:tcW w:w="2036" w:type="pct"/>
                  <w:tcBorders>
                    <w:tl2br w:val="nil"/>
                    <w:tr2bl w:val="nil"/>
                  </w:tcBorders>
                  <w:noWrap w:val="0"/>
                  <w:vAlign w:val="center"/>
                </w:tcPr>
                <w:p w14:paraId="6CBF5161">
                  <w:pPr>
                    <w:pStyle w:val="1111"/>
                    <w:bidi w:val="0"/>
                  </w:pPr>
                  <w:r>
                    <w:t>危险废物收集、贮存、运输单位应编制应急预案。</w:t>
                  </w:r>
                </w:p>
              </w:tc>
              <w:tc>
                <w:tcPr>
                  <w:tcW w:w="2016" w:type="pct"/>
                  <w:tcBorders>
                    <w:tl2br w:val="nil"/>
                    <w:tr2bl w:val="nil"/>
                  </w:tcBorders>
                  <w:noWrap w:val="0"/>
                  <w:vAlign w:val="center"/>
                </w:tcPr>
                <w:p w14:paraId="0AEE8AC0">
                  <w:pPr>
                    <w:pStyle w:val="1111"/>
                    <w:bidi w:val="0"/>
                  </w:pPr>
                  <w:r>
                    <w:t>建设单位后期需编制应急预案。</w:t>
                  </w:r>
                </w:p>
              </w:tc>
              <w:tc>
                <w:tcPr>
                  <w:tcW w:w="494" w:type="pct"/>
                  <w:tcBorders>
                    <w:tl2br w:val="nil"/>
                    <w:tr2bl w:val="nil"/>
                  </w:tcBorders>
                  <w:noWrap w:val="0"/>
                  <w:vAlign w:val="center"/>
                </w:tcPr>
                <w:p w14:paraId="3CD17143">
                  <w:pPr>
                    <w:pStyle w:val="1111"/>
                    <w:bidi w:val="0"/>
                  </w:pPr>
                  <w:r>
                    <w:t>符合</w:t>
                  </w:r>
                </w:p>
              </w:tc>
            </w:tr>
            <w:tr w14:paraId="0752C2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pct"/>
                  <w:vMerge w:val="continue"/>
                  <w:tcBorders>
                    <w:tl2br w:val="nil"/>
                    <w:tr2bl w:val="nil"/>
                  </w:tcBorders>
                  <w:noWrap w:val="0"/>
                  <w:vAlign w:val="center"/>
                </w:tcPr>
                <w:p w14:paraId="68F46440">
                  <w:pPr>
                    <w:pStyle w:val="1111"/>
                    <w:bidi w:val="0"/>
                  </w:pPr>
                </w:p>
              </w:tc>
              <w:tc>
                <w:tcPr>
                  <w:tcW w:w="2036" w:type="pct"/>
                  <w:tcBorders>
                    <w:tl2br w:val="nil"/>
                    <w:tr2bl w:val="nil"/>
                  </w:tcBorders>
                  <w:noWrap w:val="0"/>
                  <w:vAlign w:val="center"/>
                </w:tcPr>
                <w:p w14:paraId="54BBCF59">
                  <w:pPr>
                    <w:pStyle w:val="1111"/>
                    <w:bidi w:val="0"/>
                  </w:pPr>
                  <w:r>
                    <w:t>危险废物收集、贮存、运输时应按腐蚀性、毒性、易燃性、反应性和感染性等危险特性对危险废物进行分类、包装并设置相应的标志及标签。</w:t>
                  </w:r>
                </w:p>
              </w:tc>
              <w:tc>
                <w:tcPr>
                  <w:tcW w:w="2016" w:type="pct"/>
                  <w:tcBorders>
                    <w:tl2br w:val="nil"/>
                    <w:tr2bl w:val="nil"/>
                  </w:tcBorders>
                  <w:noWrap w:val="0"/>
                  <w:vAlign w:val="center"/>
                </w:tcPr>
                <w:p w14:paraId="3255875E">
                  <w:pPr>
                    <w:pStyle w:val="1111"/>
                    <w:bidi w:val="0"/>
                  </w:pPr>
                  <w:r>
                    <w:t>本项目危险废物按腐蚀性、毒性、易燃性、反应性和感染性等危险特性进行分类、包装并设置相应的标志及标签。</w:t>
                  </w:r>
                </w:p>
              </w:tc>
              <w:tc>
                <w:tcPr>
                  <w:tcW w:w="494" w:type="pct"/>
                  <w:tcBorders>
                    <w:tl2br w:val="nil"/>
                    <w:tr2bl w:val="nil"/>
                  </w:tcBorders>
                  <w:noWrap w:val="0"/>
                  <w:vAlign w:val="center"/>
                </w:tcPr>
                <w:p w14:paraId="0E2ABC1C">
                  <w:pPr>
                    <w:pStyle w:val="1111"/>
                    <w:bidi w:val="0"/>
                  </w:pPr>
                  <w:r>
                    <w:t>符合</w:t>
                  </w:r>
                </w:p>
              </w:tc>
            </w:tr>
          </w:tbl>
          <w:p w14:paraId="5C40FFE7">
            <w:pPr>
              <w:pStyle w:val="512"/>
              <w:bidi w:val="0"/>
            </w:pPr>
            <w:r>
              <w:rPr>
                <w:rFonts w:hint="eastAsia"/>
              </w:rPr>
              <w:t>（</w:t>
            </w:r>
            <w:r>
              <w:t>6</w:t>
            </w:r>
            <w:r>
              <w:rPr>
                <w:rFonts w:hint="eastAsia"/>
              </w:rPr>
              <w:t>）</w:t>
            </w:r>
            <w:r>
              <w:rPr>
                <w:rFonts w:hint="eastAsia"/>
                <w:lang w:eastAsia="zh-CN"/>
              </w:rPr>
              <w:t>与</w:t>
            </w:r>
            <w:r>
              <w:t>《江苏省大气污染防治条例》相符性分析</w:t>
            </w:r>
          </w:p>
          <w:p w14:paraId="443D2A41">
            <w:pPr>
              <w:pStyle w:val="512"/>
              <w:bidi w:val="0"/>
            </w:pPr>
            <w:r>
              <w:t>经对比分析，本项目符合《江苏省大气污染防治条例》（2018年5月1日）中相关要求，具体相符性分析见表1-</w:t>
            </w:r>
            <w:r>
              <w:rPr>
                <w:rFonts w:hint="eastAsia"/>
                <w:lang w:val="en-US" w:eastAsia="zh-CN"/>
              </w:rPr>
              <w:t>13</w:t>
            </w:r>
            <w:r>
              <w:t>。</w:t>
            </w:r>
          </w:p>
          <w:p w14:paraId="18CF97E0">
            <w:pPr>
              <w:pStyle w:val="1111"/>
              <w:bidi w:val="0"/>
            </w:pPr>
            <w:r>
              <w:t>表1-1</w:t>
            </w:r>
            <w:r>
              <w:rPr>
                <w:rFonts w:hint="eastAsia"/>
                <w:lang w:val="en-US" w:eastAsia="zh-CN"/>
              </w:rPr>
              <w:t>3</w:t>
            </w:r>
            <w:r>
              <w:t xml:space="preserve">  与《江苏省大气污染防治条例》相符性分析</w:t>
            </w:r>
          </w:p>
          <w:tbl>
            <w:tblPr>
              <w:tblStyle w:val="7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1"/>
              <w:gridCol w:w="2284"/>
              <w:gridCol w:w="2723"/>
              <w:gridCol w:w="847"/>
            </w:tblGrid>
            <w:tr w14:paraId="596518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tcBorders>
                    <w:tl2br w:val="nil"/>
                    <w:tr2bl w:val="nil"/>
                  </w:tcBorders>
                  <w:noWrap w:val="0"/>
                  <w:vAlign w:val="center"/>
                </w:tcPr>
                <w:p w14:paraId="49B678B1">
                  <w:pPr>
                    <w:pStyle w:val="1111"/>
                    <w:bidi w:val="0"/>
                  </w:pPr>
                  <w:r>
                    <w:t>条例名称</w:t>
                  </w:r>
                </w:p>
              </w:tc>
              <w:tc>
                <w:tcPr>
                  <w:tcW w:w="1618" w:type="pct"/>
                  <w:tcBorders>
                    <w:tl2br w:val="nil"/>
                    <w:tr2bl w:val="nil"/>
                  </w:tcBorders>
                  <w:noWrap w:val="0"/>
                  <w:vAlign w:val="center"/>
                </w:tcPr>
                <w:p w14:paraId="1921F3D1">
                  <w:pPr>
                    <w:pStyle w:val="1111"/>
                    <w:bidi w:val="0"/>
                  </w:pPr>
                  <w:r>
                    <w:t>条例要求</w:t>
                  </w:r>
                </w:p>
              </w:tc>
              <w:tc>
                <w:tcPr>
                  <w:tcW w:w="1929" w:type="pct"/>
                  <w:tcBorders>
                    <w:tl2br w:val="nil"/>
                    <w:tr2bl w:val="nil"/>
                  </w:tcBorders>
                  <w:noWrap w:val="0"/>
                  <w:vAlign w:val="center"/>
                </w:tcPr>
                <w:p w14:paraId="2BE899E8">
                  <w:pPr>
                    <w:pStyle w:val="1111"/>
                    <w:bidi w:val="0"/>
                  </w:pPr>
                  <w:r>
                    <w:t>本项目情况</w:t>
                  </w:r>
                </w:p>
              </w:tc>
              <w:tc>
                <w:tcPr>
                  <w:tcW w:w="600" w:type="pct"/>
                  <w:tcBorders>
                    <w:tl2br w:val="nil"/>
                    <w:tr2bl w:val="nil"/>
                  </w:tcBorders>
                  <w:noWrap w:val="0"/>
                  <w:vAlign w:val="center"/>
                </w:tcPr>
                <w:p w14:paraId="2ABBF0FF">
                  <w:pPr>
                    <w:pStyle w:val="1111"/>
                    <w:bidi w:val="0"/>
                  </w:pPr>
                  <w:r>
                    <w:t>相符性</w:t>
                  </w:r>
                </w:p>
              </w:tc>
            </w:tr>
            <w:tr w14:paraId="7420B1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tcBorders>
                    <w:tl2br w:val="nil"/>
                    <w:tr2bl w:val="nil"/>
                  </w:tcBorders>
                  <w:noWrap w:val="0"/>
                  <w:vAlign w:val="center"/>
                </w:tcPr>
                <w:p w14:paraId="2C8C529E">
                  <w:pPr>
                    <w:pStyle w:val="1111"/>
                    <w:bidi w:val="0"/>
                  </w:pPr>
                  <w:r>
                    <w:t>《江苏省大气污染防治条例》</w:t>
                  </w:r>
                </w:p>
              </w:tc>
              <w:tc>
                <w:tcPr>
                  <w:tcW w:w="1618" w:type="pct"/>
                  <w:tcBorders>
                    <w:tl2br w:val="nil"/>
                    <w:tr2bl w:val="nil"/>
                  </w:tcBorders>
                  <w:noWrap w:val="0"/>
                  <w:vAlign w:val="center"/>
                </w:tcPr>
                <w:p w14:paraId="4B75F102">
                  <w:pPr>
                    <w:pStyle w:val="1111"/>
                    <w:bidi w:val="0"/>
                  </w:pPr>
                  <w:r>
                    <w:t>运输、装卸、贮存可能散发有毒有害大气污染物的物料，应当采取密闭措施或者其他防护措施。</w:t>
                  </w:r>
                </w:p>
              </w:tc>
              <w:tc>
                <w:tcPr>
                  <w:tcW w:w="1929" w:type="pct"/>
                  <w:tcBorders>
                    <w:tl2br w:val="nil"/>
                    <w:tr2bl w:val="nil"/>
                  </w:tcBorders>
                  <w:noWrap w:val="0"/>
                  <w:vAlign w:val="center"/>
                </w:tcPr>
                <w:p w14:paraId="058CFF2D">
                  <w:pPr>
                    <w:pStyle w:val="1111"/>
                    <w:bidi w:val="0"/>
                  </w:pPr>
                  <w:r>
                    <w:t>本项目正常运行情况</w:t>
                  </w:r>
                  <w:r>
                    <w:rPr>
                      <w:rFonts w:hint="eastAsia"/>
                    </w:rPr>
                    <w:t>废气经</w:t>
                  </w:r>
                  <w:r>
                    <w:t>“</w:t>
                  </w:r>
                  <w:r>
                    <w:rPr>
                      <w:rFonts w:hint="eastAsia"/>
                      <w:lang w:eastAsia="zh-CN"/>
                    </w:rPr>
                    <w:t>一级碱喷淋</w:t>
                  </w:r>
                  <w:r>
                    <w:rPr>
                      <w:rFonts w:hint="eastAsia"/>
                      <w:lang w:val="en-US" w:eastAsia="zh-CN"/>
                    </w:rPr>
                    <w:t>+一级</w:t>
                  </w:r>
                  <w:r>
                    <w:t>活性炭吸附”设施</w:t>
                  </w:r>
                  <w:r>
                    <w:rPr>
                      <w:rFonts w:hint="eastAsia"/>
                    </w:rPr>
                    <w:t>处理后达标排放，运输过程中盛装危险废物的包装袋或容器均无破损，装卸过程采取专业操作流程，做到轻拿轻放，保证货物不倾泻、翻出</w:t>
                  </w:r>
                  <w:r>
                    <w:t>。</w:t>
                  </w:r>
                </w:p>
              </w:tc>
              <w:tc>
                <w:tcPr>
                  <w:tcW w:w="600" w:type="pct"/>
                  <w:tcBorders>
                    <w:tl2br w:val="nil"/>
                    <w:tr2bl w:val="nil"/>
                  </w:tcBorders>
                  <w:noWrap w:val="0"/>
                  <w:vAlign w:val="center"/>
                </w:tcPr>
                <w:p w14:paraId="4D305C95">
                  <w:pPr>
                    <w:pStyle w:val="1111"/>
                    <w:bidi w:val="0"/>
                  </w:pPr>
                  <w:r>
                    <w:t>符合</w:t>
                  </w:r>
                </w:p>
              </w:tc>
            </w:tr>
          </w:tbl>
          <w:p w14:paraId="7DF42E5B">
            <w:pPr>
              <w:pStyle w:val="512"/>
              <w:bidi w:val="0"/>
              <w:rPr>
                <w:rFonts w:hint="default"/>
                <w:lang w:val="en-US" w:eastAsia="zh-CN"/>
              </w:rPr>
            </w:pPr>
            <w:r>
              <w:rPr>
                <w:rFonts w:hint="eastAsia"/>
                <w:lang w:eastAsia="zh-CN"/>
              </w:rPr>
              <w:t>（</w:t>
            </w:r>
            <w:r>
              <w:rPr>
                <w:rFonts w:hint="eastAsia"/>
                <w:lang w:val="en-US" w:eastAsia="zh-CN"/>
              </w:rPr>
              <w:t>7</w:t>
            </w:r>
            <w:r>
              <w:rPr>
                <w:rFonts w:hint="eastAsia"/>
                <w:lang w:eastAsia="zh-CN"/>
              </w:rPr>
              <w:t>）与《</w:t>
            </w:r>
            <w:r>
              <w:rPr>
                <w:rFonts w:hint="eastAsia"/>
              </w:rPr>
              <w:t>连云港经济技术开发区“无废城市”建设实施方案（2023—2025年）</w:t>
            </w:r>
            <w:r>
              <w:rPr>
                <w:rFonts w:hint="eastAsia"/>
                <w:lang w:eastAsia="zh-CN"/>
              </w:rPr>
              <w:t>》相符性分析</w:t>
            </w:r>
          </w:p>
          <w:p w14:paraId="11609BAE">
            <w:pPr>
              <w:pStyle w:val="512"/>
              <w:bidi w:val="0"/>
            </w:pPr>
            <w:r>
              <w:rPr>
                <w:rFonts w:hint="eastAsia"/>
                <w:lang w:eastAsia="zh-CN"/>
              </w:rPr>
              <w:t>《</w:t>
            </w:r>
            <w:r>
              <w:rPr>
                <w:rFonts w:hint="eastAsia"/>
              </w:rPr>
              <w:t>连云港经济技术开发区“无废城市”建设实施方案（2023—2025年）</w:t>
            </w:r>
            <w:r>
              <w:rPr>
                <w:rFonts w:hint="eastAsia"/>
                <w:lang w:eastAsia="zh-CN"/>
              </w:rPr>
              <w:t>》要求</w:t>
            </w:r>
            <w:r>
              <w:t>完善危险废物收集体系建设。健全小微企业危险废物、教育科研、检测检验机构等实验室废物、小型医疗机构医疗废物、汽修行业废矿物油、废铅蓄电池等危险废物集中收集、贮存、转运体系，推动社会源危险废物回收网络建设，对生活垃圾分出的危险废物进行分类收集、无害化处置，实现全区域覆盖、全种类收集、全流程监控。推动建设中华药港核心区危险废物集中收集点。完善医疗废物收集转运处置体系，推动建设开发区医疗废物集中收集、中转设施。</w:t>
            </w:r>
          </w:p>
          <w:p w14:paraId="2154AE91">
            <w:pPr>
              <w:pStyle w:val="512"/>
              <w:bidi w:val="0"/>
              <w:rPr>
                <w:rFonts w:hint="eastAsia" w:eastAsia="宋体"/>
                <w:lang w:eastAsia="zh-CN"/>
              </w:rPr>
            </w:pPr>
            <w:r>
              <w:rPr>
                <w:rFonts w:hint="eastAsia"/>
                <w:lang w:eastAsia="zh-CN"/>
              </w:rPr>
              <w:t>本项目为危险废物收集存储项目。</w:t>
            </w:r>
            <w:r>
              <w:t>本项目</w:t>
            </w:r>
            <w:r>
              <w:rPr>
                <w:rFonts w:hint="eastAsia"/>
                <w:lang w:eastAsia="zh-CN"/>
              </w:rPr>
              <w:t>对中华药港园区内企业和连云港市小微企业</w:t>
            </w:r>
            <w:r>
              <w:rPr>
                <w:rFonts w:hint="eastAsia"/>
                <w:lang w:val="en-US" w:eastAsia="zh-CN"/>
              </w:rPr>
              <w:t>以及</w:t>
            </w:r>
            <w:r>
              <w:t>科研院所、高等学校、各类检测机构、机动车维修机构、加油站等</w:t>
            </w:r>
            <w:r>
              <w:rPr>
                <w:rFonts w:hint="eastAsia"/>
                <w:lang w:eastAsia="zh-CN"/>
              </w:rPr>
              <w:t>产生的危险废物进行集中收集、贮存和委托处置。本项目收集范围为全连云港市，</w:t>
            </w:r>
            <w:r>
              <w:rPr>
                <w:rFonts w:hint="eastAsia"/>
                <w:lang w:val="en-US" w:eastAsia="zh-CN"/>
              </w:rPr>
              <w:t>在中华药港外产废单位收集的危险废物直接转运至有资质利用处置单位，不在危废库贮存</w:t>
            </w:r>
            <w:r>
              <w:rPr>
                <w:rFonts w:hint="eastAsia"/>
                <w:bCs/>
                <w:sz w:val="24"/>
                <w:szCs w:val="24"/>
                <w:lang w:eastAsia="zh-CN" w:bidi="ar"/>
              </w:rPr>
              <w:t>；</w:t>
            </w:r>
            <w:r>
              <w:rPr>
                <w:rFonts w:hint="eastAsia"/>
                <w:lang w:val="en-US" w:eastAsia="zh-CN"/>
              </w:rPr>
              <w:t>中华药港企业产生的危险废物于危废库暂存，危废达到规定存量后转移出库。本项目符合“无废城市”建设实施方案的要求。</w:t>
            </w:r>
          </w:p>
        </w:tc>
      </w:tr>
    </w:tbl>
    <w:p w14:paraId="2F71FE75">
      <w:pPr>
        <w:spacing w:line="360" w:lineRule="auto"/>
        <w:outlineLvl w:val="0"/>
        <w:rPr>
          <w:sz w:val="30"/>
        </w:rPr>
        <w:sectPr>
          <w:footerReference r:id="rId7" w:type="default"/>
          <w:pgSz w:w="11906" w:h="16838"/>
          <w:pgMar w:top="1440" w:right="1800" w:bottom="1440" w:left="1800" w:header="851" w:footer="1077" w:gutter="0"/>
          <w:pgBorders>
            <w:top w:val="none" w:sz="0" w:space="0"/>
            <w:left w:val="none" w:sz="0" w:space="0"/>
            <w:bottom w:val="none" w:sz="0" w:space="0"/>
            <w:right w:val="none" w:sz="0" w:space="0"/>
          </w:pgBorders>
          <w:pgNumType w:start="1"/>
          <w:cols w:space="720" w:num="1"/>
          <w:docGrid w:linePitch="312" w:charSpace="0"/>
        </w:sectPr>
      </w:pPr>
    </w:p>
    <w:p w14:paraId="7DDBC35D">
      <w:pPr>
        <w:pStyle w:val="71"/>
        <w:outlineLvl w:val="0"/>
        <w:rPr>
          <w:rFonts w:ascii="Times New Roman" w:hAnsi="Times New Roman"/>
          <w:snapToGrid w:val="0"/>
          <w:sz w:val="30"/>
          <w:szCs w:val="30"/>
        </w:rPr>
      </w:pPr>
      <w:r>
        <w:rPr>
          <w:rFonts w:ascii="Times New Roman" w:hAnsi="Times New Roman"/>
          <w:snapToGrid w:val="0"/>
          <w:sz w:val="30"/>
          <w:szCs w:val="30"/>
        </w:rPr>
        <w:t>二</w:t>
      </w:r>
      <w:r>
        <w:rPr>
          <w:rFonts w:hint="eastAsia" w:ascii="Times New Roman" w:hAnsi="Times New Roman" w:eastAsia="微软雅黑"/>
          <w:snapToGrid w:val="0"/>
          <w:sz w:val="30"/>
          <w:szCs w:val="30"/>
          <w:lang w:eastAsia="zh-CN"/>
        </w:rPr>
        <w:t>、</w:t>
      </w:r>
      <w:r>
        <w:rPr>
          <w:rFonts w:ascii="Times New Roman" w:hAnsi="Times New Roman"/>
          <w:snapToGrid w:val="0"/>
          <w:sz w:val="30"/>
          <w:szCs w:val="30"/>
        </w:rPr>
        <w:t>建设项目工程分析</w:t>
      </w:r>
    </w:p>
    <w:tbl>
      <w:tblPr>
        <w:tblStyle w:val="77"/>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371"/>
        <w:gridCol w:w="8151"/>
      </w:tblGrid>
      <w:tr w14:paraId="060EC2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23" w:hRule="atLeast"/>
          <w:jc w:val="center"/>
        </w:trPr>
        <w:tc>
          <w:tcPr>
            <w:tcW w:w="264" w:type="pct"/>
            <w:vAlign w:val="center"/>
          </w:tcPr>
          <w:p w14:paraId="430369B3">
            <w:pPr>
              <w:pStyle w:val="71"/>
              <w:adjustRightInd w:val="0"/>
              <w:snapToGrid w:val="0"/>
              <w:spacing w:before="0" w:beforeAutospacing="0" w:after="0" w:afterAutospacing="0"/>
              <w:jc w:val="center"/>
              <w:rPr>
                <w:rFonts w:ascii="Times New Roman" w:hAnsi="Times New Roman"/>
                <w:szCs w:val="24"/>
              </w:rPr>
            </w:pPr>
            <w:bookmarkStart w:id="6" w:name="_Hlk61530846"/>
            <w:r>
              <w:rPr>
                <w:rFonts w:ascii="Times New Roman" w:hAnsi="Times New Roman"/>
                <w:szCs w:val="24"/>
              </w:rPr>
              <w:t>建设内容</w:t>
            </w:r>
          </w:p>
        </w:tc>
        <w:tc>
          <w:tcPr>
            <w:tcW w:w="4735" w:type="pct"/>
            <w:vAlign w:val="center"/>
          </w:tcPr>
          <w:p w14:paraId="75A59B0D">
            <w:pPr>
              <w:pStyle w:val="512"/>
              <w:bidi w:val="0"/>
            </w:pPr>
            <w:r>
              <w:rPr>
                <w:rFonts w:hint="eastAsia"/>
              </w:rPr>
              <w:t>1、项目由来</w:t>
            </w:r>
          </w:p>
          <w:p w14:paraId="41408A81">
            <w:pPr>
              <w:pStyle w:val="512"/>
              <w:bidi w:val="0"/>
            </w:pPr>
            <w:r>
              <w:t>为贯彻落实《中</w:t>
            </w:r>
            <w:r>
              <w:rPr>
                <w:bCs/>
                <w:color w:val="000000"/>
              </w:rPr>
              <w:t>华人民共和国固体废物污染环境防治法》，按照《强化危险废物监管和利用处置能力改革实施方案》（国办函[2021]47号）关于开展工业园区危险废物集中收集贮存试点等有关要求，统筹兼顾小微企业危险废物收集，生态环境部办公厅于2022年印发了《关于开展小微企业危险废</w:t>
            </w:r>
            <w:r>
              <w:t>物收集试点的通知》（环办固体函[2022]66号）。</w:t>
            </w:r>
          </w:p>
          <w:p w14:paraId="659C9EF7">
            <w:pPr>
              <w:pStyle w:val="512"/>
              <w:bidi w:val="0"/>
            </w:pPr>
            <w:r>
              <w:t>为进一步推动全省危险废物集中收集体系建设，在总结各地试点工作的基础上，江苏省生态环境厅于2021年印发了《省生态环境厅关于印发&lt;江苏省危险废物集中收集体系建设工作方案（试行）&gt;的通知》（苏环办[2021]290号）</w:t>
            </w:r>
            <w:r>
              <w:rPr>
                <w:rFonts w:hint="eastAsia"/>
              </w:rPr>
              <w:t>、</w:t>
            </w:r>
            <w:r>
              <w:t>《省生态环境厅关于印发江苏省危险废物集中收集贮存试点工作方案的通知》</w:t>
            </w:r>
            <w:r>
              <w:rPr>
                <w:rFonts w:hint="eastAsia"/>
                <w:lang w:eastAsia="zh-CN"/>
              </w:rPr>
              <w:t>（</w:t>
            </w:r>
            <w:r>
              <w:t>苏环办[2019]390号</w:t>
            </w:r>
            <w:r>
              <w:rPr>
                <w:rFonts w:hint="eastAsia"/>
                <w:lang w:eastAsia="zh-CN"/>
              </w:rPr>
              <w:t>）</w:t>
            </w:r>
            <w:r>
              <w:t>。</w:t>
            </w:r>
          </w:p>
          <w:p w14:paraId="55A06E91">
            <w:pPr>
              <w:pStyle w:val="512"/>
              <w:bidi w:val="0"/>
              <w:rPr>
                <w:rFonts w:hint="eastAsia" w:ascii="Times New Roman" w:eastAsia="宋体"/>
                <w:sz w:val="24"/>
                <w:szCs w:val="24"/>
                <w:lang w:val="en-US" w:eastAsia="zh-CN"/>
              </w:rPr>
            </w:pPr>
            <w:r>
              <w:rPr>
                <w:rFonts w:hint="eastAsia"/>
                <w:lang w:val="en-US" w:eastAsia="zh-CN"/>
              </w:rPr>
              <w:t>2023年，</w:t>
            </w:r>
            <w:r>
              <w:rPr>
                <w:rFonts w:hint="eastAsia"/>
                <w:lang w:eastAsia="zh-CN"/>
              </w:rPr>
              <w:t>江苏鑫科医药投资发展</w:t>
            </w:r>
            <w:r>
              <w:t>有限公司</w:t>
            </w:r>
            <w:r>
              <w:rPr>
                <w:rFonts w:hint="eastAsia"/>
                <w:lang w:eastAsia="zh-CN"/>
              </w:rPr>
              <w:t>（以下简称“江苏鑫科”）利用中华药港已建</w:t>
            </w:r>
            <w:r>
              <w:rPr>
                <w:rFonts w:ascii="Times New Roman" w:eastAsia="宋体"/>
                <w:bCs/>
                <w:sz w:val="24"/>
                <w:lang w:bidi="ar"/>
              </w:rPr>
              <w:t>6#危险品库、7#危废品库</w:t>
            </w:r>
            <w:r>
              <w:rPr>
                <w:rFonts w:hint="eastAsia" w:ascii="Times New Roman" w:eastAsia="宋体"/>
                <w:bCs/>
                <w:sz w:val="24"/>
                <w:lang w:eastAsia="zh-CN" w:bidi="ar"/>
              </w:rPr>
              <w:t>建设了</w:t>
            </w:r>
            <w:r>
              <w:rPr>
                <w:rFonts w:ascii="Times New Roman" w:eastAsia="宋体"/>
                <w:sz w:val="24"/>
                <w:szCs w:val="24"/>
              </w:rPr>
              <w:t>高端化学制剂产业园项目-仓库</w:t>
            </w:r>
            <w:r>
              <w:rPr>
                <w:rFonts w:hint="eastAsia" w:ascii="Times New Roman" w:eastAsia="宋体"/>
                <w:sz w:val="24"/>
                <w:szCs w:val="24"/>
                <w:lang w:eastAsia="zh-CN"/>
              </w:rPr>
              <w:t>项目（项目代码：</w:t>
            </w:r>
            <w:r>
              <w:rPr>
                <w:rFonts w:ascii="Times New Roman" w:eastAsia="宋体"/>
                <w:sz w:val="24"/>
                <w:szCs w:val="24"/>
              </w:rPr>
              <w:t>2303-320771-89-01-265848</w:t>
            </w:r>
            <w:r>
              <w:rPr>
                <w:rFonts w:hint="eastAsia" w:ascii="Times New Roman" w:eastAsia="宋体"/>
                <w:sz w:val="24"/>
                <w:szCs w:val="24"/>
                <w:lang w:eastAsia="zh-CN"/>
              </w:rPr>
              <w:t>），用于已入区企业的危险废物、危险化学品仓储服务。该项目于</w:t>
            </w:r>
            <w:r>
              <w:rPr>
                <w:rFonts w:hint="eastAsia" w:ascii="Times New Roman" w:eastAsia="宋体"/>
                <w:sz w:val="24"/>
                <w:szCs w:val="24"/>
                <w:lang w:val="en-US" w:eastAsia="zh-CN"/>
              </w:rPr>
              <w:t>2023年6月取得环评批复（连开审批复[2023]57号），</w:t>
            </w:r>
            <w:r>
              <w:rPr>
                <w:rFonts w:hint="eastAsia"/>
                <w:bCs/>
                <w:color w:val="000000"/>
                <w:sz w:val="24"/>
              </w:rPr>
              <w:t>由于</w:t>
            </w:r>
            <w:r>
              <w:rPr>
                <w:rFonts w:hint="eastAsia"/>
                <w:bCs/>
                <w:color w:val="000000"/>
                <w:sz w:val="24"/>
                <w:lang w:eastAsia="zh-CN"/>
              </w:rPr>
              <w:t>江苏鑫科</w:t>
            </w:r>
            <w:r>
              <w:rPr>
                <w:rFonts w:hint="eastAsia"/>
                <w:bCs/>
                <w:color w:val="000000"/>
                <w:sz w:val="24"/>
              </w:rPr>
              <w:t>在专业技术和人员配备上存在不足导致该项目运营尚不顺畅</w:t>
            </w:r>
            <w:r>
              <w:rPr>
                <w:rFonts w:hint="eastAsia" w:ascii="Times New Roman" w:eastAsia="宋体"/>
                <w:sz w:val="24"/>
                <w:szCs w:val="24"/>
                <w:lang w:val="en-US" w:eastAsia="zh-CN"/>
              </w:rPr>
              <w:t>。</w:t>
            </w:r>
          </w:p>
          <w:p w14:paraId="1653E20A">
            <w:pPr>
              <w:pStyle w:val="512"/>
              <w:bidi w:val="0"/>
              <w:rPr>
                <w:rFonts w:hint="eastAsia"/>
                <w:bCs/>
                <w:color w:val="000000"/>
                <w:kern w:val="21"/>
                <w:sz w:val="24"/>
              </w:rPr>
            </w:pPr>
            <w:r>
              <w:rPr>
                <w:rFonts w:hint="eastAsia"/>
                <w:bCs/>
                <w:color w:val="000000"/>
                <w:sz w:val="24"/>
              </w:rPr>
              <w:t>为了进一步做好园区危险废物规范化管理，</w:t>
            </w:r>
            <w:r>
              <w:rPr>
                <w:rFonts w:hint="eastAsia"/>
                <w:bCs/>
                <w:color w:val="000000"/>
                <w:sz w:val="24"/>
                <w:lang w:eastAsia="zh-CN"/>
              </w:rPr>
              <w:t>江苏省环境资源有限公司连云港经开区分公司</w:t>
            </w:r>
            <w:r>
              <w:rPr>
                <w:rFonts w:hint="eastAsia"/>
                <w:bCs/>
                <w:color w:val="000000"/>
                <w:sz w:val="24"/>
              </w:rPr>
              <w:t>（以下简称“环资公司”）整体租赁</w:t>
            </w:r>
            <w:r>
              <w:rPr>
                <w:rFonts w:hint="eastAsia"/>
                <w:bCs/>
                <w:color w:val="000000"/>
                <w:sz w:val="24"/>
                <w:lang w:eastAsia="zh-CN"/>
              </w:rPr>
              <w:t>江苏鑫科</w:t>
            </w:r>
            <w:r>
              <w:rPr>
                <w:rFonts w:hint="eastAsia"/>
                <w:bCs/>
                <w:color w:val="000000"/>
                <w:sz w:val="24"/>
              </w:rPr>
              <w:t>现有危险废物贮存库及配套公辅设施</w:t>
            </w:r>
            <w:r>
              <w:rPr>
                <w:rFonts w:hint="eastAsia"/>
                <w:bCs/>
                <w:color w:val="000000"/>
                <w:kern w:val="21"/>
                <w:sz w:val="24"/>
              </w:rPr>
              <w:t>（废气处理设施</w:t>
            </w:r>
            <w:r>
              <w:rPr>
                <w:bCs/>
                <w:color w:val="000000"/>
                <w:kern w:val="21"/>
                <w:sz w:val="24"/>
              </w:rPr>
              <w:t>等</w:t>
            </w:r>
            <w:r>
              <w:rPr>
                <w:rFonts w:hint="eastAsia"/>
                <w:bCs/>
                <w:color w:val="000000"/>
                <w:kern w:val="21"/>
                <w:sz w:val="24"/>
              </w:rPr>
              <w:t>）</w:t>
            </w:r>
            <w:r>
              <w:rPr>
                <w:rFonts w:hint="eastAsia"/>
                <w:bCs/>
                <w:color w:val="000000"/>
                <w:sz w:val="24"/>
              </w:rPr>
              <w:t>，拟在仓库、设施、贮存能力等不变的情况下，重新办理建设项目立项、环评等相关手续</w:t>
            </w:r>
            <w:r>
              <w:rPr>
                <w:rFonts w:hint="eastAsia"/>
                <w:bCs/>
                <w:color w:val="000000"/>
                <w:sz w:val="24"/>
                <w:lang w:eastAsia="zh-CN"/>
              </w:rPr>
              <w:t>。</w:t>
            </w:r>
            <w:r>
              <w:rPr>
                <w:rFonts w:hint="eastAsia"/>
                <w:bCs/>
                <w:color w:val="000000"/>
                <w:sz w:val="24"/>
              </w:rPr>
              <w:t>另外，为了服务</w:t>
            </w:r>
            <w:r>
              <w:rPr>
                <w:rFonts w:hint="eastAsia"/>
                <w:bCs/>
                <w:color w:val="000000"/>
                <w:sz w:val="24"/>
                <w:lang w:eastAsia="zh-CN"/>
              </w:rPr>
              <w:t>连云港</w:t>
            </w:r>
            <w:r>
              <w:rPr>
                <w:rFonts w:hint="eastAsia"/>
                <w:bCs/>
                <w:color w:val="000000"/>
                <w:sz w:val="24"/>
              </w:rPr>
              <w:t>“无废城市”建设要求，拟将收集范围扩大至</w:t>
            </w:r>
            <w:r>
              <w:rPr>
                <w:rFonts w:hint="eastAsia"/>
                <w:bCs/>
                <w:color w:val="000000"/>
                <w:sz w:val="24"/>
                <w:lang w:eastAsia="zh-CN"/>
              </w:rPr>
              <w:t>连云港</w:t>
            </w:r>
            <w:r>
              <w:rPr>
                <w:rFonts w:hint="eastAsia"/>
                <w:bCs/>
                <w:color w:val="000000"/>
                <w:sz w:val="24"/>
              </w:rPr>
              <w:t>市全域，收集</w:t>
            </w:r>
            <w:r>
              <w:rPr>
                <w:rFonts w:hint="eastAsia"/>
                <w:color w:val="000000"/>
                <w:kern w:val="0"/>
                <w:sz w:val="24"/>
                <w:lang w:eastAsia="zh-CN"/>
              </w:rPr>
              <w:t>连云港</w:t>
            </w:r>
            <w:r>
              <w:rPr>
                <w:color w:val="000000"/>
                <w:kern w:val="0"/>
                <w:sz w:val="24"/>
              </w:rPr>
              <w:t>市范围内年产生量在10吨以下的企事业单位产生的危险废物</w:t>
            </w:r>
            <w:r>
              <w:rPr>
                <w:rFonts w:hint="eastAsia"/>
                <w:color w:val="000000"/>
                <w:kern w:val="0"/>
                <w:sz w:val="24"/>
              </w:rPr>
              <w:t>、</w:t>
            </w:r>
            <w:r>
              <w:rPr>
                <w:color w:val="000000"/>
                <w:kern w:val="0"/>
                <w:sz w:val="24"/>
              </w:rPr>
              <w:t>科研院所、高等学校、各类检测机构、机动车维修机构、加油站等产生的危险废弃物</w:t>
            </w:r>
            <w:r>
              <w:rPr>
                <w:rFonts w:hint="eastAsia"/>
                <w:color w:val="000000"/>
                <w:kern w:val="0"/>
                <w:sz w:val="24"/>
              </w:rPr>
              <w:t>，</w:t>
            </w:r>
            <w:r>
              <w:rPr>
                <w:rFonts w:hint="eastAsia"/>
                <w:bCs/>
                <w:color w:val="000000"/>
                <w:sz w:val="24"/>
              </w:rPr>
              <w:t>并对照《国家危险废物名录》增加部分危废代码。</w:t>
            </w:r>
            <w:r>
              <w:rPr>
                <w:color w:val="000000"/>
                <w:kern w:val="0"/>
                <w:sz w:val="24"/>
              </w:rPr>
              <w:t>本项目按照《省生态环境厅关于印发&lt;江苏省危险废物集中收集体系建设工作方案（试行）&gt;的通知》（苏环办[2021]290号）中“鼓励收集后直接转运至利用处置单位”的要求</w:t>
            </w:r>
            <w:r>
              <w:rPr>
                <w:rFonts w:hint="eastAsia"/>
                <w:color w:val="000000"/>
                <w:kern w:val="0"/>
                <w:sz w:val="24"/>
              </w:rPr>
              <w:t>，</w:t>
            </w:r>
            <w:r>
              <w:rPr>
                <w:rFonts w:hint="eastAsia"/>
                <w:bCs/>
                <w:color w:val="000000"/>
                <w:sz w:val="24"/>
              </w:rPr>
              <w:t>园区以外产废单位的危废原则上采用不入库贮存转移的方式处置，</w:t>
            </w:r>
            <w:r>
              <w:rPr>
                <w:rFonts w:hint="eastAsia"/>
                <w:bCs/>
                <w:color w:val="000000"/>
                <w:sz w:val="24"/>
                <w:lang w:eastAsia="zh-CN"/>
              </w:rPr>
              <w:t>从</w:t>
            </w:r>
            <w:r>
              <w:rPr>
                <w:rFonts w:hint="eastAsia"/>
                <w:bCs/>
                <w:color w:val="000000"/>
                <w:sz w:val="24"/>
              </w:rPr>
              <w:t>产废单位直接运输至处置单位进行安全处置。</w:t>
            </w:r>
          </w:p>
          <w:p w14:paraId="64CAFAF4">
            <w:pPr>
              <w:pStyle w:val="512"/>
              <w:bidi w:val="0"/>
              <w:rPr>
                <w:rFonts w:hint="default" w:eastAsia="宋体"/>
                <w:b/>
                <w:bCs/>
                <w:lang w:val="en-US" w:eastAsia="zh-CN"/>
              </w:rPr>
            </w:pPr>
            <w:r>
              <w:t>本项目位于</w:t>
            </w:r>
            <w:r>
              <w:rPr>
                <w:rFonts w:hint="eastAsia"/>
                <w:lang w:eastAsia="zh-CN"/>
              </w:rPr>
              <w:t>连云港市经济技术开发区昌圩路北、金桥路西</w:t>
            </w:r>
            <w:r>
              <w:t>，拟投资</w:t>
            </w:r>
            <w:r>
              <w:rPr>
                <w:rFonts w:hint="eastAsia"/>
                <w:lang w:val="en-US" w:eastAsia="zh-CN"/>
              </w:rPr>
              <w:t>100</w:t>
            </w:r>
            <w:r>
              <w:t>万元，租用</w:t>
            </w:r>
            <w:r>
              <w:rPr>
                <w:rFonts w:hint="eastAsia"/>
                <w:lang w:eastAsia="zh-CN"/>
              </w:rPr>
              <w:t>江苏鑫科医药投资发展</w:t>
            </w:r>
            <w:r>
              <w:t>有限公司现有</w:t>
            </w:r>
            <w:r>
              <w:rPr>
                <w:rFonts w:hint="eastAsia"/>
              </w:rPr>
              <w:t>危险废物贮存库</w:t>
            </w:r>
            <w:r>
              <w:rPr>
                <w:rFonts w:hint="eastAsia"/>
                <w:lang w:val="en-US" w:eastAsia="zh-CN"/>
              </w:rPr>
              <w:t>中的1#存储间、2#存储间和3#存储间（共176.22</w:t>
            </w:r>
            <w:r>
              <w:t>m</w:t>
            </w:r>
            <w:r>
              <w:rPr>
                <w:vertAlign w:val="superscript"/>
              </w:rPr>
              <w:t>2</w:t>
            </w:r>
            <w:r>
              <w:rPr>
                <w:rFonts w:hint="eastAsia"/>
                <w:lang w:val="en-US" w:eastAsia="zh-CN"/>
              </w:rPr>
              <w:t>），用于储存中华药港园区内企业和连云港市小微企业以及</w:t>
            </w:r>
            <w:r>
              <w:rPr>
                <w:color w:val="000000"/>
                <w:kern w:val="0"/>
                <w:sz w:val="24"/>
              </w:rPr>
              <w:t>科研院所、高等学校、各类检测机构、机动车维修机构、加油站等</w:t>
            </w:r>
            <w:r>
              <w:rPr>
                <w:rFonts w:hint="eastAsia"/>
                <w:lang w:val="en-US" w:eastAsia="zh-CN"/>
              </w:rPr>
              <w:t>产生的危险废物</w:t>
            </w:r>
            <w:r>
              <w:rPr>
                <w:rFonts w:hint="eastAsia"/>
              </w:rPr>
              <w:t>。</w:t>
            </w:r>
            <w:r>
              <w:rPr>
                <w:rFonts w:hint="eastAsia"/>
                <w:bCs/>
                <w:color w:val="000000"/>
                <w:sz w:val="24"/>
              </w:rPr>
              <w:t>本项目</w:t>
            </w:r>
            <w:r>
              <w:rPr>
                <w:rFonts w:hint="eastAsia"/>
                <w:bCs/>
                <w:color w:val="000000"/>
                <w:kern w:val="21"/>
                <w:sz w:val="24"/>
              </w:rPr>
              <w:t>收集贮存能力</w:t>
            </w:r>
            <w:r>
              <w:rPr>
                <w:rFonts w:hint="eastAsia"/>
                <w:bCs/>
                <w:color w:val="000000"/>
                <w:kern w:val="21"/>
                <w:sz w:val="24"/>
                <w:lang w:eastAsia="zh-CN"/>
              </w:rPr>
              <w:t>合计</w:t>
            </w:r>
            <w:r>
              <w:rPr>
                <w:rFonts w:hint="eastAsia"/>
                <w:bCs/>
                <w:color w:val="000000"/>
                <w:kern w:val="21"/>
                <w:sz w:val="24"/>
              </w:rPr>
              <w:t>5</w:t>
            </w:r>
            <w:r>
              <w:rPr>
                <w:bCs/>
                <w:color w:val="000000"/>
                <w:kern w:val="21"/>
                <w:sz w:val="24"/>
              </w:rPr>
              <w:t>000t</w:t>
            </w:r>
            <w:r>
              <w:rPr>
                <w:rFonts w:hint="eastAsia"/>
                <w:bCs/>
                <w:color w:val="000000"/>
                <w:kern w:val="21"/>
                <w:sz w:val="24"/>
              </w:rPr>
              <w:t>/</w:t>
            </w:r>
            <w:r>
              <w:rPr>
                <w:bCs/>
                <w:color w:val="000000"/>
                <w:kern w:val="21"/>
                <w:sz w:val="24"/>
              </w:rPr>
              <w:t>a</w:t>
            </w:r>
            <w:r>
              <w:rPr>
                <w:rFonts w:hint="eastAsia"/>
                <w:bCs/>
                <w:color w:val="000000"/>
                <w:kern w:val="21"/>
                <w:sz w:val="24"/>
              </w:rPr>
              <w:t>。</w:t>
            </w:r>
          </w:p>
          <w:p w14:paraId="5047ADF2">
            <w:pPr>
              <w:pStyle w:val="1111"/>
            </w:pPr>
            <w:r>
              <w:rPr>
                <w:rFonts w:hint="eastAsia"/>
              </w:rPr>
              <w:t>表2</w:t>
            </w:r>
            <w:r>
              <w:t xml:space="preserve">-1 </w:t>
            </w:r>
            <w:r>
              <w:rPr>
                <w:rFonts w:hint="eastAsia"/>
              </w:rPr>
              <w:t>建设项目分析判定表</w:t>
            </w:r>
          </w:p>
          <w:tbl>
            <w:tblPr>
              <w:tblStyle w:val="7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95"/>
              <w:gridCol w:w="3232"/>
              <w:gridCol w:w="1595"/>
              <w:gridCol w:w="1303"/>
            </w:tblGrid>
            <w:tr w14:paraId="4058E3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1133" w:type="pct"/>
                  <w:shd w:val="clear" w:color="auto" w:fill="auto"/>
                  <w:vAlign w:val="center"/>
                </w:tcPr>
                <w:p w14:paraId="775358EE">
                  <w:pPr>
                    <w:pStyle w:val="1111"/>
                    <w:bidi w:val="0"/>
                  </w:pPr>
                  <w:r>
                    <w:rPr>
                      <w:rFonts w:hint="eastAsia"/>
                    </w:rPr>
                    <w:t>环评类别</w:t>
                  </w:r>
                </w:p>
              </w:tc>
              <w:tc>
                <w:tcPr>
                  <w:tcW w:w="2039" w:type="pct"/>
                  <w:shd w:val="clear" w:color="auto" w:fill="auto"/>
                  <w:vAlign w:val="center"/>
                </w:tcPr>
                <w:p w14:paraId="221B1D0D">
                  <w:pPr>
                    <w:pStyle w:val="1111"/>
                    <w:bidi w:val="0"/>
                  </w:pPr>
                  <w:r>
                    <w:rPr>
                      <w:rFonts w:hint="eastAsia"/>
                    </w:rPr>
                    <w:t>报告书</w:t>
                  </w:r>
                </w:p>
              </w:tc>
              <w:tc>
                <w:tcPr>
                  <w:tcW w:w="1006" w:type="pct"/>
                  <w:shd w:val="clear" w:color="auto" w:fill="auto"/>
                  <w:vAlign w:val="center"/>
                </w:tcPr>
                <w:p w14:paraId="53DA1200">
                  <w:pPr>
                    <w:pStyle w:val="1111"/>
                    <w:bidi w:val="0"/>
                  </w:pPr>
                  <w:r>
                    <w:rPr>
                      <w:rFonts w:hint="eastAsia"/>
                    </w:rPr>
                    <w:t>报告表</w:t>
                  </w:r>
                </w:p>
              </w:tc>
              <w:tc>
                <w:tcPr>
                  <w:tcW w:w="820" w:type="pct"/>
                  <w:vAlign w:val="center"/>
                </w:tcPr>
                <w:p w14:paraId="630C311A">
                  <w:pPr>
                    <w:pStyle w:val="1111"/>
                  </w:pPr>
                  <w:r>
                    <w:rPr>
                      <w:rFonts w:hint="eastAsia"/>
                    </w:rPr>
                    <w:t>登记表</w:t>
                  </w:r>
                </w:p>
              </w:tc>
            </w:tr>
            <w:tr w14:paraId="0DF293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5000" w:type="pct"/>
                  <w:gridSpan w:val="4"/>
                  <w:shd w:val="clear" w:color="auto" w:fill="auto"/>
                  <w:vAlign w:val="center"/>
                </w:tcPr>
                <w:p w14:paraId="7E73D9F8">
                  <w:pPr>
                    <w:pStyle w:val="1111"/>
                    <w:bidi w:val="0"/>
                  </w:pPr>
                  <w:r>
                    <w:rPr>
                      <w:rFonts w:hint="eastAsia"/>
                      <w:lang w:eastAsia="zh-CN"/>
                    </w:rPr>
                    <w:t>四</w:t>
                  </w:r>
                  <w:r>
                    <w:rPr>
                      <w:rFonts w:hint="eastAsia"/>
                    </w:rPr>
                    <w:t>十七、</w:t>
                  </w:r>
                  <w:r>
                    <w:rPr>
                      <w:rFonts w:hint="eastAsia"/>
                      <w:lang w:eastAsia="zh-CN"/>
                    </w:rPr>
                    <w:t>生态保护和环境治理业</w:t>
                  </w:r>
                </w:p>
              </w:tc>
            </w:tr>
            <w:tr w14:paraId="555722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133" w:type="pct"/>
                  <w:shd w:val="clear" w:color="auto" w:fill="auto"/>
                  <w:vAlign w:val="center"/>
                </w:tcPr>
                <w:p w14:paraId="767A6600">
                  <w:pPr>
                    <w:pStyle w:val="1111"/>
                    <w:bidi w:val="0"/>
                    <w:rPr>
                      <w:rFonts w:hint="eastAsia"/>
                      <w:lang w:eastAsia="zh-CN"/>
                    </w:rPr>
                  </w:pPr>
                  <w:r>
                    <w:rPr>
                      <w:rFonts w:hint="eastAsia"/>
                      <w:lang w:eastAsia="zh-CN"/>
                    </w:rPr>
                    <w:t>危险废物（不含医疗废物）利用及处置</w:t>
                  </w:r>
                </w:p>
              </w:tc>
              <w:tc>
                <w:tcPr>
                  <w:tcW w:w="2039" w:type="pct"/>
                  <w:shd w:val="clear" w:color="auto" w:fill="auto"/>
                  <w:vAlign w:val="center"/>
                </w:tcPr>
                <w:p w14:paraId="1DFE4A1A">
                  <w:pPr>
                    <w:pStyle w:val="1111"/>
                    <w:bidi w:val="0"/>
                  </w:pPr>
                  <w:r>
                    <w:rPr>
                      <w:rFonts w:hint="eastAsia"/>
                      <w:lang w:val="en-US" w:eastAsia="zh-CN"/>
                    </w:rPr>
                    <w:t>危险废物利用及处置（产生单位内部回收再利用的除外；单纯收集、贮存的除外）</w:t>
                  </w:r>
                </w:p>
              </w:tc>
              <w:tc>
                <w:tcPr>
                  <w:tcW w:w="1006" w:type="pct"/>
                  <w:shd w:val="clear" w:color="auto" w:fill="auto"/>
                  <w:vAlign w:val="center"/>
                </w:tcPr>
                <w:p w14:paraId="425838BC">
                  <w:pPr>
                    <w:pStyle w:val="1111"/>
                    <w:bidi w:val="0"/>
                    <w:rPr>
                      <w:rFonts w:hint="eastAsia"/>
                      <w:lang w:eastAsia="zh-CN"/>
                    </w:rPr>
                  </w:pPr>
                  <w:r>
                    <w:rPr>
                      <w:rFonts w:hint="eastAsia"/>
                      <w:lang w:eastAsia="zh-CN"/>
                    </w:rPr>
                    <w:t>其他</w:t>
                  </w:r>
                </w:p>
              </w:tc>
              <w:tc>
                <w:tcPr>
                  <w:tcW w:w="820" w:type="pct"/>
                  <w:vAlign w:val="center"/>
                </w:tcPr>
                <w:p w14:paraId="15FE0D53">
                  <w:pPr>
                    <w:pStyle w:val="1111"/>
                  </w:pPr>
                  <w:r>
                    <w:rPr>
                      <w:rFonts w:hint="eastAsia"/>
                    </w:rPr>
                    <w:t>/</w:t>
                  </w:r>
                </w:p>
              </w:tc>
            </w:tr>
          </w:tbl>
          <w:p w14:paraId="6D8677D9">
            <w:pPr>
              <w:pStyle w:val="512"/>
            </w:pPr>
            <w:r>
              <w:rPr>
                <w:rFonts w:hint="eastAsia"/>
              </w:rPr>
              <w:t>根据《建设项目环境影响评价分类管理名录2</w:t>
            </w:r>
            <w:r>
              <w:t>021</w:t>
            </w:r>
            <w:r>
              <w:rPr>
                <w:rFonts w:hint="eastAsia"/>
              </w:rPr>
              <w:t>年版》（部令第1</w:t>
            </w:r>
            <w:r>
              <w:t>6</w:t>
            </w:r>
            <w:r>
              <w:rPr>
                <w:rFonts w:hint="eastAsia"/>
              </w:rPr>
              <w:t>号），本项目属于“</w:t>
            </w:r>
            <w:r>
              <w:rPr>
                <w:rFonts w:hint="eastAsia"/>
                <w:lang w:eastAsia="zh-CN"/>
              </w:rPr>
              <w:t>四</w:t>
            </w:r>
            <w:r>
              <w:rPr>
                <w:rFonts w:hint="eastAsia"/>
              </w:rPr>
              <w:t>十七、</w:t>
            </w:r>
            <w:r>
              <w:rPr>
                <w:rFonts w:hint="eastAsia"/>
                <w:lang w:eastAsia="zh-CN"/>
              </w:rPr>
              <w:t>生态保护和环境治理业</w:t>
            </w:r>
            <w:r>
              <w:rPr>
                <w:rFonts w:hint="eastAsia"/>
              </w:rPr>
              <w:t>——</w:t>
            </w:r>
            <w:r>
              <w:rPr>
                <w:rFonts w:hint="eastAsia"/>
                <w:lang w:eastAsia="zh-CN"/>
              </w:rPr>
              <w:t>危险废物（不含医疗废物）利用及处置</w:t>
            </w:r>
            <w:r>
              <w:rPr>
                <w:rFonts w:hint="eastAsia"/>
              </w:rPr>
              <w:t>——</w:t>
            </w:r>
            <w:r>
              <w:rPr>
                <w:rFonts w:hint="eastAsia"/>
                <w:lang w:eastAsia="zh-CN"/>
              </w:rPr>
              <w:t>其他</w:t>
            </w:r>
            <w:r>
              <w:rPr>
                <w:rFonts w:hint="eastAsia"/>
              </w:rPr>
              <w:t>”类别，判定该项目编制环境影响评价报告表。</w:t>
            </w:r>
            <w:r>
              <w:rPr>
                <w:rFonts w:hint="eastAsia"/>
                <w:lang w:eastAsia="zh-CN"/>
              </w:rPr>
              <w:t>江苏省环境资源有限公司</w:t>
            </w:r>
            <w:r>
              <w:rPr>
                <w:rFonts w:hint="eastAsia"/>
              </w:rPr>
              <w:t>委托江苏智盛环境科技有限公司开展该项目环境影响评价工作。评价单位在接受委托后，评价单位工作人员在详细踏勘周围环境，收集相关资料的基础上，依据国家和省市级法律法规及环评导则要求编制了该项目的环境影响报告表。</w:t>
            </w:r>
          </w:p>
          <w:p w14:paraId="1A2B1DCE">
            <w:pPr>
              <w:pStyle w:val="512"/>
            </w:pPr>
            <w:r>
              <w:rPr>
                <w:rFonts w:hint="eastAsia"/>
              </w:rPr>
              <w:t>2、项目概况</w:t>
            </w:r>
          </w:p>
          <w:p w14:paraId="6E762227">
            <w:pPr>
              <w:pStyle w:val="512"/>
            </w:pPr>
            <w:r>
              <w:rPr>
                <w:rFonts w:hint="eastAsia"/>
              </w:rPr>
              <w:t>项目名称：</w:t>
            </w:r>
            <w:r>
              <w:rPr>
                <w:rFonts w:hint="eastAsia"/>
                <w:lang w:eastAsia="zh-CN"/>
              </w:rPr>
              <w:t>江苏省环境资源有限公司小微集中收集贮存点（连云港）项目</w:t>
            </w:r>
            <w:r>
              <w:rPr>
                <w:rFonts w:hint="eastAsia"/>
              </w:rPr>
              <w:t>；</w:t>
            </w:r>
          </w:p>
          <w:p w14:paraId="7EC45546">
            <w:pPr>
              <w:pStyle w:val="512"/>
            </w:pPr>
            <w:r>
              <w:rPr>
                <w:rFonts w:hint="eastAsia"/>
              </w:rPr>
              <w:t>建设单位：</w:t>
            </w:r>
            <w:r>
              <w:rPr>
                <w:rFonts w:hint="eastAsia"/>
                <w:lang w:eastAsia="zh-CN"/>
              </w:rPr>
              <w:t>江苏省环境资源有限公司连云港经开区分公司</w:t>
            </w:r>
            <w:r>
              <w:rPr>
                <w:rFonts w:hint="eastAsia"/>
              </w:rPr>
              <w:t>；</w:t>
            </w:r>
          </w:p>
          <w:p w14:paraId="6E1C638E">
            <w:pPr>
              <w:pStyle w:val="512"/>
            </w:pPr>
            <w:r>
              <w:rPr>
                <w:rFonts w:hint="eastAsia"/>
              </w:rPr>
              <w:t>项目投资：</w:t>
            </w:r>
            <w:r>
              <w:rPr>
                <w:rFonts w:hint="eastAsia"/>
                <w:lang w:val="en-US" w:eastAsia="zh-CN"/>
              </w:rPr>
              <w:t>100</w:t>
            </w:r>
            <w:r>
              <w:rPr>
                <w:rFonts w:hint="eastAsia"/>
              </w:rPr>
              <w:t>万元；</w:t>
            </w:r>
          </w:p>
          <w:p w14:paraId="20650EBD">
            <w:pPr>
              <w:pStyle w:val="512"/>
            </w:pPr>
            <w:r>
              <w:rPr>
                <w:rFonts w:hint="eastAsia"/>
              </w:rPr>
              <w:t>建筑地点：</w:t>
            </w:r>
            <w:r>
              <w:rPr>
                <w:rFonts w:hint="eastAsia"/>
                <w:lang w:eastAsia="zh-CN"/>
              </w:rPr>
              <w:t>连云港经济技术开发区昌圩路北、金桥路西</w:t>
            </w:r>
            <w:r>
              <w:rPr>
                <w:rFonts w:hint="eastAsia"/>
              </w:rPr>
              <w:t>；</w:t>
            </w:r>
          </w:p>
          <w:p w14:paraId="352BD297">
            <w:pPr>
              <w:pStyle w:val="512"/>
              <w:rPr>
                <w:rFonts w:hint="eastAsia"/>
                <w:lang w:eastAsia="zh-CN"/>
              </w:rPr>
            </w:pPr>
            <w:r>
              <w:rPr>
                <w:rFonts w:hint="eastAsia"/>
              </w:rPr>
              <w:t>项目建设内容：</w:t>
            </w:r>
            <w:r>
              <w:rPr>
                <w:rFonts w:hint="eastAsia"/>
                <w:lang w:eastAsia="zh-CN"/>
              </w:rPr>
              <w:t>租赁江苏鑫科医药产业投资发展有限公司现有7号仓库176.22平方米危险废物贮存库(1#存储间、2#存储间和3#存储间），建设小微集中收集贮存点，收集贮存能力合计5000吨/年。</w:t>
            </w:r>
          </w:p>
          <w:p w14:paraId="7FE6251B">
            <w:pPr>
              <w:pStyle w:val="512"/>
              <w:rPr>
                <w:rFonts w:hint="eastAsia" w:eastAsia="宋体"/>
                <w:lang w:val="en-US" w:eastAsia="zh-CN"/>
              </w:rPr>
            </w:pPr>
            <w:r>
              <w:rPr>
                <w:rFonts w:hint="eastAsia"/>
                <w:lang w:eastAsia="zh-CN"/>
              </w:rPr>
              <w:t>本项目收集范围为连云港全域，</w:t>
            </w:r>
            <w:r>
              <w:rPr>
                <w:rFonts w:hint="eastAsia"/>
                <w:lang w:val="en-US" w:eastAsia="zh-CN"/>
              </w:rPr>
              <w:t>在中华药港外产废单位收集的危险废物直接转运至有资质利用处置单位，不在危废库贮存</w:t>
            </w:r>
            <w:r>
              <w:rPr>
                <w:rFonts w:hint="eastAsia"/>
                <w:bCs/>
                <w:sz w:val="24"/>
                <w:szCs w:val="24"/>
                <w:lang w:eastAsia="zh-CN" w:bidi="ar"/>
              </w:rPr>
              <w:t>；</w:t>
            </w:r>
            <w:r>
              <w:rPr>
                <w:rFonts w:hint="eastAsia"/>
                <w:lang w:val="en-US" w:eastAsia="zh-CN"/>
              </w:rPr>
              <w:t>中华药港企业产生的危险废物于危废库暂存，危废达到规定存量后转移出库。</w:t>
            </w:r>
          </w:p>
          <w:p w14:paraId="5372ADD0">
            <w:pPr>
              <w:pStyle w:val="1111"/>
              <w:rPr>
                <w:rFonts w:hint="eastAsia"/>
              </w:rPr>
            </w:pPr>
            <w:r>
              <w:rPr>
                <w:rFonts w:hint="eastAsia"/>
              </w:rPr>
              <w:t>表2</w:t>
            </w:r>
            <w:r>
              <w:t xml:space="preserve">-2 </w:t>
            </w:r>
            <w:r>
              <w:rPr>
                <w:rFonts w:hint="eastAsia"/>
              </w:rPr>
              <w:t>本项目</w:t>
            </w:r>
            <w:r>
              <w:rPr>
                <w:rFonts w:hint="eastAsia"/>
                <w:lang w:eastAsia="zh-CN"/>
              </w:rPr>
              <w:t>建设内容及组成</w:t>
            </w:r>
            <w:r>
              <w:rPr>
                <w:rFonts w:hint="eastAsia"/>
              </w:rPr>
              <w:t>一览表</w:t>
            </w:r>
          </w:p>
          <w:tbl>
            <w:tblPr>
              <w:tblStyle w:val="7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2"/>
              <w:gridCol w:w="1528"/>
              <w:gridCol w:w="4989"/>
              <w:gridCol w:w="668"/>
            </w:tblGrid>
            <w:tr w14:paraId="7BA291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14:paraId="7354BA6A">
                  <w:pPr>
                    <w:pStyle w:val="1111"/>
                    <w:rPr>
                      <w:rFonts w:hint="eastAsia" w:eastAsia="宋体"/>
                      <w:vertAlign w:val="baseline"/>
                      <w:lang w:eastAsia="zh-CN"/>
                    </w:rPr>
                  </w:pPr>
                  <w:r>
                    <w:rPr>
                      <w:rFonts w:hint="eastAsia"/>
                      <w:vertAlign w:val="baseline"/>
                      <w:lang w:eastAsia="zh-CN"/>
                    </w:rPr>
                    <w:t>类别</w:t>
                  </w:r>
                </w:p>
              </w:tc>
              <w:tc>
                <w:tcPr>
                  <w:tcW w:w="1528" w:type="dxa"/>
                  <w:vAlign w:val="center"/>
                </w:tcPr>
                <w:p w14:paraId="369327D0">
                  <w:pPr>
                    <w:pStyle w:val="1111"/>
                    <w:rPr>
                      <w:rFonts w:hint="eastAsia" w:eastAsia="宋体"/>
                      <w:vertAlign w:val="baseline"/>
                      <w:lang w:eastAsia="zh-CN"/>
                    </w:rPr>
                  </w:pPr>
                  <w:r>
                    <w:rPr>
                      <w:rFonts w:hint="eastAsia"/>
                      <w:vertAlign w:val="baseline"/>
                      <w:lang w:eastAsia="zh-CN"/>
                    </w:rPr>
                    <w:t>工程名称</w:t>
                  </w:r>
                </w:p>
              </w:tc>
              <w:tc>
                <w:tcPr>
                  <w:tcW w:w="4989" w:type="dxa"/>
                  <w:vAlign w:val="center"/>
                </w:tcPr>
                <w:p w14:paraId="1F047A69">
                  <w:pPr>
                    <w:pStyle w:val="1111"/>
                    <w:rPr>
                      <w:rFonts w:hint="eastAsia" w:eastAsia="宋体"/>
                      <w:vertAlign w:val="baseline"/>
                      <w:lang w:eastAsia="zh-CN"/>
                    </w:rPr>
                  </w:pPr>
                  <w:r>
                    <w:rPr>
                      <w:rFonts w:hint="eastAsia"/>
                      <w:vertAlign w:val="baseline"/>
                      <w:lang w:eastAsia="zh-CN"/>
                    </w:rPr>
                    <w:t>建设内容及规模</w:t>
                  </w:r>
                </w:p>
              </w:tc>
              <w:tc>
                <w:tcPr>
                  <w:tcW w:w="668" w:type="dxa"/>
                  <w:vAlign w:val="center"/>
                </w:tcPr>
                <w:p w14:paraId="5EDA03DF">
                  <w:pPr>
                    <w:pStyle w:val="1111"/>
                    <w:rPr>
                      <w:rFonts w:hint="eastAsia" w:eastAsia="宋体"/>
                      <w:vertAlign w:val="baseline"/>
                      <w:lang w:eastAsia="zh-CN"/>
                    </w:rPr>
                  </w:pPr>
                  <w:r>
                    <w:rPr>
                      <w:rFonts w:hint="eastAsia"/>
                      <w:vertAlign w:val="baseline"/>
                      <w:lang w:eastAsia="zh-CN"/>
                    </w:rPr>
                    <w:t>备注</w:t>
                  </w:r>
                </w:p>
              </w:tc>
            </w:tr>
            <w:tr w14:paraId="655C84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14:paraId="3C1FCD55">
                  <w:pPr>
                    <w:pStyle w:val="1111"/>
                    <w:rPr>
                      <w:rFonts w:hint="eastAsia" w:eastAsia="宋体"/>
                      <w:vertAlign w:val="baseline"/>
                      <w:lang w:eastAsia="zh-CN"/>
                    </w:rPr>
                  </w:pPr>
                  <w:r>
                    <w:rPr>
                      <w:rFonts w:hint="eastAsia"/>
                      <w:vertAlign w:val="baseline"/>
                      <w:lang w:eastAsia="zh-CN"/>
                    </w:rPr>
                    <w:t>主体工程</w:t>
                  </w:r>
                </w:p>
              </w:tc>
              <w:tc>
                <w:tcPr>
                  <w:tcW w:w="1528" w:type="dxa"/>
                  <w:vAlign w:val="center"/>
                </w:tcPr>
                <w:p w14:paraId="04E821D3">
                  <w:pPr>
                    <w:pStyle w:val="1111"/>
                    <w:rPr>
                      <w:rFonts w:hint="eastAsia" w:eastAsia="宋体"/>
                      <w:vertAlign w:val="baseline"/>
                      <w:lang w:eastAsia="zh-CN"/>
                    </w:rPr>
                  </w:pPr>
                  <w:r>
                    <w:rPr>
                      <w:rFonts w:hint="eastAsia"/>
                      <w:vertAlign w:val="baseline"/>
                      <w:lang w:eastAsia="zh-CN"/>
                    </w:rPr>
                    <w:t>危废库</w:t>
                  </w:r>
                </w:p>
              </w:tc>
              <w:tc>
                <w:tcPr>
                  <w:tcW w:w="4989" w:type="dxa"/>
                  <w:vAlign w:val="center"/>
                </w:tcPr>
                <w:p w14:paraId="2AE52809">
                  <w:pPr>
                    <w:pStyle w:val="1111"/>
                    <w:rPr>
                      <w:rFonts w:hint="eastAsia"/>
                      <w:vertAlign w:val="baseline"/>
                    </w:rPr>
                  </w:pPr>
                  <w:r>
                    <w:rPr>
                      <w:rFonts w:ascii="Times New Roman" w:eastAsia="宋体"/>
                      <w:sz w:val="21"/>
                      <w:szCs w:val="21"/>
                    </w:rPr>
                    <w:t>占地面积</w:t>
                  </w:r>
                  <w:r>
                    <w:rPr>
                      <w:rFonts w:hint="eastAsia"/>
                      <w:sz w:val="21"/>
                      <w:szCs w:val="21"/>
                      <w:lang w:val="en-US" w:eastAsia="zh-CN"/>
                    </w:rPr>
                    <w:t>176.2</w:t>
                  </w:r>
                  <w:r>
                    <w:rPr>
                      <w:rFonts w:ascii="Times New Roman" w:eastAsia="宋体"/>
                      <w:sz w:val="21"/>
                      <w:szCs w:val="21"/>
                    </w:rPr>
                    <w:t>2m</w:t>
                  </w:r>
                  <w:r>
                    <w:rPr>
                      <w:rFonts w:ascii="Times New Roman" w:eastAsia="宋体"/>
                      <w:sz w:val="21"/>
                      <w:szCs w:val="21"/>
                      <w:vertAlign w:val="superscript"/>
                    </w:rPr>
                    <w:t>2</w:t>
                  </w:r>
                  <w:r>
                    <w:rPr>
                      <w:rFonts w:ascii="Times New Roman" w:eastAsia="宋体"/>
                      <w:sz w:val="21"/>
                      <w:szCs w:val="21"/>
                    </w:rPr>
                    <w:t>，单层，火灾危险类别按照甲类、耐火等级二级。</w:t>
                  </w:r>
                  <w:r>
                    <w:rPr>
                      <w:rFonts w:hint="eastAsia"/>
                      <w:lang w:val="en-US" w:eastAsia="zh-CN"/>
                    </w:rPr>
                    <w:t>1#存储间、2#存储间和3#存储间</w:t>
                  </w:r>
                  <w:r>
                    <w:rPr>
                      <w:rFonts w:ascii="Times New Roman" w:eastAsia="宋体"/>
                      <w:sz w:val="21"/>
                      <w:szCs w:val="21"/>
                    </w:rPr>
                    <w:t>面积</w:t>
                  </w:r>
                  <w:r>
                    <w:rPr>
                      <w:rFonts w:hint="eastAsia"/>
                      <w:sz w:val="21"/>
                      <w:szCs w:val="21"/>
                      <w:lang w:eastAsia="zh-CN"/>
                    </w:rPr>
                    <w:t>分别</w:t>
                  </w:r>
                  <w:r>
                    <w:rPr>
                      <w:rFonts w:ascii="Times New Roman" w:eastAsia="宋体"/>
                      <w:sz w:val="21"/>
                      <w:szCs w:val="21"/>
                    </w:rPr>
                    <w:t>为58.74m</w:t>
                  </w:r>
                  <w:r>
                    <w:rPr>
                      <w:rFonts w:ascii="Times New Roman" w:eastAsia="宋体"/>
                      <w:sz w:val="21"/>
                      <w:szCs w:val="21"/>
                      <w:vertAlign w:val="superscript"/>
                    </w:rPr>
                    <w:t>2</w:t>
                  </w:r>
                  <w:r>
                    <w:rPr>
                      <w:rFonts w:ascii="Times New Roman" w:eastAsia="宋体"/>
                      <w:sz w:val="21"/>
                      <w:szCs w:val="21"/>
                    </w:rPr>
                    <w:t>，分别存放企业</w:t>
                  </w:r>
                  <w:r>
                    <w:rPr>
                      <w:rFonts w:hint="eastAsia"/>
                      <w:sz w:val="21"/>
                      <w:szCs w:val="21"/>
                      <w:lang w:eastAsia="zh-CN"/>
                    </w:rPr>
                    <w:t>收集</w:t>
                  </w:r>
                  <w:r>
                    <w:rPr>
                      <w:rFonts w:ascii="Times New Roman" w:eastAsia="宋体"/>
                      <w:sz w:val="21"/>
                      <w:szCs w:val="21"/>
                    </w:rPr>
                    <w:t>的危险废物，每个储存空间内根据存放物质单独分区。</w:t>
                  </w:r>
                </w:p>
              </w:tc>
              <w:tc>
                <w:tcPr>
                  <w:tcW w:w="668" w:type="dxa"/>
                  <w:vAlign w:val="center"/>
                </w:tcPr>
                <w:p w14:paraId="6D15AE58">
                  <w:pPr>
                    <w:pStyle w:val="1111"/>
                    <w:rPr>
                      <w:rFonts w:hint="eastAsia" w:eastAsia="宋体"/>
                      <w:vertAlign w:val="baseline"/>
                      <w:lang w:eastAsia="zh-CN"/>
                    </w:rPr>
                  </w:pPr>
                  <w:r>
                    <w:rPr>
                      <w:rFonts w:hint="eastAsia"/>
                      <w:vertAlign w:val="baseline"/>
                      <w:lang w:eastAsia="zh-CN"/>
                    </w:rPr>
                    <w:t>已建</w:t>
                  </w:r>
                </w:p>
              </w:tc>
            </w:tr>
            <w:tr w14:paraId="197AC0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14:paraId="70BF85C9">
                  <w:pPr>
                    <w:pStyle w:val="1111"/>
                    <w:rPr>
                      <w:rFonts w:hint="eastAsia"/>
                      <w:vertAlign w:val="baseline"/>
                      <w:lang w:eastAsia="zh-CN"/>
                    </w:rPr>
                  </w:pPr>
                  <w:r>
                    <w:rPr>
                      <w:rFonts w:hint="eastAsia"/>
                      <w:vertAlign w:val="baseline"/>
                      <w:lang w:eastAsia="zh-CN"/>
                    </w:rPr>
                    <w:t>辅助工程</w:t>
                  </w:r>
                </w:p>
              </w:tc>
              <w:tc>
                <w:tcPr>
                  <w:tcW w:w="1528" w:type="dxa"/>
                  <w:vAlign w:val="center"/>
                </w:tcPr>
                <w:p w14:paraId="577042EB">
                  <w:pPr>
                    <w:pStyle w:val="1111"/>
                    <w:rPr>
                      <w:rFonts w:hint="eastAsia"/>
                      <w:vertAlign w:val="baseline"/>
                      <w:lang w:eastAsia="zh-CN"/>
                    </w:rPr>
                  </w:pPr>
                  <w:r>
                    <w:rPr>
                      <w:rFonts w:hint="eastAsia"/>
                      <w:vertAlign w:val="baseline"/>
                      <w:lang w:eastAsia="zh-CN"/>
                    </w:rPr>
                    <w:t>办公</w:t>
                  </w:r>
                </w:p>
              </w:tc>
              <w:tc>
                <w:tcPr>
                  <w:tcW w:w="4989" w:type="dxa"/>
                  <w:vAlign w:val="center"/>
                </w:tcPr>
                <w:p w14:paraId="1D229CD8">
                  <w:pPr>
                    <w:pStyle w:val="1111"/>
                    <w:rPr>
                      <w:rFonts w:hint="default" w:ascii="Times New Roman" w:eastAsia="宋体"/>
                      <w:sz w:val="21"/>
                      <w:szCs w:val="21"/>
                      <w:lang w:val="en-US" w:eastAsia="zh-CN"/>
                    </w:rPr>
                  </w:pPr>
                  <w:r>
                    <w:rPr>
                      <w:rFonts w:hint="eastAsia"/>
                      <w:sz w:val="21"/>
                      <w:szCs w:val="21"/>
                      <w:lang w:eastAsia="zh-CN"/>
                    </w:rPr>
                    <w:t>本项目工作人员办公区位于园区办公楼内</w:t>
                  </w:r>
                </w:p>
              </w:tc>
              <w:tc>
                <w:tcPr>
                  <w:tcW w:w="668" w:type="dxa"/>
                  <w:vAlign w:val="center"/>
                </w:tcPr>
                <w:p w14:paraId="6B0C89B4">
                  <w:pPr>
                    <w:pStyle w:val="1111"/>
                    <w:rPr>
                      <w:rFonts w:hint="eastAsia"/>
                      <w:vertAlign w:val="baseline"/>
                      <w:lang w:eastAsia="zh-CN"/>
                    </w:rPr>
                  </w:pPr>
                  <w:r>
                    <w:rPr>
                      <w:rFonts w:hint="eastAsia"/>
                      <w:vertAlign w:val="baseline"/>
                      <w:lang w:eastAsia="zh-CN"/>
                    </w:rPr>
                    <w:t>依托现有</w:t>
                  </w:r>
                </w:p>
              </w:tc>
            </w:tr>
            <w:tr w14:paraId="3CB3FE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Merge w:val="restart"/>
                  <w:vAlign w:val="center"/>
                </w:tcPr>
                <w:p w14:paraId="19346618">
                  <w:pPr>
                    <w:pStyle w:val="1111"/>
                    <w:rPr>
                      <w:rFonts w:hint="eastAsia" w:eastAsia="宋体"/>
                      <w:vertAlign w:val="baseline"/>
                      <w:lang w:eastAsia="zh-CN"/>
                    </w:rPr>
                  </w:pPr>
                  <w:r>
                    <w:rPr>
                      <w:rFonts w:hint="eastAsia"/>
                      <w:vertAlign w:val="baseline"/>
                      <w:lang w:eastAsia="zh-CN"/>
                    </w:rPr>
                    <w:t>公用工程</w:t>
                  </w:r>
                </w:p>
              </w:tc>
              <w:tc>
                <w:tcPr>
                  <w:tcW w:w="1528" w:type="dxa"/>
                  <w:vAlign w:val="center"/>
                </w:tcPr>
                <w:p w14:paraId="6DC27894">
                  <w:pPr>
                    <w:pStyle w:val="1111"/>
                    <w:rPr>
                      <w:rFonts w:hint="eastAsia" w:eastAsia="宋体"/>
                      <w:vertAlign w:val="baseline"/>
                      <w:lang w:eastAsia="zh-CN"/>
                    </w:rPr>
                  </w:pPr>
                  <w:r>
                    <w:rPr>
                      <w:rFonts w:hint="eastAsia"/>
                      <w:vertAlign w:val="baseline"/>
                      <w:lang w:eastAsia="zh-CN"/>
                    </w:rPr>
                    <w:t>供水系统</w:t>
                  </w:r>
                </w:p>
              </w:tc>
              <w:tc>
                <w:tcPr>
                  <w:tcW w:w="4989" w:type="dxa"/>
                  <w:vAlign w:val="center"/>
                </w:tcPr>
                <w:p w14:paraId="61AC012B">
                  <w:pPr>
                    <w:pStyle w:val="1111"/>
                    <w:rPr>
                      <w:rFonts w:hint="default" w:eastAsia="宋体"/>
                      <w:vertAlign w:val="baseline"/>
                      <w:lang w:val="en-US" w:eastAsia="zh-CN"/>
                    </w:rPr>
                  </w:pPr>
                  <w:r>
                    <w:rPr>
                      <w:rFonts w:hint="eastAsia"/>
                      <w:vertAlign w:val="baseline"/>
                      <w:lang w:eastAsia="zh-CN"/>
                    </w:rPr>
                    <w:t>本项目新增用水量</w:t>
                  </w:r>
                  <w:r>
                    <w:rPr>
                      <w:rFonts w:hint="eastAsia"/>
                      <w:vertAlign w:val="baseline"/>
                      <w:lang w:val="en-US" w:eastAsia="zh-CN"/>
                    </w:rPr>
                    <w:t>210m</w:t>
                  </w:r>
                  <w:r>
                    <w:rPr>
                      <w:rFonts w:hint="eastAsia"/>
                      <w:vertAlign w:val="superscript"/>
                      <w:lang w:val="en-US" w:eastAsia="zh-CN"/>
                    </w:rPr>
                    <w:t>3</w:t>
                  </w:r>
                  <w:r>
                    <w:rPr>
                      <w:rFonts w:hint="eastAsia"/>
                      <w:vertAlign w:val="baseline"/>
                      <w:lang w:val="en-US" w:eastAsia="zh-CN"/>
                    </w:rPr>
                    <w:t>/a</w:t>
                  </w:r>
                </w:p>
              </w:tc>
              <w:tc>
                <w:tcPr>
                  <w:tcW w:w="668" w:type="dxa"/>
                  <w:vAlign w:val="center"/>
                </w:tcPr>
                <w:p w14:paraId="28B5B450">
                  <w:pPr>
                    <w:pStyle w:val="1111"/>
                    <w:rPr>
                      <w:rFonts w:hint="eastAsia" w:eastAsia="宋体"/>
                      <w:vertAlign w:val="baseline"/>
                      <w:lang w:eastAsia="zh-CN"/>
                    </w:rPr>
                  </w:pPr>
                  <w:r>
                    <w:rPr>
                      <w:rFonts w:hint="eastAsia"/>
                      <w:vertAlign w:val="baseline"/>
                      <w:lang w:eastAsia="zh-CN"/>
                    </w:rPr>
                    <w:t>依托园区市政管网</w:t>
                  </w:r>
                </w:p>
              </w:tc>
            </w:tr>
            <w:tr w14:paraId="616B7C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Merge w:val="continue"/>
                  <w:vAlign w:val="center"/>
                </w:tcPr>
                <w:p w14:paraId="251B44D3">
                  <w:pPr>
                    <w:pStyle w:val="1111"/>
                    <w:rPr>
                      <w:rFonts w:hint="eastAsia"/>
                      <w:vertAlign w:val="baseline"/>
                    </w:rPr>
                  </w:pPr>
                </w:p>
              </w:tc>
              <w:tc>
                <w:tcPr>
                  <w:tcW w:w="1528" w:type="dxa"/>
                  <w:vAlign w:val="center"/>
                </w:tcPr>
                <w:p w14:paraId="5C9BF993">
                  <w:pPr>
                    <w:pStyle w:val="1111"/>
                    <w:rPr>
                      <w:rFonts w:hint="eastAsia" w:eastAsia="宋体"/>
                      <w:vertAlign w:val="baseline"/>
                      <w:lang w:eastAsia="zh-CN"/>
                    </w:rPr>
                  </w:pPr>
                  <w:r>
                    <w:rPr>
                      <w:rFonts w:hint="eastAsia"/>
                      <w:vertAlign w:val="baseline"/>
                      <w:lang w:eastAsia="zh-CN"/>
                    </w:rPr>
                    <w:t>供电系统</w:t>
                  </w:r>
                </w:p>
              </w:tc>
              <w:tc>
                <w:tcPr>
                  <w:tcW w:w="4989" w:type="dxa"/>
                  <w:vAlign w:val="center"/>
                </w:tcPr>
                <w:p w14:paraId="05CCA3E8">
                  <w:pPr>
                    <w:pStyle w:val="1111"/>
                    <w:rPr>
                      <w:rFonts w:hint="eastAsia" w:eastAsia="宋体"/>
                      <w:vertAlign w:val="baseline"/>
                      <w:lang w:eastAsia="zh-CN"/>
                    </w:rPr>
                  </w:pPr>
                  <w:r>
                    <w:rPr>
                      <w:rFonts w:hint="eastAsia"/>
                      <w:vertAlign w:val="baseline"/>
                      <w:lang w:eastAsia="zh-CN"/>
                    </w:rPr>
                    <w:t>总用电量</w:t>
                  </w:r>
                  <w:r>
                    <w:rPr>
                      <w:rFonts w:ascii="Times New Roman" w:eastAsia="宋体"/>
                      <w:sz w:val="21"/>
                      <w:szCs w:val="21"/>
                    </w:rPr>
                    <w:t>1.1万kwh/a；用电由园区电网供给</w:t>
                  </w:r>
                </w:p>
              </w:tc>
              <w:tc>
                <w:tcPr>
                  <w:tcW w:w="668" w:type="dxa"/>
                  <w:vAlign w:val="center"/>
                </w:tcPr>
                <w:p w14:paraId="5D92B539">
                  <w:pPr>
                    <w:pStyle w:val="1111"/>
                    <w:rPr>
                      <w:rFonts w:hint="eastAsia" w:eastAsia="宋体"/>
                      <w:vertAlign w:val="baseline"/>
                      <w:lang w:eastAsia="zh-CN"/>
                    </w:rPr>
                  </w:pPr>
                  <w:r>
                    <w:rPr>
                      <w:rFonts w:hint="eastAsia"/>
                      <w:vertAlign w:val="baseline"/>
                      <w:lang w:eastAsia="zh-CN"/>
                    </w:rPr>
                    <w:t>依托现有</w:t>
                  </w:r>
                </w:p>
              </w:tc>
            </w:tr>
            <w:tr w14:paraId="1F1805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Merge w:val="continue"/>
                  <w:vAlign w:val="center"/>
                </w:tcPr>
                <w:p w14:paraId="02A97129">
                  <w:pPr>
                    <w:pStyle w:val="1111"/>
                    <w:rPr>
                      <w:rFonts w:hint="eastAsia"/>
                      <w:vertAlign w:val="baseline"/>
                    </w:rPr>
                  </w:pPr>
                </w:p>
              </w:tc>
              <w:tc>
                <w:tcPr>
                  <w:tcW w:w="1528" w:type="dxa"/>
                  <w:vAlign w:val="center"/>
                </w:tcPr>
                <w:p w14:paraId="4BC2CAC2">
                  <w:pPr>
                    <w:pStyle w:val="1111"/>
                    <w:rPr>
                      <w:rFonts w:hint="eastAsia" w:eastAsia="宋体"/>
                      <w:vertAlign w:val="baseline"/>
                      <w:lang w:eastAsia="zh-CN"/>
                    </w:rPr>
                  </w:pPr>
                  <w:r>
                    <w:rPr>
                      <w:rFonts w:hint="eastAsia"/>
                      <w:vertAlign w:val="baseline"/>
                      <w:lang w:eastAsia="zh-CN"/>
                    </w:rPr>
                    <w:t>排水系统</w:t>
                  </w:r>
                </w:p>
              </w:tc>
              <w:tc>
                <w:tcPr>
                  <w:tcW w:w="4989" w:type="dxa"/>
                  <w:vAlign w:val="center"/>
                </w:tcPr>
                <w:p w14:paraId="5B6ADD41">
                  <w:pPr>
                    <w:adjustRightInd w:val="0"/>
                    <w:snapToGrid w:val="0"/>
                    <w:jc w:val="center"/>
                    <w:rPr>
                      <w:rFonts w:hint="eastAsia" w:ascii="Times New Roman" w:hAnsi="Times New Roman" w:eastAsia="宋体" w:cs="Times New Roman"/>
                      <w:kern w:val="2"/>
                      <w:sz w:val="21"/>
                      <w:szCs w:val="21"/>
                      <w:lang w:val="en-US" w:eastAsia="zh-CN" w:bidi="ar-SA"/>
                    </w:rPr>
                  </w:pPr>
                  <w:r>
                    <w:rPr>
                      <w:rFonts w:ascii="Times New Roman" w:eastAsia="宋体"/>
                      <w:sz w:val="21"/>
                      <w:szCs w:val="21"/>
                    </w:rPr>
                    <w:t>厂区实施雨污分流；本项目</w:t>
                  </w:r>
                  <w:r>
                    <w:rPr>
                      <w:rFonts w:hint="eastAsia" w:ascii="Times New Roman" w:eastAsia="宋体"/>
                      <w:sz w:val="21"/>
                      <w:szCs w:val="21"/>
                    </w:rPr>
                    <w:t>废气吸收废水、</w:t>
                  </w:r>
                  <w:r>
                    <w:rPr>
                      <w:rFonts w:ascii="Times New Roman" w:eastAsia="宋体"/>
                      <w:sz w:val="21"/>
                      <w:szCs w:val="21"/>
                    </w:rPr>
                    <w:t>生活污水依托已建中华药港污水处理站处理达标后</w:t>
                  </w:r>
                  <w:r>
                    <w:rPr>
                      <w:rFonts w:hint="eastAsia" w:ascii="Times New Roman" w:eastAsia="宋体"/>
                      <w:sz w:val="21"/>
                      <w:szCs w:val="21"/>
                    </w:rPr>
                    <w:t>排入开发区临港污水处理厂</w:t>
                  </w:r>
                  <w:r>
                    <w:rPr>
                      <w:rFonts w:ascii="Times New Roman" w:eastAsia="宋体"/>
                      <w:sz w:val="21"/>
                      <w:szCs w:val="21"/>
                    </w:rPr>
                    <w:t>，雨水依托雨水管网排放</w:t>
                  </w:r>
                </w:p>
              </w:tc>
              <w:tc>
                <w:tcPr>
                  <w:tcW w:w="668" w:type="dxa"/>
                  <w:vAlign w:val="center"/>
                </w:tcPr>
                <w:p w14:paraId="0BBC7C5D">
                  <w:pPr>
                    <w:adjustRightInd w:val="0"/>
                    <w:snapToGrid w:val="0"/>
                    <w:jc w:val="center"/>
                    <w:rPr>
                      <w:rFonts w:hint="eastAsia" w:ascii="Times New Roman" w:hAnsi="Times New Roman" w:eastAsia="宋体" w:cs="Times New Roman"/>
                      <w:kern w:val="2"/>
                      <w:sz w:val="21"/>
                      <w:szCs w:val="21"/>
                      <w:lang w:val="en-US" w:eastAsia="zh-CN" w:bidi="ar-SA"/>
                    </w:rPr>
                  </w:pPr>
                  <w:r>
                    <w:rPr>
                      <w:rFonts w:ascii="Times New Roman" w:eastAsia="宋体"/>
                      <w:sz w:val="21"/>
                      <w:szCs w:val="21"/>
                    </w:rPr>
                    <w:t>依托现有</w:t>
                  </w:r>
                </w:p>
              </w:tc>
            </w:tr>
            <w:tr w14:paraId="3CD1E8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14:paraId="461E3984">
                  <w:pPr>
                    <w:pStyle w:val="1111"/>
                    <w:rPr>
                      <w:rFonts w:hint="eastAsia" w:eastAsia="宋体"/>
                      <w:vertAlign w:val="baseline"/>
                      <w:lang w:eastAsia="zh-CN"/>
                    </w:rPr>
                  </w:pPr>
                  <w:r>
                    <w:rPr>
                      <w:rFonts w:hint="eastAsia"/>
                      <w:vertAlign w:val="baseline"/>
                      <w:lang w:eastAsia="zh-CN"/>
                    </w:rPr>
                    <w:t>储运工程</w:t>
                  </w:r>
                </w:p>
              </w:tc>
              <w:tc>
                <w:tcPr>
                  <w:tcW w:w="1528" w:type="dxa"/>
                  <w:vAlign w:val="center"/>
                </w:tcPr>
                <w:p w14:paraId="3687B26A">
                  <w:pPr>
                    <w:pStyle w:val="1111"/>
                    <w:rPr>
                      <w:rFonts w:hint="eastAsia" w:eastAsia="宋体"/>
                      <w:vertAlign w:val="baseline"/>
                      <w:lang w:eastAsia="zh-CN"/>
                    </w:rPr>
                  </w:pPr>
                  <w:r>
                    <w:rPr>
                      <w:rFonts w:hint="eastAsia"/>
                      <w:vertAlign w:val="baseline"/>
                      <w:lang w:eastAsia="zh-CN"/>
                    </w:rPr>
                    <w:t>危废库</w:t>
                  </w:r>
                </w:p>
              </w:tc>
              <w:tc>
                <w:tcPr>
                  <w:tcW w:w="4989" w:type="dxa"/>
                  <w:vAlign w:val="center"/>
                </w:tcPr>
                <w:p w14:paraId="738A9BF5">
                  <w:pPr>
                    <w:pStyle w:val="1111"/>
                    <w:rPr>
                      <w:rFonts w:hint="eastAsia"/>
                      <w:vertAlign w:val="baseline"/>
                    </w:rPr>
                  </w:pPr>
                  <w:r>
                    <w:rPr>
                      <w:rFonts w:ascii="Times New Roman" w:eastAsia="宋体"/>
                      <w:sz w:val="21"/>
                      <w:szCs w:val="21"/>
                    </w:rPr>
                    <w:t>本项目</w:t>
                  </w:r>
                  <w:r>
                    <w:rPr>
                      <w:rFonts w:hint="eastAsia"/>
                      <w:sz w:val="21"/>
                      <w:szCs w:val="21"/>
                      <w:lang w:eastAsia="zh-CN"/>
                    </w:rPr>
                    <w:t>租用</w:t>
                  </w:r>
                  <w:r>
                    <w:rPr>
                      <w:rFonts w:ascii="Times New Roman" w:eastAsia="宋体"/>
                      <w:sz w:val="21"/>
                      <w:szCs w:val="21"/>
                    </w:rPr>
                    <w:t>已建危废库</w:t>
                  </w:r>
                  <w:r>
                    <w:rPr>
                      <w:rFonts w:hint="eastAsia"/>
                      <w:lang w:val="en-US" w:eastAsia="zh-CN"/>
                    </w:rPr>
                    <w:t>1#存储间、2#存储间和3#存储间</w:t>
                  </w:r>
                  <w:r>
                    <w:rPr>
                      <w:rFonts w:ascii="Times New Roman" w:eastAsia="宋体"/>
                      <w:sz w:val="21"/>
                      <w:szCs w:val="21"/>
                    </w:rPr>
                    <w:t>，占地面积</w:t>
                  </w:r>
                  <w:r>
                    <w:rPr>
                      <w:rFonts w:hint="eastAsia"/>
                      <w:sz w:val="21"/>
                      <w:szCs w:val="21"/>
                      <w:lang w:val="en-US" w:eastAsia="zh-CN"/>
                    </w:rPr>
                    <w:t>176.22</w:t>
                  </w:r>
                  <w:r>
                    <w:rPr>
                      <w:rFonts w:ascii="Times New Roman" w:eastAsia="宋体"/>
                      <w:sz w:val="21"/>
                      <w:szCs w:val="21"/>
                    </w:rPr>
                    <w:t>m</w:t>
                  </w:r>
                  <w:r>
                    <w:rPr>
                      <w:rFonts w:ascii="Times New Roman" w:eastAsia="宋体"/>
                      <w:sz w:val="21"/>
                      <w:szCs w:val="21"/>
                      <w:vertAlign w:val="superscript"/>
                    </w:rPr>
                    <w:t>2</w:t>
                  </w:r>
                </w:p>
              </w:tc>
              <w:tc>
                <w:tcPr>
                  <w:tcW w:w="668" w:type="dxa"/>
                  <w:vAlign w:val="center"/>
                </w:tcPr>
                <w:p w14:paraId="6355C550">
                  <w:pPr>
                    <w:pStyle w:val="1111"/>
                    <w:rPr>
                      <w:rFonts w:hint="eastAsia" w:eastAsia="宋体"/>
                      <w:vertAlign w:val="baseline"/>
                      <w:lang w:eastAsia="zh-CN"/>
                    </w:rPr>
                  </w:pPr>
                  <w:r>
                    <w:rPr>
                      <w:rFonts w:hint="eastAsia"/>
                      <w:vertAlign w:val="baseline"/>
                      <w:lang w:eastAsia="zh-CN"/>
                    </w:rPr>
                    <w:t>已建</w:t>
                  </w:r>
                </w:p>
              </w:tc>
            </w:tr>
            <w:tr w14:paraId="05ABC7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Merge w:val="restart"/>
                  <w:vAlign w:val="center"/>
                </w:tcPr>
                <w:p w14:paraId="4801E58F">
                  <w:pPr>
                    <w:pStyle w:val="1111"/>
                    <w:rPr>
                      <w:rFonts w:hint="eastAsia" w:eastAsia="宋体"/>
                      <w:vertAlign w:val="baseline"/>
                      <w:lang w:eastAsia="zh-CN"/>
                    </w:rPr>
                  </w:pPr>
                  <w:r>
                    <w:rPr>
                      <w:rFonts w:hint="eastAsia"/>
                      <w:vertAlign w:val="baseline"/>
                      <w:lang w:eastAsia="zh-CN"/>
                    </w:rPr>
                    <w:t>环保工程</w:t>
                  </w:r>
                </w:p>
              </w:tc>
              <w:tc>
                <w:tcPr>
                  <w:tcW w:w="1528" w:type="dxa"/>
                  <w:vAlign w:val="center"/>
                </w:tcPr>
                <w:p w14:paraId="0508D89A">
                  <w:pPr>
                    <w:adjustRightInd w:val="0"/>
                    <w:snapToGrid w:val="0"/>
                    <w:jc w:val="center"/>
                    <w:rPr>
                      <w:rFonts w:hint="eastAsia" w:ascii="Times New Roman" w:hAnsi="Times New Roman" w:eastAsia="宋体" w:cs="Times New Roman"/>
                      <w:kern w:val="2"/>
                      <w:sz w:val="21"/>
                      <w:szCs w:val="21"/>
                      <w:lang w:val="en-US" w:eastAsia="zh-CN" w:bidi="ar-SA"/>
                    </w:rPr>
                  </w:pPr>
                  <w:r>
                    <w:rPr>
                      <w:rFonts w:ascii="Times New Roman" w:eastAsia="宋体"/>
                      <w:sz w:val="21"/>
                      <w:szCs w:val="21"/>
                    </w:rPr>
                    <w:t>废气治理</w:t>
                  </w:r>
                </w:p>
              </w:tc>
              <w:tc>
                <w:tcPr>
                  <w:tcW w:w="4989" w:type="dxa"/>
                  <w:vAlign w:val="center"/>
                </w:tcPr>
                <w:p w14:paraId="47907D03">
                  <w:pPr>
                    <w:jc w:val="center"/>
                    <w:rPr>
                      <w:rFonts w:hint="eastAsia" w:ascii="Times New Roman" w:hAnsi="Times New Roman" w:eastAsia="宋体" w:cs="Times New Roman"/>
                      <w:kern w:val="2"/>
                      <w:sz w:val="21"/>
                      <w:szCs w:val="21"/>
                      <w:lang w:val="en-US" w:eastAsia="zh-CN" w:bidi="ar-SA"/>
                    </w:rPr>
                  </w:pPr>
                  <w:r>
                    <w:rPr>
                      <w:rFonts w:ascii="Times New Roman" w:eastAsia="宋体"/>
                      <w:sz w:val="21"/>
                      <w:szCs w:val="21"/>
                    </w:rPr>
                    <w:t>危废间危废暂存产生的有机废气</w:t>
                  </w:r>
                  <w:r>
                    <w:rPr>
                      <w:rFonts w:hint="eastAsia"/>
                      <w:sz w:val="21"/>
                      <w:szCs w:val="21"/>
                      <w:lang w:eastAsia="zh-CN"/>
                    </w:rPr>
                    <w:t>和恶臭气体</w:t>
                  </w:r>
                  <w:r>
                    <w:rPr>
                      <w:rFonts w:ascii="Times New Roman" w:eastAsia="宋体"/>
                      <w:sz w:val="21"/>
                      <w:szCs w:val="21"/>
                    </w:rPr>
                    <w:t>经</w:t>
                  </w:r>
                  <w:r>
                    <w:rPr>
                      <w:rFonts w:hint="eastAsia"/>
                      <w:sz w:val="21"/>
                      <w:szCs w:val="21"/>
                      <w:lang w:eastAsia="zh-CN"/>
                    </w:rPr>
                    <w:t>负压</w:t>
                  </w:r>
                  <w:r>
                    <w:rPr>
                      <w:rFonts w:ascii="Times New Roman" w:eastAsia="宋体"/>
                      <w:sz w:val="21"/>
                      <w:szCs w:val="21"/>
                    </w:rPr>
                    <w:t>收集后采用</w:t>
                  </w:r>
                  <w:r>
                    <w:rPr>
                      <w:rFonts w:hint="eastAsia" w:ascii="Times New Roman" w:eastAsia="宋体"/>
                      <w:sz w:val="21"/>
                      <w:szCs w:val="21"/>
                    </w:rPr>
                    <w:t>“</w:t>
                  </w:r>
                  <w:r>
                    <w:rPr>
                      <w:rFonts w:hint="eastAsia"/>
                      <w:sz w:val="21"/>
                      <w:szCs w:val="21"/>
                      <w:lang w:eastAsia="zh-CN"/>
                    </w:rPr>
                    <w:t>碱吸收</w:t>
                  </w:r>
                  <w:r>
                    <w:rPr>
                      <w:rFonts w:ascii="Times New Roman" w:eastAsia="宋体"/>
                      <w:sz w:val="21"/>
                      <w:szCs w:val="21"/>
                    </w:rPr>
                    <w:t>+</w:t>
                  </w:r>
                  <w:r>
                    <w:rPr>
                      <w:rFonts w:hint="eastAsia" w:ascii="Times New Roman" w:eastAsia="宋体"/>
                      <w:sz w:val="21"/>
                      <w:szCs w:val="21"/>
                    </w:rPr>
                    <w:t>活性炭吸附”</w:t>
                  </w:r>
                  <w:r>
                    <w:rPr>
                      <w:rFonts w:ascii="Times New Roman" w:eastAsia="宋体"/>
                      <w:sz w:val="21"/>
                      <w:szCs w:val="21"/>
                    </w:rPr>
                    <w:t>处理后，通过15m高排气筒排放</w:t>
                  </w:r>
                </w:p>
              </w:tc>
              <w:tc>
                <w:tcPr>
                  <w:tcW w:w="668" w:type="dxa"/>
                  <w:vAlign w:val="center"/>
                </w:tcPr>
                <w:p w14:paraId="7F6A66E9">
                  <w:pPr>
                    <w:adjustRightInd w:val="0"/>
                    <w:snapToGrid w:val="0"/>
                    <w:jc w:val="center"/>
                    <w:rPr>
                      <w:rFonts w:hint="eastAsia" w:ascii="Times New Roman" w:hAnsi="Times New Roman" w:eastAsia="宋体" w:cs="Times New Roman"/>
                      <w:kern w:val="2"/>
                      <w:sz w:val="21"/>
                      <w:szCs w:val="21"/>
                      <w:lang w:val="en-US" w:eastAsia="zh-CN" w:bidi="ar-SA"/>
                    </w:rPr>
                  </w:pPr>
                  <w:r>
                    <w:rPr>
                      <w:rFonts w:ascii="Times New Roman" w:eastAsia="宋体"/>
                      <w:sz w:val="21"/>
                      <w:szCs w:val="21"/>
                    </w:rPr>
                    <w:t>依托现有</w:t>
                  </w:r>
                </w:p>
              </w:tc>
            </w:tr>
            <w:tr w14:paraId="2CE277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Merge w:val="continue"/>
                  <w:vAlign w:val="center"/>
                </w:tcPr>
                <w:p w14:paraId="0CFF8A71">
                  <w:pPr>
                    <w:pStyle w:val="1111"/>
                    <w:rPr>
                      <w:rFonts w:hint="eastAsia"/>
                      <w:vertAlign w:val="baseline"/>
                    </w:rPr>
                  </w:pPr>
                </w:p>
              </w:tc>
              <w:tc>
                <w:tcPr>
                  <w:tcW w:w="1528" w:type="dxa"/>
                  <w:vAlign w:val="center"/>
                </w:tcPr>
                <w:p w14:paraId="729E6A68">
                  <w:pPr>
                    <w:adjustRightInd w:val="0"/>
                    <w:snapToGrid w:val="0"/>
                    <w:jc w:val="center"/>
                    <w:rPr>
                      <w:rFonts w:hint="eastAsia" w:ascii="Times New Roman" w:hAnsi="Times New Roman" w:eastAsia="宋体" w:cs="Times New Roman"/>
                      <w:kern w:val="2"/>
                      <w:sz w:val="21"/>
                      <w:szCs w:val="21"/>
                      <w:lang w:val="en-US" w:eastAsia="zh-CN" w:bidi="ar-SA"/>
                    </w:rPr>
                  </w:pPr>
                  <w:r>
                    <w:rPr>
                      <w:rFonts w:ascii="Times New Roman" w:eastAsia="宋体"/>
                      <w:sz w:val="21"/>
                      <w:szCs w:val="21"/>
                    </w:rPr>
                    <w:t>废水治理</w:t>
                  </w:r>
                </w:p>
              </w:tc>
              <w:tc>
                <w:tcPr>
                  <w:tcW w:w="4989" w:type="dxa"/>
                  <w:vAlign w:val="center"/>
                </w:tcPr>
                <w:p w14:paraId="0E0B4749">
                  <w:pPr>
                    <w:adjustRightInd w:val="0"/>
                    <w:snapToGrid w:val="0"/>
                    <w:jc w:val="center"/>
                    <w:rPr>
                      <w:rFonts w:hint="eastAsia" w:ascii="Times New Roman" w:hAnsi="Times New Roman" w:eastAsia="宋体" w:cs="Times New Roman"/>
                      <w:kern w:val="2"/>
                      <w:sz w:val="21"/>
                      <w:szCs w:val="21"/>
                      <w:lang w:val="en-US" w:eastAsia="zh-CN" w:bidi="ar-SA"/>
                    </w:rPr>
                  </w:pPr>
                  <w:r>
                    <w:rPr>
                      <w:rFonts w:ascii="Times New Roman" w:eastAsia="宋体"/>
                      <w:sz w:val="21"/>
                      <w:szCs w:val="21"/>
                    </w:rPr>
                    <w:t>本项目</w:t>
                  </w:r>
                  <w:r>
                    <w:rPr>
                      <w:rFonts w:hint="eastAsia" w:ascii="Times New Roman" w:eastAsia="宋体"/>
                      <w:sz w:val="21"/>
                      <w:szCs w:val="21"/>
                    </w:rPr>
                    <w:t>废气吸收废水</w:t>
                  </w:r>
                  <w:r>
                    <w:rPr>
                      <w:rFonts w:ascii="Times New Roman" w:eastAsia="宋体"/>
                      <w:sz w:val="21"/>
                      <w:szCs w:val="21"/>
                    </w:rPr>
                    <w:t>、生活污水依托已建中华药港污水站处理达标后</w:t>
                  </w:r>
                  <w:r>
                    <w:rPr>
                      <w:rFonts w:hint="eastAsia" w:ascii="Times New Roman" w:eastAsia="宋体"/>
                      <w:sz w:val="21"/>
                      <w:szCs w:val="21"/>
                    </w:rPr>
                    <w:t>排入开发区</w:t>
                  </w:r>
                  <w:r>
                    <w:rPr>
                      <w:rFonts w:ascii="Times New Roman" w:eastAsia="宋体"/>
                      <w:sz w:val="21"/>
                      <w:szCs w:val="21"/>
                    </w:rPr>
                    <w:t>临港污水处理厂</w:t>
                  </w:r>
                </w:p>
              </w:tc>
              <w:tc>
                <w:tcPr>
                  <w:tcW w:w="668" w:type="dxa"/>
                  <w:vAlign w:val="center"/>
                </w:tcPr>
                <w:p w14:paraId="651E3B7B">
                  <w:pPr>
                    <w:adjustRightInd w:val="0"/>
                    <w:snapToGrid w:val="0"/>
                    <w:jc w:val="center"/>
                    <w:rPr>
                      <w:rFonts w:hint="eastAsia" w:ascii="Times New Roman" w:hAnsi="Times New Roman" w:eastAsia="宋体" w:cs="Times New Roman"/>
                      <w:kern w:val="2"/>
                      <w:sz w:val="21"/>
                      <w:szCs w:val="21"/>
                      <w:lang w:val="en-US" w:eastAsia="zh-CN" w:bidi="ar-SA"/>
                    </w:rPr>
                  </w:pPr>
                  <w:r>
                    <w:rPr>
                      <w:rFonts w:ascii="Times New Roman" w:eastAsia="宋体"/>
                      <w:sz w:val="21"/>
                      <w:szCs w:val="21"/>
                    </w:rPr>
                    <w:t>已建</w:t>
                  </w:r>
                </w:p>
              </w:tc>
            </w:tr>
            <w:tr w14:paraId="2F8ED9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Merge w:val="continue"/>
                  <w:vAlign w:val="center"/>
                </w:tcPr>
                <w:p w14:paraId="0CCF9C44">
                  <w:pPr>
                    <w:pStyle w:val="1111"/>
                    <w:rPr>
                      <w:rFonts w:hint="eastAsia"/>
                      <w:vertAlign w:val="baseline"/>
                    </w:rPr>
                  </w:pPr>
                </w:p>
              </w:tc>
              <w:tc>
                <w:tcPr>
                  <w:tcW w:w="1528" w:type="dxa"/>
                  <w:vAlign w:val="center"/>
                </w:tcPr>
                <w:p w14:paraId="4337E2A0">
                  <w:pPr>
                    <w:adjustRightInd w:val="0"/>
                    <w:snapToGrid w:val="0"/>
                    <w:jc w:val="center"/>
                    <w:rPr>
                      <w:rFonts w:hint="eastAsia" w:ascii="Times New Roman" w:hAnsi="Times New Roman" w:eastAsia="宋体" w:cs="Times New Roman"/>
                      <w:kern w:val="2"/>
                      <w:sz w:val="21"/>
                      <w:szCs w:val="21"/>
                      <w:lang w:val="en-US" w:eastAsia="zh-CN" w:bidi="ar-SA"/>
                    </w:rPr>
                  </w:pPr>
                  <w:r>
                    <w:rPr>
                      <w:rFonts w:ascii="Times New Roman" w:eastAsia="宋体"/>
                      <w:sz w:val="21"/>
                      <w:szCs w:val="21"/>
                    </w:rPr>
                    <w:t>噪声处理</w:t>
                  </w:r>
                </w:p>
              </w:tc>
              <w:tc>
                <w:tcPr>
                  <w:tcW w:w="4989" w:type="dxa"/>
                  <w:vAlign w:val="center"/>
                </w:tcPr>
                <w:p w14:paraId="6D8B3AA1">
                  <w:pPr>
                    <w:adjustRightInd w:val="0"/>
                    <w:snapToGrid w:val="0"/>
                    <w:jc w:val="center"/>
                    <w:rPr>
                      <w:rFonts w:hint="eastAsia" w:ascii="Times New Roman" w:hAnsi="Times New Roman" w:eastAsia="宋体" w:cs="Times New Roman"/>
                      <w:kern w:val="2"/>
                      <w:sz w:val="21"/>
                      <w:szCs w:val="21"/>
                      <w:lang w:val="en-US" w:eastAsia="zh-CN" w:bidi="ar-SA"/>
                    </w:rPr>
                  </w:pPr>
                  <w:r>
                    <w:rPr>
                      <w:rFonts w:ascii="Times New Roman" w:eastAsia="宋体"/>
                      <w:sz w:val="21"/>
                      <w:szCs w:val="21"/>
                    </w:rPr>
                    <w:t>本项目不涉及高噪声源，噪声环境影响较小</w:t>
                  </w:r>
                </w:p>
              </w:tc>
              <w:tc>
                <w:tcPr>
                  <w:tcW w:w="668" w:type="dxa"/>
                  <w:vAlign w:val="center"/>
                </w:tcPr>
                <w:p w14:paraId="79F8C792">
                  <w:pPr>
                    <w:adjustRightInd w:val="0"/>
                    <w:snapToGrid w:val="0"/>
                    <w:jc w:val="center"/>
                    <w:rPr>
                      <w:rFonts w:hint="eastAsia" w:ascii="Times New Roman" w:hAnsi="Times New Roman" w:eastAsia="宋体" w:cs="Times New Roman"/>
                      <w:kern w:val="2"/>
                      <w:sz w:val="21"/>
                      <w:szCs w:val="21"/>
                      <w:lang w:val="en-US" w:eastAsia="zh-CN" w:bidi="ar-SA"/>
                    </w:rPr>
                  </w:pPr>
                  <w:r>
                    <w:rPr>
                      <w:rFonts w:ascii="Times New Roman" w:eastAsia="宋体"/>
                      <w:sz w:val="21"/>
                      <w:szCs w:val="21"/>
                    </w:rPr>
                    <w:t>/</w:t>
                  </w:r>
                </w:p>
              </w:tc>
            </w:tr>
            <w:tr w14:paraId="292E71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Merge w:val="continue"/>
                  <w:vAlign w:val="center"/>
                </w:tcPr>
                <w:p w14:paraId="09872865">
                  <w:pPr>
                    <w:pStyle w:val="1111"/>
                    <w:rPr>
                      <w:rFonts w:hint="eastAsia"/>
                      <w:vertAlign w:val="baseline"/>
                    </w:rPr>
                  </w:pPr>
                </w:p>
              </w:tc>
              <w:tc>
                <w:tcPr>
                  <w:tcW w:w="1528" w:type="dxa"/>
                  <w:vAlign w:val="center"/>
                </w:tcPr>
                <w:p w14:paraId="4B6C8B1B">
                  <w:pPr>
                    <w:adjustRightInd w:val="0"/>
                    <w:snapToGrid w:val="0"/>
                    <w:jc w:val="center"/>
                    <w:rPr>
                      <w:rFonts w:hint="eastAsia" w:ascii="Times New Roman" w:hAnsi="Times New Roman" w:eastAsia="宋体" w:cs="Times New Roman"/>
                      <w:kern w:val="2"/>
                      <w:sz w:val="21"/>
                      <w:szCs w:val="21"/>
                      <w:lang w:val="en-US" w:eastAsia="zh-CN" w:bidi="ar-SA"/>
                    </w:rPr>
                  </w:pPr>
                  <w:r>
                    <w:rPr>
                      <w:rFonts w:ascii="Times New Roman" w:eastAsia="宋体"/>
                      <w:sz w:val="21"/>
                      <w:szCs w:val="21"/>
                    </w:rPr>
                    <w:t>固废处理</w:t>
                  </w:r>
                </w:p>
              </w:tc>
              <w:tc>
                <w:tcPr>
                  <w:tcW w:w="4989" w:type="dxa"/>
                  <w:vAlign w:val="center"/>
                </w:tcPr>
                <w:p w14:paraId="41F9B33F">
                  <w:pPr>
                    <w:adjustRightInd w:val="0"/>
                    <w:snapToGrid w:val="0"/>
                    <w:jc w:val="center"/>
                    <w:rPr>
                      <w:rFonts w:hint="eastAsia" w:ascii="Times New Roman" w:hAnsi="Times New Roman" w:eastAsia="宋体" w:cs="Times New Roman"/>
                      <w:kern w:val="2"/>
                      <w:sz w:val="21"/>
                      <w:szCs w:val="21"/>
                      <w:lang w:val="en-US" w:eastAsia="zh-CN" w:bidi="ar-SA"/>
                    </w:rPr>
                  </w:pPr>
                  <w:r>
                    <w:rPr>
                      <w:rFonts w:ascii="Times New Roman" w:eastAsia="宋体"/>
                      <w:sz w:val="21"/>
                      <w:szCs w:val="21"/>
                    </w:rPr>
                    <w:t>危废暂存库：本项目占地面积</w:t>
                  </w:r>
                  <w:r>
                    <w:rPr>
                      <w:rFonts w:hint="eastAsia"/>
                      <w:sz w:val="21"/>
                      <w:szCs w:val="21"/>
                      <w:lang w:val="en-US" w:eastAsia="zh-CN"/>
                    </w:rPr>
                    <w:t>176.22</w:t>
                  </w:r>
                  <w:r>
                    <w:rPr>
                      <w:rFonts w:ascii="Times New Roman" w:eastAsia="宋体"/>
                      <w:sz w:val="21"/>
                      <w:szCs w:val="21"/>
                    </w:rPr>
                    <w:t>m</w:t>
                  </w:r>
                  <w:r>
                    <w:rPr>
                      <w:rFonts w:ascii="Times New Roman" w:eastAsia="宋体"/>
                      <w:sz w:val="21"/>
                      <w:szCs w:val="21"/>
                      <w:vertAlign w:val="superscript"/>
                    </w:rPr>
                    <w:t>2</w:t>
                  </w:r>
                </w:p>
              </w:tc>
              <w:tc>
                <w:tcPr>
                  <w:tcW w:w="668" w:type="dxa"/>
                  <w:vAlign w:val="center"/>
                </w:tcPr>
                <w:p w14:paraId="2200B66C">
                  <w:pPr>
                    <w:adjustRightInd w:val="0"/>
                    <w:snapToGrid w:val="0"/>
                    <w:jc w:val="center"/>
                    <w:rPr>
                      <w:rFonts w:hint="eastAsia" w:ascii="Times New Roman" w:hAnsi="Times New Roman" w:eastAsia="宋体" w:cs="Times New Roman"/>
                      <w:kern w:val="2"/>
                      <w:sz w:val="21"/>
                      <w:szCs w:val="21"/>
                      <w:lang w:val="en-US" w:eastAsia="zh-CN" w:bidi="ar-SA"/>
                    </w:rPr>
                  </w:pPr>
                  <w:r>
                    <w:rPr>
                      <w:rFonts w:ascii="Times New Roman" w:eastAsia="宋体"/>
                      <w:sz w:val="21"/>
                      <w:szCs w:val="21"/>
                    </w:rPr>
                    <w:t>已建</w:t>
                  </w:r>
                </w:p>
              </w:tc>
            </w:tr>
            <w:tr w14:paraId="0BEFF6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Merge w:val="continue"/>
                  <w:vAlign w:val="center"/>
                </w:tcPr>
                <w:p w14:paraId="4F7D7DDD">
                  <w:pPr>
                    <w:pStyle w:val="1111"/>
                    <w:rPr>
                      <w:rFonts w:hint="eastAsia"/>
                      <w:vertAlign w:val="baseline"/>
                    </w:rPr>
                  </w:pPr>
                </w:p>
              </w:tc>
              <w:tc>
                <w:tcPr>
                  <w:tcW w:w="1528" w:type="dxa"/>
                  <w:vAlign w:val="center"/>
                </w:tcPr>
                <w:p w14:paraId="4338CC7D">
                  <w:pPr>
                    <w:adjustRightInd w:val="0"/>
                    <w:snapToGrid w:val="0"/>
                    <w:jc w:val="center"/>
                    <w:rPr>
                      <w:rFonts w:hint="eastAsia" w:ascii="Times New Roman" w:hAnsi="Times New Roman" w:eastAsia="宋体" w:cs="Times New Roman"/>
                      <w:kern w:val="2"/>
                      <w:sz w:val="21"/>
                      <w:szCs w:val="21"/>
                      <w:lang w:val="en-US" w:eastAsia="zh-CN" w:bidi="ar-SA"/>
                    </w:rPr>
                  </w:pPr>
                  <w:r>
                    <w:rPr>
                      <w:rFonts w:ascii="Times New Roman" w:eastAsia="宋体"/>
                      <w:bCs/>
                      <w:sz w:val="21"/>
                      <w:szCs w:val="21"/>
                    </w:rPr>
                    <w:t>地下水、土壤防护</w:t>
                  </w:r>
                </w:p>
              </w:tc>
              <w:tc>
                <w:tcPr>
                  <w:tcW w:w="4989" w:type="dxa"/>
                  <w:vAlign w:val="center"/>
                </w:tcPr>
                <w:p w14:paraId="19EDE5A9">
                  <w:pPr>
                    <w:adjustRightInd w:val="0"/>
                    <w:snapToGrid w:val="0"/>
                    <w:jc w:val="center"/>
                    <w:rPr>
                      <w:rFonts w:hint="eastAsia" w:ascii="Times New Roman" w:hAnsi="Times New Roman" w:eastAsia="宋体" w:cs="Times New Roman"/>
                      <w:kern w:val="2"/>
                      <w:sz w:val="21"/>
                      <w:szCs w:val="21"/>
                      <w:lang w:val="en-US" w:eastAsia="zh-CN" w:bidi="ar-SA"/>
                    </w:rPr>
                  </w:pPr>
                  <w:r>
                    <w:rPr>
                      <w:rFonts w:ascii="Times New Roman" w:eastAsia="宋体"/>
                      <w:bCs/>
                      <w:sz w:val="21"/>
                      <w:szCs w:val="21"/>
                    </w:rPr>
                    <w:t>分区防渗</w:t>
                  </w:r>
                </w:p>
              </w:tc>
              <w:tc>
                <w:tcPr>
                  <w:tcW w:w="668" w:type="dxa"/>
                  <w:vAlign w:val="center"/>
                </w:tcPr>
                <w:p w14:paraId="1BB71CD4">
                  <w:pPr>
                    <w:adjustRightInd w:val="0"/>
                    <w:snapToGrid w:val="0"/>
                    <w:jc w:val="center"/>
                    <w:rPr>
                      <w:rFonts w:hint="eastAsia" w:ascii="Times New Roman" w:hAnsi="Times New Roman" w:eastAsia="宋体" w:cs="Times New Roman"/>
                      <w:kern w:val="2"/>
                      <w:sz w:val="21"/>
                      <w:szCs w:val="21"/>
                      <w:lang w:val="en-US" w:eastAsia="zh-CN" w:bidi="ar-SA"/>
                    </w:rPr>
                  </w:pPr>
                  <w:r>
                    <w:rPr>
                      <w:rFonts w:ascii="Times New Roman" w:eastAsia="宋体"/>
                      <w:sz w:val="21"/>
                      <w:szCs w:val="21"/>
                    </w:rPr>
                    <w:t>依托现有</w:t>
                  </w:r>
                </w:p>
              </w:tc>
            </w:tr>
            <w:tr w14:paraId="7B7620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Merge w:val="continue"/>
                  <w:vAlign w:val="center"/>
                </w:tcPr>
                <w:p w14:paraId="1085F735">
                  <w:pPr>
                    <w:pStyle w:val="1111"/>
                    <w:rPr>
                      <w:rFonts w:hint="eastAsia"/>
                      <w:vertAlign w:val="baseline"/>
                    </w:rPr>
                  </w:pPr>
                </w:p>
              </w:tc>
              <w:tc>
                <w:tcPr>
                  <w:tcW w:w="1528" w:type="dxa"/>
                  <w:vMerge w:val="restart"/>
                  <w:vAlign w:val="center"/>
                </w:tcPr>
                <w:p w14:paraId="23C96AE4">
                  <w:pPr>
                    <w:adjustRightInd w:val="0"/>
                    <w:snapToGrid w:val="0"/>
                    <w:jc w:val="center"/>
                    <w:rPr>
                      <w:rFonts w:hint="eastAsia" w:ascii="Times New Roman" w:hAnsi="Times New Roman" w:eastAsia="宋体" w:cs="Times New Roman"/>
                      <w:kern w:val="2"/>
                      <w:sz w:val="21"/>
                      <w:szCs w:val="21"/>
                      <w:lang w:val="en-US" w:eastAsia="zh-CN" w:bidi="ar-SA"/>
                    </w:rPr>
                  </w:pPr>
                  <w:r>
                    <w:rPr>
                      <w:rFonts w:ascii="Times New Roman" w:eastAsia="宋体"/>
                      <w:sz w:val="21"/>
                      <w:szCs w:val="21"/>
                    </w:rPr>
                    <w:t>环境风险防范措施</w:t>
                  </w:r>
                </w:p>
              </w:tc>
              <w:tc>
                <w:tcPr>
                  <w:tcW w:w="4989" w:type="dxa"/>
                  <w:vAlign w:val="center"/>
                </w:tcPr>
                <w:p w14:paraId="534FA86A">
                  <w:pPr>
                    <w:adjustRightInd w:val="0"/>
                    <w:snapToGrid w:val="0"/>
                    <w:jc w:val="center"/>
                    <w:rPr>
                      <w:rFonts w:hint="eastAsia" w:ascii="Times New Roman" w:hAnsi="Times New Roman" w:eastAsia="宋体" w:cs="Times New Roman"/>
                      <w:kern w:val="2"/>
                      <w:sz w:val="21"/>
                      <w:szCs w:val="21"/>
                      <w:lang w:val="en-US" w:eastAsia="zh-CN" w:bidi="ar-SA"/>
                    </w:rPr>
                  </w:pPr>
                  <w:r>
                    <w:rPr>
                      <w:rFonts w:ascii="Times New Roman" w:eastAsia="宋体"/>
                      <w:sz w:val="21"/>
                      <w:szCs w:val="21"/>
                    </w:rPr>
                    <w:t>危废库内设置液体导流沟（宽0.2m，深0.3m）和应急收集井（容积0.729m</w:t>
                  </w:r>
                  <w:r>
                    <w:rPr>
                      <w:rFonts w:ascii="Times New Roman" w:eastAsia="宋体"/>
                      <w:sz w:val="21"/>
                      <w:szCs w:val="21"/>
                      <w:vertAlign w:val="superscript"/>
                    </w:rPr>
                    <w:t>3</w:t>
                  </w:r>
                  <w:r>
                    <w:rPr>
                      <w:rFonts w:ascii="Times New Roman" w:eastAsia="宋体"/>
                      <w:sz w:val="21"/>
                      <w:szCs w:val="21"/>
                    </w:rPr>
                    <w:t>），地面做防腐防渗处；室内配备干粉手提式灭火器，设室外消火栓；设火灾自动报警系统、可燃气体报警系统及联动控制系统等</w:t>
                  </w:r>
                </w:p>
              </w:tc>
              <w:tc>
                <w:tcPr>
                  <w:tcW w:w="668" w:type="dxa"/>
                  <w:vAlign w:val="center"/>
                </w:tcPr>
                <w:p w14:paraId="687627D2">
                  <w:pPr>
                    <w:adjustRightInd w:val="0"/>
                    <w:snapToGrid w:val="0"/>
                    <w:jc w:val="center"/>
                    <w:rPr>
                      <w:rFonts w:hint="eastAsia" w:ascii="Times New Roman" w:hAnsi="Times New Roman" w:eastAsia="宋体" w:cs="Times New Roman"/>
                      <w:kern w:val="2"/>
                      <w:sz w:val="21"/>
                      <w:szCs w:val="21"/>
                      <w:lang w:val="en-US" w:eastAsia="zh-CN" w:bidi="ar-SA"/>
                    </w:rPr>
                  </w:pPr>
                  <w:r>
                    <w:rPr>
                      <w:rFonts w:ascii="Times New Roman" w:eastAsia="宋体"/>
                      <w:sz w:val="21"/>
                      <w:szCs w:val="21"/>
                    </w:rPr>
                    <w:t>依托现有</w:t>
                  </w:r>
                </w:p>
              </w:tc>
            </w:tr>
            <w:tr w14:paraId="145238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Merge w:val="continue"/>
                  <w:vAlign w:val="center"/>
                </w:tcPr>
                <w:p w14:paraId="01F64862">
                  <w:pPr>
                    <w:pStyle w:val="1111"/>
                    <w:rPr>
                      <w:rFonts w:hint="eastAsia"/>
                      <w:vertAlign w:val="baseline"/>
                    </w:rPr>
                  </w:pPr>
                </w:p>
              </w:tc>
              <w:tc>
                <w:tcPr>
                  <w:tcW w:w="1528" w:type="dxa"/>
                  <w:vMerge w:val="continue"/>
                  <w:vAlign w:val="center"/>
                </w:tcPr>
                <w:p w14:paraId="5C1AC4DB">
                  <w:pPr>
                    <w:pStyle w:val="1111"/>
                    <w:rPr>
                      <w:rFonts w:hint="eastAsia"/>
                      <w:vertAlign w:val="baseline"/>
                    </w:rPr>
                  </w:pPr>
                </w:p>
              </w:tc>
              <w:tc>
                <w:tcPr>
                  <w:tcW w:w="4989" w:type="dxa"/>
                  <w:vAlign w:val="center"/>
                </w:tcPr>
                <w:p w14:paraId="4D550F7A">
                  <w:pPr>
                    <w:adjustRightInd w:val="0"/>
                    <w:snapToGrid w:val="0"/>
                    <w:jc w:val="center"/>
                    <w:rPr>
                      <w:rFonts w:hint="eastAsia" w:ascii="Times New Roman" w:hAnsi="Times New Roman" w:eastAsia="宋体" w:cs="Times New Roman"/>
                      <w:kern w:val="2"/>
                      <w:sz w:val="21"/>
                      <w:szCs w:val="21"/>
                      <w:lang w:val="en-US" w:eastAsia="zh-CN" w:bidi="ar-SA"/>
                    </w:rPr>
                  </w:pPr>
                  <w:r>
                    <w:rPr>
                      <w:rFonts w:ascii="Times New Roman" w:eastAsia="宋体"/>
                      <w:sz w:val="21"/>
                      <w:szCs w:val="21"/>
                    </w:rPr>
                    <w:t>危废库为防止液体流散在仓库门洞处修筑漫坡，高为150mm-300mm；在门槛两边填沙土形成漫坡</w:t>
                  </w:r>
                </w:p>
              </w:tc>
              <w:tc>
                <w:tcPr>
                  <w:tcW w:w="668" w:type="dxa"/>
                  <w:vAlign w:val="center"/>
                </w:tcPr>
                <w:p w14:paraId="7E402453">
                  <w:pPr>
                    <w:adjustRightInd w:val="0"/>
                    <w:snapToGrid w:val="0"/>
                    <w:jc w:val="center"/>
                    <w:rPr>
                      <w:rFonts w:hint="eastAsia" w:ascii="Times New Roman" w:hAnsi="Times New Roman" w:eastAsia="宋体" w:cs="Times New Roman"/>
                      <w:kern w:val="2"/>
                      <w:sz w:val="21"/>
                      <w:szCs w:val="21"/>
                      <w:lang w:val="en-US" w:eastAsia="zh-CN" w:bidi="ar-SA"/>
                    </w:rPr>
                  </w:pPr>
                  <w:r>
                    <w:rPr>
                      <w:rFonts w:ascii="Times New Roman" w:eastAsia="宋体"/>
                      <w:sz w:val="21"/>
                      <w:szCs w:val="21"/>
                    </w:rPr>
                    <w:t>依托现有</w:t>
                  </w:r>
                </w:p>
              </w:tc>
            </w:tr>
            <w:tr w14:paraId="6623E4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Merge w:val="continue"/>
                  <w:vAlign w:val="center"/>
                </w:tcPr>
                <w:p w14:paraId="615859A0">
                  <w:pPr>
                    <w:pStyle w:val="1111"/>
                    <w:rPr>
                      <w:rFonts w:hint="eastAsia"/>
                      <w:vertAlign w:val="baseline"/>
                    </w:rPr>
                  </w:pPr>
                </w:p>
              </w:tc>
              <w:tc>
                <w:tcPr>
                  <w:tcW w:w="1528" w:type="dxa"/>
                  <w:vMerge w:val="continue"/>
                  <w:vAlign w:val="center"/>
                </w:tcPr>
                <w:p w14:paraId="4C592300">
                  <w:pPr>
                    <w:pStyle w:val="1111"/>
                    <w:rPr>
                      <w:rFonts w:hint="eastAsia"/>
                      <w:vertAlign w:val="baseline"/>
                    </w:rPr>
                  </w:pPr>
                </w:p>
              </w:tc>
              <w:tc>
                <w:tcPr>
                  <w:tcW w:w="4989" w:type="dxa"/>
                  <w:vAlign w:val="center"/>
                </w:tcPr>
                <w:p w14:paraId="1AEA6BA3">
                  <w:pPr>
                    <w:adjustRightInd w:val="0"/>
                    <w:snapToGrid w:val="0"/>
                    <w:jc w:val="center"/>
                    <w:rPr>
                      <w:rFonts w:hint="eastAsia" w:ascii="Times New Roman" w:hAnsi="Times New Roman" w:eastAsia="宋体" w:cs="Times New Roman"/>
                      <w:kern w:val="2"/>
                      <w:sz w:val="21"/>
                      <w:szCs w:val="21"/>
                      <w:lang w:val="en-US" w:eastAsia="zh-CN" w:bidi="ar-SA"/>
                    </w:rPr>
                  </w:pPr>
                  <w:r>
                    <w:rPr>
                      <w:rFonts w:ascii="Times New Roman" w:eastAsia="宋体"/>
                      <w:sz w:val="21"/>
                      <w:szCs w:val="21"/>
                    </w:rPr>
                    <w:t>事故应急水池：依托</w:t>
                  </w:r>
                  <w:r>
                    <w:rPr>
                      <w:rFonts w:ascii="Times New Roman" w:eastAsia="宋体"/>
                      <w:bCs/>
                      <w:sz w:val="21"/>
                      <w:szCs w:val="21"/>
                      <w:lang w:bidi="ar"/>
                    </w:rPr>
                    <w:t>高端化学制剂产业园项目-污水处理站项目建设的中华药港的公共</w:t>
                  </w:r>
                  <w:r>
                    <w:rPr>
                      <w:rFonts w:ascii="Times New Roman" w:eastAsia="宋体"/>
                      <w:sz w:val="21"/>
                      <w:szCs w:val="21"/>
                    </w:rPr>
                    <w:t>事故应急水池，应急水池容积1993.6m</w:t>
                  </w:r>
                  <w:r>
                    <w:rPr>
                      <w:rFonts w:ascii="Times New Roman" w:eastAsia="宋体"/>
                      <w:sz w:val="21"/>
                      <w:szCs w:val="21"/>
                      <w:vertAlign w:val="superscript"/>
                    </w:rPr>
                    <w:t>3</w:t>
                  </w:r>
                </w:p>
              </w:tc>
              <w:tc>
                <w:tcPr>
                  <w:tcW w:w="668" w:type="dxa"/>
                  <w:vAlign w:val="center"/>
                </w:tcPr>
                <w:p w14:paraId="6A3AE2F7">
                  <w:pPr>
                    <w:adjustRightInd w:val="0"/>
                    <w:snapToGrid w:val="0"/>
                    <w:jc w:val="center"/>
                    <w:rPr>
                      <w:rFonts w:hint="eastAsia" w:ascii="Times New Roman" w:hAnsi="Times New Roman" w:eastAsia="宋体" w:cs="Times New Roman"/>
                      <w:kern w:val="2"/>
                      <w:sz w:val="21"/>
                      <w:szCs w:val="21"/>
                      <w:lang w:val="en-US" w:eastAsia="zh-CN" w:bidi="ar-SA"/>
                    </w:rPr>
                  </w:pPr>
                  <w:r>
                    <w:rPr>
                      <w:rFonts w:ascii="Times New Roman" w:eastAsia="宋体"/>
                      <w:sz w:val="21"/>
                      <w:szCs w:val="21"/>
                    </w:rPr>
                    <w:t>依托现有</w:t>
                  </w:r>
                </w:p>
              </w:tc>
            </w:tr>
          </w:tbl>
          <w:p w14:paraId="082A9C1B">
            <w:pPr>
              <w:pStyle w:val="1111"/>
              <w:rPr>
                <w:rFonts w:hint="eastAsia"/>
              </w:rPr>
            </w:pPr>
          </w:p>
          <w:p w14:paraId="336B1D62">
            <w:pPr>
              <w:pStyle w:val="512"/>
              <w:numPr>
                <w:ilvl w:val="0"/>
                <w:numId w:val="9"/>
              </w:numPr>
              <w:bidi w:val="0"/>
              <w:rPr>
                <w:rFonts w:hint="eastAsia"/>
                <w:lang w:val="en-US" w:eastAsia="zh-CN"/>
              </w:rPr>
            </w:pPr>
            <w:r>
              <w:rPr>
                <w:rFonts w:hint="eastAsia"/>
                <w:lang w:val="en-US" w:eastAsia="zh-CN"/>
              </w:rPr>
              <w:t>原有项目存储能力</w:t>
            </w:r>
          </w:p>
          <w:p w14:paraId="6D821EC7">
            <w:pPr>
              <w:pStyle w:val="512"/>
              <w:bidi w:val="0"/>
              <w:rPr>
                <w:rFonts w:hint="eastAsia"/>
                <w:lang w:val="en-US" w:eastAsia="zh-CN"/>
              </w:rPr>
            </w:pPr>
            <w:r>
              <w:rPr>
                <w:rFonts w:hint="eastAsia"/>
                <w:lang w:val="en-US" w:eastAsia="zh-CN"/>
              </w:rPr>
              <w:t>根据江苏鑫科医药产业投资发展有限公司《高端化学制剂产业园项目-仓库项目环境影响报告表》，危化品库分为8个存储间，暂存企业使用的各类化学品；危废库分为10个存储间，暂存生产过程中各企业产生的各类危险废物。存储情况如下。</w:t>
            </w:r>
          </w:p>
          <w:p w14:paraId="7330B184">
            <w:pPr>
              <w:pStyle w:val="1111"/>
              <w:bidi w:val="0"/>
              <w:rPr>
                <w:rFonts w:hint="eastAsia"/>
                <w:lang w:val="en-US" w:eastAsia="zh-CN"/>
              </w:rPr>
            </w:pPr>
            <w:r>
              <w:rPr>
                <w:rFonts w:hint="eastAsia"/>
                <w:lang w:val="en-US" w:eastAsia="zh-CN"/>
              </w:rPr>
              <w:t>表2-3 原有项目危废库存储情况一览表</w:t>
            </w:r>
          </w:p>
          <w:tbl>
            <w:tblPr>
              <w:tblStyle w:val="7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856"/>
              <w:gridCol w:w="1657"/>
              <w:gridCol w:w="913"/>
              <w:gridCol w:w="934"/>
              <w:gridCol w:w="1571"/>
              <w:gridCol w:w="1568"/>
            </w:tblGrid>
            <w:tr w14:paraId="6FB64E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8" w:type="pct"/>
                  <w:gridSpan w:val="2"/>
                  <w:noWrap w:val="0"/>
                  <w:vAlign w:val="center"/>
                </w:tcPr>
                <w:p w14:paraId="5DF1A3F7">
                  <w:pPr>
                    <w:pStyle w:val="1111"/>
                    <w:bidi w:val="0"/>
                  </w:pPr>
                  <w:r>
                    <w:t>建筑名称</w:t>
                  </w:r>
                </w:p>
              </w:tc>
              <w:tc>
                <w:tcPr>
                  <w:tcW w:w="1045" w:type="pct"/>
                  <w:noWrap w:val="0"/>
                  <w:vAlign w:val="center"/>
                </w:tcPr>
                <w:p w14:paraId="70C7F5C0">
                  <w:pPr>
                    <w:pStyle w:val="1111"/>
                    <w:bidi w:val="0"/>
                  </w:pPr>
                  <w:r>
                    <w:t>存放物质</w:t>
                  </w:r>
                </w:p>
              </w:tc>
              <w:tc>
                <w:tcPr>
                  <w:tcW w:w="576" w:type="pct"/>
                  <w:noWrap w:val="0"/>
                  <w:vAlign w:val="center"/>
                </w:tcPr>
                <w:p w14:paraId="3271411A">
                  <w:pPr>
                    <w:pStyle w:val="1111"/>
                    <w:bidi w:val="0"/>
                  </w:pPr>
                  <w:r>
                    <w:t>最大存储量（t）</w:t>
                  </w:r>
                </w:p>
              </w:tc>
              <w:tc>
                <w:tcPr>
                  <w:tcW w:w="589" w:type="pct"/>
                  <w:noWrap w:val="0"/>
                  <w:vAlign w:val="center"/>
                </w:tcPr>
                <w:p w14:paraId="67F5976C">
                  <w:pPr>
                    <w:pStyle w:val="1111"/>
                    <w:bidi w:val="0"/>
                  </w:pPr>
                  <w:r>
                    <w:t>周转周期（t）</w:t>
                  </w:r>
                </w:p>
              </w:tc>
              <w:tc>
                <w:tcPr>
                  <w:tcW w:w="991" w:type="pct"/>
                  <w:noWrap w:val="0"/>
                  <w:vAlign w:val="center"/>
                </w:tcPr>
                <w:p w14:paraId="472DF747">
                  <w:pPr>
                    <w:pStyle w:val="1111"/>
                    <w:bidi w:val="0"/>
                  </w:pPr>
                  <w:r>
                    <w:t>贮存能力（t）</w:t>
                  </w:r>
                </w:p>
              </w:tc>
              <w:tc>
                <w:tcPr>
                  <w:tcW w:w="989" w:type="pct"/>
                  <w:noWrap w:val="0"/>
                  <w:vAlign w:val="center"/>
                </w:tcPr>
                <w:p w14:paraId="604934AB">
                  <w:pPr>
                    <w:pStyle w:val="1111"/>
                    <w:bidi w:val="0"/>
                  </w:pPr>
                  <w:r>
                    <w:t>存储方式</w:t>
                  </w:r>
                </w:p>
              </w:tc>
            </w:tr>
            <w:tr w14:paraId="10D46D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 w:type="pct"/>
                  <w:vMerge w:val="restart"/>
                  <w:noWrap w:val="0"/>
                  <w:vAlign w:val="center"/>
                </w:tcPr>
                <w:p w14:paraId="660E73A8">
                  <w:pPr>
                    <w:pStyle w:val="1111"/>
                    <w:bidi w:val="0"/>
                  </w:pPr>
                  <w:r>
                    <w:t>7#危废库</w:t>
                  </w:r>
                </w:p>
              </w:tc>
              <w:tc>
                <w:tcPr>
                  <w:tcW w:w="539" w:type="pct"/>
                  <w:vMerge w:val="restart"/>
                  <w:noWrap w:val="0"/>
                  <w:vAlign w:val="center"/>
                </w:tcPr>
                <w:p w14:paraId="25C3E42A">
                  <w:pPr>
                    <w:pStyle w:val="1111"/>
                    <w:bidi w:val="0"/>
                  </w:pPr>
                  <w:r>
                    <w:t>1#存储间（和晨）</w:t>
                  </w:r>
                </w:p>
              </w:tc>
              <w:tc>
                <w:tcPr>
                  <w:tcW w:w="1045" w:type="pct"/>
                  <w:noWrap w:val="0"/>
                  <w:vAlign w:val="center"/>
                </w:tcPr>
                <w:p w14:paraId="5298703D">
                  <w:pPr>
                    <w:pStyle w:val="1111"/>
                    <w:bidi w:val="0"/>
                  </w:pPr>
                  <w:r>
                    <w:t>废液900-047-49</w:t>
                  </w:r>
                </w:p>
              </w:tc>
              <w:tc>
                <w:tcPr>
                  <w:tcW w:w="576" w:type="pct"/>
                  <w:noWrap w:val="0"/>
                  <w:vAlign w:val="center"/>
                </w:tcPr>
                <w:p w14:paraId="23D9052B">
                  <w:pPr>
                    <w:pStyle w:val="1111"/>
                    <w:bidi w:val="0"/>
                  </w:pPr>
                  <w:r>
                    <w:t>0.4t</w:t>
                  </w:r>
                </w:p>
              </w:tc>
              <w:tc>
                <w:tcPr>
                  <w:tcW w:w="589" w:type="pct"/>
                  <w:noWrap w:val="0"/>
                  <w:vAlign w:val="center"/>
                </w:tcPr>
                <w:p w14:paraId="3C2FD226">
                  <w:pPr>
                    <w:pStyle w:val="1111"/>
                    <w:bidi w:val="0"/>
                  </w:pPr>
                  <w:r>
                    <w:t>3个月</w:t>
                  </w:r>
                </w:p>
              </w:tc>
              <w:tc>
                <w:tcPr>
                  <w:tcW w:w="991" w:type="pct"/>
                  <w:vMerge w:val="restart"/>
                  <w:noWrap w:val="0"/>
                  <w:vAlign w:val="center"/>
                </w:tcPr>
                <w:p w14:paraId="658BC1C6">
                  <w:pPr>
                    <w:pStyle w:val="1111"/>
                    <w:bidi w:val="0"/>
                  </w:pPr>
                  <w:r>
                    <w:t>88</w:t>
                  </w:r>
                </w:p>
              </w:tc>
              <w:tc>
                <w:tcPr>
                  <w:tcW w:w="989" w:type="pct"/>
                  <w:noWrap w:val="0"/>
                  <w:vAlign w:val="center"/>
                </w:tcPr>
                <w:p w14:paraId="7BF34371">
                  <w:pPr>
                    <w:pStyle w:val="1111"/>
                    <w:bidi w:val="0"/>
                  </w:pPr>
                  <w:r>
                    <w:t>100L包装桶</w:t>
                  </w:r>
                </w:p>
              </w:tc>
            </w:tr>
            <w:tr w14:paraId="0F1159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 w:type="pct"/>
                  <w:vMerge w:val="continue"/>
                  <w:noWrap w:val="0"/>
                  <w:vAlign w:val="center"/>
                </w:tcPr>
                <w:p w14:paraId="658CC7A5">
                  <w:pPr>
                    <w:pStyle w:val="1111"/>
                    <w:bidi w:val="0"/>
                  </w:pPr>
                </w:p>
              </w:tc>
              <w:tc>
                <w:tcPr>
                  <w:tcW w:w="539" w:type="pct"/>
                  <w:vMerge w:val="continue"/>
                  <w:noWrap w:val="0"/>
                  <w:vAlign w:val="center"/>
                </w:tcPr>
                <w:p w14:paraId="4F406CFD">
                  <w:pPr>
                    <w:pStyle w:val="1111"/>
                    <w:bidi w:val="0"/>
                  </w:pPr>
                </w:p>
              </w:tc>
              <w:tc>
                <w:tcPr>
                  <w:tcW w:w="1045" w:type="pct"/>
                  <w:noWrap w:val="0"/>
                  <w:vAlign w:val="center"/>
                </w:tcPr>
                <w:p w14:paraId="46AEFD60">
                  <w:pPr>
                    <w:pStyle w:val="1111"/>
                    <w:bidi w:val="0"/>
                  </w:pPr>
                  <w:r>
                    <w:t>废活性炭900-039-49</w:t>
                  </w:r>
                </w:p>
              </w:tc>
              <w:tc>
                <w:tcPr>
                  <w:tcW w:w="576" w:type="pct"/>
                  <w:noWrap w:val="0"/>
                  <w:vAlign w:val="center"/>
                </w:tcPr>
                <w:p w14:paraId="1DD692C9">
                  <w:pPr>
                    <w:pStyle w:val="1111"/>
                    <w:bidi w:val="0"/>
                  </w:pPr>
                  <w:r>
                    <w:t>1.67t</w:t>
                  </w:r>
                </w:p>
              </w:tc>
              <w:tc>
                <w:tcPr>
                  <w:tcW w:w="589" w:type="pct"/>
                  <w:noWrap w:val="0"/>
                  <w:vAlign w:val="center"/>
                </w:tcPr>
                <w:p w14:paraId="5C010112">
                  <w:pPr>
                    <w:pStyle w:val="1111"/>
                    <w:bidi w:val="0"/>
                  </w:pPr>
                  <w:r>
                    <w:t>3个月</w:t>
                  </w:r>
                </w:p>
              </w:tc>
              <w:tc>
                <w:tcPr>
                  <w:tcW w:w="991" w:type="pct"/>
                  <w:vMerge w:val="continue"/>
                  <w:noWrap w:val="0"/>
                  <w:vAlign w:val="center"/>
                </w:tcPr>
                <w:p w14:paraId="271DFE73">
                  <w:pPr>
                    <w:pStyle w:val="1111"/>
                    <w:bidi w:val="0"/>
                  </w:pPr>
                </w:p>
              </w:tc>
              <w:tc>
                <w:tcPr>
                  <w:tcW w:w="989" w:type="pct"/>
                  <w:noWrap w:val="0"/>
                  <w:vAlign w:val="center"/>
                </w:tcPr>
                <w:p w14:paraId="1C251BD1">
                  <w:pPr>
                    <w:pStyle w:val="1111"/>
                    <w:bidi w:val="0"/>
                  </w:pPr>
                  <w:r>
                    <w:t>200kg包装桶</w:t>
                  </w:r>
                </w:p>
              </w:tc>
            </w:tr>
            <w:tr w14:paraId="1B7E31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 w:type="pct"/>
                  <w:vMerge w:val="continue"/>
                  <w:noWrap w:val="0"/>
                  <w:vAlign w:val="center"/>
                </w:tcPr>
                <w:p w14:paraId="56309324">
                  <w:pPr>
                    <w:pStyle w:val="1111"/>
                    <w:bidi w:val="0"/>
                  </w:pPr>
                </w:p>
              </w:tc>
              <w:tc>
                <w:tcPr>
                  <w:tcW w:w="539" w:type="pct"/>
                  <w:vMerge w:val="continue"/>
                  <w:noWrap w:val="0"/>
                  <w:vAlign w:val="center"/>
                </w:tcPr>
                <w:p w14:paraId="639BE1C5">
                  <w:pPr>
                    <w:pStyle w:val="1111"/>
                    <w:bidi w:val="0"/>
                  </w:pPr>
                </w:p>
              </w:tc>
              <w:tc>
                <w:tcPr>
                  <w:tcW w:w="1045" w:type="pct"/>
                  <w:noWrap w:val="0"/>
                  <w:vAlign w:val="center"/>
                </w:tcPr>
                <w:p w14:paraId="25485EFF">
                  <w:pPr>
                    <w:pStyle w:val="1111"/>
                    <w:bidi w:val="0"/>
                  </w:pPr>
                  <w:r>
                    <w:t>废试剂瓶</w:t>
                  </w:r>
                </w:p>
                <w:p w14:paraId="1A1DD408">
                  <w:pPr>
                    <w:pStyle w:val="1111"/>
                    <w:bidi w:val="0"/>
                  </w:pPr>
                  <w:r>
                    <w:t>900-041-49</w:t>
                  </w:r>
                </w:p>
              </w:tc>
              <w:tc>
                <w:tcPr>
                  <w:tcW w:w="576" w:type="pct"/>
                  <w:noWrap w:val="0"/>
                  <w:vAlign w:val="center"/>
                </w:tcPr>
                <w:p w14:paraId="49D27FAA">
                  <w:pPr>
                    <w:pStyle w:val="1111"/>
                    <w:bidi w:val="0"/>
                  </w:pPr>
                  <w:r>
                    <w:t>0.125t</w:t>
                  </w:r>
                </w:p>
              </w:tc>
              <w:tc>
                <w:tcPr>
                  <w:tcW w:w="589" w:type="pct"/>
                  <w:noWrap w:val="0"/>
                  <w:vAlign w:val="center"/>
                </w:tcPr>
                <w:p w14:paraId="556ACB6A">
                  <w:pPr>
                    <w:pStyle w:val="1111"/>
                    <w:bidi w:val="0"/>
                  </w:pPr>
                  <w:r>
                    <w:t>3个月</w:t>
                  </w:r>
                </w:p>
              </w:tc>
              <w:tc>
                <w:tcPr>
                  <w:tcW w:w="991" w:type="pct"/>
                  <w:vMerge w:val="continue"/>
                  <w:noWrap w:val="0"/>
                  <w:vAlign w:val="center"/>
                </w:tcPr>
                <w:p w14:paraId="25BED378">
                  <w:pPr>
                    <w:pStyle w:val="1111"/>
                    <w:bidi w:val="0"/>
                  </w:pPr>
                </w:p>
              </w:tc>
              <w:tc>
                <w:tcPr>
                  <w:tcW w:w="989" w:type="pct"/>
                  <w:noWrap w:val="0"/>
                  <w:vAlign w:val="center"/>
                </w:tcPr>
                <w:p w14:paraId="33634A3E">
                  <w:pPr>
                    <w:pStyle w:val="1111"/>
                    <w:bidi w:val="0"/>
                  </w:pPr>
                  <w:r>
                    <w:t>/</w:t>
                  </w:r>
                </w:p>
              </w:tc>
            </w:tr>
            <w:tr w14:paraId="0D3668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 w:type="pct"/>
                  <w:vMerge w:val="continue"/>
                  <w:noWrap w:val="0"/>
                  <w:vAlign w:val="center"/>
                </w:tcPr>
                <w:p w14:paraId="303989F9">
                  <w:pPr>
                    <w:pStyle w:val="1111"/>
                    <w:bidi w:val="0"/>
                  </w:pPr>
                </w:p>
              </w:tc>
              <w:tc>
                <w:tcPr>
                  <w:tcW w:w="539" w:type="pct"/>
                  <w:vMerge w:val="continue"/>
                  <w:noWrap w:val="0"/>
                  <w:vAlign w:val="center"/>
                </w:tcPr>
                <w:p w14:paraId="1E176898">
                  <w:pPr>
                    <w:pStyle w:val="1111"/>
                    <w:bidi w:val="0"/>
                  </w:pPr>
                </w:p>
              </w:tc>
              <w:tc>
                <w:tcPr>
                  <w:tcW w:w="1045" w:type="pct"/>
                  <w:noWrap w:val="0"/>
                  <w:vAlign w:val="center"/>
                </w:tcPr>
                <w:p w14:paraId="1517B1D4">
                  <w:pPr>
                    <w:pStyle w:val="1111"/>
                    <w:bidi w:val="0"/>
                  </w:pPr>
                  <w:r>
                    <w:t>废包装桶900-041-49</w:t>
                  </w:r>
                </w:p>
              </w:tc>
              <w:tc>
                <w:tcPr>
                  <w:tcW w:w="576" w:type="pct"/>
                  <w:noWrap w:val="0"/>
                  <w:vAlign w:val="center"/>
                </w:tcPr>
                <w:p w14:paraId="31FAC209">
                  <w:pPr>
                    <w:pStyle w:val="1111"/>
                    <w:bidi w:val="0"/>
                  </w:pPr>
                  <w:r>
                    <w:t>209只</w:t>
                  </w:r>
                </w:p>
              </w:tc>
              <w:tc>
                <w:tcPr>
                  <w:tcW w:w="589" w:type="pct"/>
                  <w:noWrap w:val="0"/>
                  <w:vAlign w:val="center"/>
                </w:tcPr>
                <w:p w14:paraId="2E858AB8">
                  <w:pPr>
                    <w:pStyle w:val="1111"/>
                    <w:bidi w:val="0"/>
                  </w:pPr>
                  <w:r>
                    <w:t>3个月</w:t>
                  </w:r>
                </w:p>
              </w:tc>
              <w:tc>
                <w:tcPr>
                  <w:tcW w:w="991" w:type="pct"/>
                  <w:vMerge w:val="continue"/>
                  <w:noWrap w:val="0"/>
                  <w:vAlign w:val="center"/>
                </w:tcPr>
                <w:p w14:paraId="5944FA32">
                  <w:pPr>
                    <w:pStyle w:val="1111"/>
                    <w:bidi w:val="0"/>
                  </w:pPr>
                </w:p>
              </w:tc>
              <w:tc>
                <w:tcPr>
                  <w:tcW w:w="989" w:type="pct"/>
                  <w:noWrap w:val="0"/>
                  <w:vAlign w:val="center"/>
                </w:tcPr>
                <w:p w14:paraId="17B8A016">
                  <w:pPr>
                    <w:pStyle w:val="1111"/>
                    <w:bidi w:val="0"/>
                  </w:pPr>
                  <w:r>
                    <w:t>/</w:t>
                  </w:r>
                </w:p>
              </w:tc>
            </w:tr>
            <w:tr w14:paraId="02EC2E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 w:type="pct"/>
                  <w:vMerge w:val="continue"/>
                  <w:noWrap w:val="0"/>
                  <w:vAlign w:val="center"/>
                </w:tcPr>
                <w:p w14:paraId="50927EDC">
                  <w:pPr>
                    <w:pStyle w:val="1111"/>
                    <w:bidi w:val="0"/>
                  </w:pPr>
                </w:p>
              </w:tc>
              <w:tc>
                <w:tcPr>
                  <w:tcW w:w="539" w:type="pct"/>
                  <w:vMerge w:val="restart"/>
                  <w:noWrap w:val="0"/>
                  <w:vAlign w:val="center"/>
                </w:tcPr>
                <w:p w14:paraId="0826C3F7">
                  <w:pPr>
                    <w:pStyle w:val="1111"/>
                    <w:bidi w:val="0"/>
                  </w:pPr>
                  <w:r>
                    <w:t>2#存储间（原创）</w:t>
                  </w:r>
                </w:p>
              </w:tc>
              <w:tc>
                <w:tcPr>
                  <w:tcW w:w="1045" w:type="pct"/>
                  <w:noWrap w:val="0"/>
                  <w:vAlign w:val="center"/>
                </w:tcPr>
                <w:p w14:paraId="199E1967">
                  <w:pPr>
                    <w:pStyle w:val="1111"/>
                    <w:bidi w:val="0"/>
                  </w:pPr>
                  <w:r>
                    <w:t>废液</w:t>
                  </w:r>
                </w:p>
                <w:p w14:paraId="63E7687C">
                  <w:pPr>
                    <w:pStyle w:val="1111"/>
                    <w:bidi w:val="0"/>
                  </w:pPr>
                  <w:r>
                    <w:t>900-047-49</w:t>
                  </w:r>
                </w:p>
              </w:tc>
              <w:tc>
                <w:tcPr>
                  <w:tcW w:w="576" w:type="pct"/>
                  <w:noWrap w:val="0"/>
                  <w:vAlign w:val="center"/>
                </w:tcPr>
                <w:p w14:paraId="106DD50A">
                  <w:pPr>
                    <w:pStyle w:val="1111"/>
                    <w:bidi w:val="0"/>
                  </w:pPr>
                  <w:r>
                    <w:t>2t</w:t>
                  </w:r>
                </w:p>
              </w:tc>
              <w:tc>
                <w:tcPr>
                  <w:tcW w:w="589" w:type="pct"/>
                  <w:noWrap w:val="0"/>
                  <w:vAlign w:val="center"/>
                </w:tcPr>
                <w:p w14:paraId="6B97EAA4">
                  <w:pPr>
                    <w:pStyle w:val="1111"/>
                    <w:bidi w:val="0"/>
                  </w:pPr>
                  <w:r>
                    <w:t>3个月</w:t>
                  </w:r>
                </w:p>
              </w:tc>
              <w:tc>
                <w:tcPr>
                  <w:tcW w:w="991" w:type="pct"/>
                  <w:vMerge w:val="restart"/>
                  <w:noWrap w:val="0"/>
                  <w:vAlign w:val="center"/>
                </w:tcPr>
                <w:p w14:paraId="372A5DB5">
                  <w:pPr>
                    <w:pStyle w:val="1111"/>
                    <w:bidi w:val="0"/>
                  </w:pPr>
                  <w:r>
                    <w:t>88</w:t>
                  </w:r>
                </w:p>
              </w:tc>
              <w:tc>
                <w:tcPr>
                  <w:tcW w:w="989" w:type="pct"/>
                  <w:noWrap w:val="0"/>
                  <w:vAlign w:val="center"/>
                </w:tcPr>
                <w:p w14:paraId="7C7D0D36">
                  <w:pPr>
                    <w:pStyle w:val="1111"/>
                    <w:bidi w:val="0"/>
                  </w:pPr>
                  <w:r>
                    <w:t>25L包装桶</w:t>
                  </w:r>
                </w:p>
              </w:tc>
            </w:tr>
            <w:tr w14:paraId="554B20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 w:type="pct"/>
                  <w:vMerge w:val="continue"/>
                  <w:noWrap w:val="0"/>
                  <w:vAlign w:val="center"/>
                </w:tcPr>
                <w:p w14:paraId="39BB9DAE">
                  <w:pPr>
                    <w:pStyle w:val="1111"/>
                    <w:bidi w:val="0"/>
                  </w:pPr>
                </w:p>
              </w:tc>
              <w:tc>
                <w:tcPr>
                  <w:tcW w:w="539" w:type="pct"/>
                  <w:vMerge w:val="continue"/>
                  <w:noWrap w:val="0"/>
                  <w:vAlign w:val="center"/>
                </w:tcPr>
                <w:p w14:paraId="01B47527">
                  <w:pPr>
                    <w:pStyle w:val="1111"/>
                    <w:bidi w:val="0"/>
                  </w:pPr>
                </w:p>
              </w:tc>
              <w:tc>
                <w:tcPr>
                  <w:tcW w:w="1045" w:type="pct"/>
                  <w:noWrap w:val="0"/>
                  <w:vAlign w:val="center"/>
                </w:tcPr>
                <w:p w14:paraId="33B66B48">
                  <w:pPr>
                    <w:pStyle w:val="1111"/>
                    <w:bidi w:val="0"/>
                  </w:pPr>
                  <w:r>
                    <w:t>实验室废物</w:t>
                  </w:r>
                </w:p>
                <w:p w14:paraId="4B51630A">
                  <w:pPr>
                    <w:pStyle w:val="1111"/>
                    <w:bidi w:val="0"/>
                  </w:pPr>
                  <w:r>
                    <w:t>900-047-49</w:t>
                  </w:r>
                </w:p>
              </w:tc>
              <w:tc>
                <w:tcPr>
                  <w:tcW w:w="576" w:type="pct"/>
                  <w:noWrap w:val="0"/>
                  <w:vAlign w:val="center"/>
                </w:tcPr>
                <w:p w14:paraId="0BC2F566">
                  <w:pPr>
                    <w:pStyle w:val="1111"/>
                    <w:bidi w:val="0"/>
                  </w:pPr>
                  <w:r>
                    <w:t>1t</w:t>
                  </w:r>
                </w:p>
              </w:tc>
              <w:tc>
                <w:tcPr>
                  <w:tcW w:w="589" w:type="pct"/>
                  <w:noWrap w:val="0"/>
                  <w:vAlign w:val="center"/>
                </w:tcPr>
                <w:p w14:paraId="382E98D8">
                  <w:pPr>
                    <w:pStyle w:val="1111"/>
                    <w:bidi w:val="0"/>
                  </w:pPr>
                  <w:r>
                    <w:t>3个月</w:t>
                  </w:r>
                </w:p>
              </w:tc>
              <w:tc>
                <w:tcPr>
                  <w:tcW w:w="991" w:type="pct"/>
                  <w:vMerge w:val="continue"/>
                  <w:noWrap w:val="0"/>
                  <w:vAlign w:val="center"/>
                </w:tcPr>
                <w:p w14:paraId="08D77288">
                  <w:pPr>
                    <w:pStyle w:val="1111"/>
                    <w:bidi w:val="0"/>
                  </w:pPr>
                </w:p>
              </w:tc>
              <w:tc>
                <w:tcPr>
                  <w:tcW w:w="989" w:type="pct"/>
                  <w:noWrap w:val="0"/>
                  <w:vAlign w:val="center"/>
                </w:tcPr>
                <w:p w14:paraId="26624061">
                  <w:pPr>
                    <w:pStyle w:val="1111"/>
                    <w:bidi w:val="0"/>
                  </w:pPr>
                  <w:r>
                    <w:t>包装袋</w:t>
                  </w:r>
                </w:p>
              </w:tc>
            </w:tr>
            <w:tr w14:paraId="3D7F9F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 w:type="pct"/>
                  <w:vMerge w:val="continue"/>
                  <w:noWrap w:val="0"/>
                  <w:vAlign w:val="center"/>
                </w:tcPr>
                <w:p w14:paraId="67F1E581">
                  <w:pPr>
                    <w:pStyle w:val="1111"/>
                    <w:bidi w:val="0"/>
                  </w:pPr>
                </w:p>
              </w:tc>
              <w:tc>
                <w:tcPr>
                  <w:tcW w:w="539" w:type="pct"/>
                  <w:vMerge w:val="continue"/>
                  <w:noWrap w:val="0"/>
                  <w:vAlign w:val="center"/>
                </w:tcPr>
                <w:p w14:paraId="3FDAB468">
                  <w:pPr>
                    <w:pStyle w:val="1111"/>
                    <w:bidi w:val="0"/>
                  </w:pPr>
                </w:p>
              </w:tc>
              <w:tc>
                <w:tcPr>
                  <w:tcW w:w="1045" w:type="pct"/>
                  <w:noWrap w:val="0"/>
                  <w:vAlign w:val="center"/>
                </w:tcPr>
                <w:p w14:paraId="16997FCA">
                  <w:pPr>
                    <w:pStyle w:val="1111"/>
                    <w:bidi w:val="0"/>
                  </w:pPr>
                  <w:r>
                    <w:t>废活性炭900-039-49</w:t>
                  </w:r>
                </w:p>
              </w:tc>
              <w:tc>
                <w:tcPr>
                  <w:tcW w:w="576" w:type="pct"/>
                  <w:noWrap w:val="0"/>
                  <w:vAlign w:val="center"/>
                </w:tcPr>
                <w:p w14:paraId="5E018938">
                  <w:pPr>
                    <w:pStyle w:val="1111"/>
                    <w:bidi w:val="0"/>
                  </w:pPr>
                  <w:r>
                    <w:t>2t</w:t>
                  </w:r>
                </w:p>
              </w:tc>
              <w:tc>
                <w:tcPr>
                  <w:tcW w:w="589" w:type="pct"/>
                  <w:noWrap w:val="0"/>
                  <w:vAlign w:val="center"/>
                </w:tcPr>
                <w:p w14:paraId="2F852AD0">
                  <w:pPr>
                    <w:pStyle w:val="1111"/>
                    <w:bidi w:val="0"/>
                  </w:pPr>
                  <w:r>
                    <w:t>3个月</w:t>
                  </w:r>
                </w:p>
              </w:tc>
              <w:tc>
                <w:tcPr>
                  <w:tcW w:w="991" w:type="pct"/>
                  <w:vMerge w:val="continue"/>
                  <w:noWrap w:val="0"/>
                  <w:vAlign w:val="center"/>
                </w:tcPr>
                <w:p w14:paraId="74E784E6">
                  <w:pPr>
                    <w:pStyle w:val="1111"/>
                    <w:bidi w:val="0"/>
                  </w:pPr>
                </w:p>
              </w:tc>
              <w:tc>
                <w:tcPr>
                  <w:tcW w:w="989" w:type="pct"/>
                  <w:noWrap w:val="0"/>
                  <w:vAlign w:val="center"/>
                </w:tcPr>
                <w:p w14:paraId="2463E179">
                  <w:pPr>
                    <w:pStyle w:val="1111"/>
                    <w:bidi w:val="0"/>
                  </w:pPr>
                  <w:r>
                    <w:t>吨袋</w:t>
                  </w:r>
                </w:p>
              </w:tc>
            </w:tr>
            <w:tr w14:paraId="4F4DDF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 w:type="pct"/>
                  <w:vMerge w:val="continue"/>
                  <w:noWrap w:val="0"/>
                  <w:vAlign w:val="center"/>
                </w:tcPr>
                <w:p w14:paraId="51D2FDF4">
                  <w:pPr>
                    <w:pStyle w:val="1111"/>
                    <w:bidi w:val="0"/>
                  </w:pPr>
                </w:p>
              </w:tc>
              <w:tc>
                <w:tcPr>
                  <w:tcW w:w="539" w:type="pct"/>
                  <w:vMerge w:val="restart"/>
                  <w:noWrap w:val="0"/>
                  <w:vAlign w:val="center"/>
                </w:tcPr>
                <w:p w14:paraId="53AAA9C7">
                  <w:pPr>
                    <w:pStyle w:val="1111"/>
                    <w:bidi w:val="0"/>
                  </w:pPr>
                  <w:r>
                    <w:t>3#存储间（神曲）</w:t>
                  </w:r>
                </w:p>
              </w:tc>
              <w:tc>
                <w:tcPr>
                  <w:tcW w:w="1045" w:type="pct"/>
                  <w:noWrap w:val="0"/>
                  <w:vAlign w:val="center"/>
                </w:tcPr>
                <w:p w14:paraId="77764E7B">
                  <w:pPr>
                    <w:pStyle w:val="1111"/>
                    <w:bidi w:val="0"/>
                  </w:pPr>
                  <w:r>
                    <w:t>废活性炭900-039-49</w:t>
                  </w:r>
                </w:p>
              </w:tc>
              <w:tc>
                <w:tcPr>
                  <w:tcW w:w="576" w:type="pct"/>
                  <w:noWrap w:val="0"/>
                  <w:vAlign w:val="center"/>
                </w:tcPr>
                <w:p w14:paraId="2571270D">
                  <w:pPr>
                    <w:pStyle w:val="1111"/>
                    <w:bidi w:val="0"/>
                  </w:pPr>
                  <w:r>
                    <w:t>0.5t</w:t>
                  </w:r>
                </w:p>
              </w:tc>
              <w:tc>
                <w:tcPr>
                  <w:tcW w:w="589" w:type="pct"/>
                  <w:noWrap w:val="0"/>
                  <w:vAlign w:val="center"/>
                </w:tcPr>
                <w:p w14:paraId="0C28051A">
                  <w:pPr>
                    <w:pStyle w:val="1111"/>
                    <w:bidi w:val="0"/>
                  </w:pPr>
                  <w:r>
                    <w:t>3个月</w:t>
                  </w:r>
                </w:p>
              </w:tc>
              <w:tc>
                <w:tcPr>
                  <w:tcW w:w="991" w:type="pct"/>
                  <w:vMerge w:val="restart"/>
                  <w:noWrap w:val="0"/>
                  <w:vAlign w:val="center"/>
                </w:tcPr>
                <w:p w14:paraId="5182B55D">
                  <w:pPr>
                    <w:pStyle w:val="1111"/>
                    <w:bidi w:val="0"/>
                  </w:pPr>
                  <w:r>
                    <w:t>88</w:t>
                  </w:r>
                </w:p>
              </w:tc>
              <w:tc>
                <w:tcPr>
                  <w:tcW w:w="989" w:type="pct"/>
                  <w:noWrap w:val="0"/>
                  <w:vAlign w:val="center"/>
                </w:tcPr>
                <w:p w14:paraId="17E2E4BC">
                  <w:pPr>
                    <w:pStyle w:val="1111"/>
                    <w:bidi w:val="0"/>
                  </w:pPr>
                  <w:r>
                    <w:t>200kg包装桶</w:t>
                  </w:r>
                </w:p>
              </w:tc>
            </w:tr>
            <w:tr w14:paraId="500DD6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 w:type="pct"/>
                  <w:vMerge w:val="continue"/>
                  <w:noWrap w:val="0"/>
                  <w:vAlign w:val="center"/>
                </w:tcPr>
                <w:p w14:paraId="7E3C2587">
                  <w:pPr>
                    <w:pStyle w:val="1111"/>
                    <w:bidi w:val="0"/>
                  </w:pPr>
                </w:p>
              </w:tc>
              <w:tc>
                <w:tcPr>
                  <w:tcW w:w="539" w:type="pct"/>
                  <w:vMerge w:val="continue"/>
                  <w:noWrap w:val="0"/>
                  <w:vAlign w:val="center"/>
                </w:tcPr>
                <w:p w14:paraId="36B996AE">
                  <w:pPr>
                    <w:pStyle w:val="1111"/>
                    <w:bidi w:val="0"/>
                  </w:pPr>
                </w:p>
              </w:tc>
              <w:tc>
                <w:tcPr>
                  <w:tcW w:w="1045" w:type="pct"/>
                  <w:noWrap w:val="0"/>
                  <w:vAlign w:val="center"/>
                </w:tcPr>
                <w:p w14:paraId="5122AB96">
                  <w:pPr>
                    <w:pStyle w:val="1111"/>
                    <w:bidi w:val="0"/>
                  </w:pPr>
                  <w:r>
                    <w:t>沾染废物</w:t>
                  </w:r>
                </w:p>
                <w:p w14:paraId="52924DEC">
                  <w:pPr>
                    <w:pStyle w:val="1111"/>
                    <w:bidi w:val="0"/>
                  </w:pPr>
                  <w:r>
                    <w:t>900-047-49</w:t>
                  </w:r>
                </w:p>
              </w:tc>
              <w:tc>
                <w:tcPr>
                  <w:tcW w:w="576" w:type="pct"/>
                  <w:noWrap w:val="0"/>
                  <w:vAlign w:val="center"/>
                </w:tcPr>
                <w:p w14:paraId="641FD803">
                  <w:pPr>
                    <w:pStyle w:val="1111"/>
                    <w:bidi w:val="0"/>
                  </w:pPr>
                  <w:r>
                    <w:t>0.20t</w:t>
                  </w:r>
                </w:p>
              </w:tc>
              <w:tc>
                <w:tcPr>
                  <w:tcW w:w="589" w:type="pct"/>
                  <w:noWrap w:val="0"/>
                  <w:vAlign w:val="center"/>
                </w:tcPr>
                <w:p w14:paraId="29E3C3A1">
                  <w:pPr>
                    <w:pStyle w:val="1111"/>
                    <w:bidi w:val="0"/>
                  </w:pPr>
                  <w:r>
                    <w:t>3个月</w:t>
                  </w:r>
                </w:p>
              </w:tc>
              <w:tc>
                <w:tcPr>
                  <w:tcW w:w="991" w:type="pct"/>
                  <w:vMerge w:val="continue"/>
                  <w:noWrap w:val="0"/>
                  <w:vAlign w:val="center"/>
                </w:tcPr>
                <w:p w14:paraId="11E12889">
                  <w:pPr>
                    <w:pStyle w:val="1111"/>
                    <w:bidi w:val="0"/>
                  </w:pPr>
                </w:p>
              </w:tc>
              <w:tc>
                <w:tcPr>
                  <w:tcW w:w="989" w:type="pct"/>
                  <w:noWrap w:val="0"/>
                  <w:vAlign w:val="center"/>
                </w:tcPr>
                <w:p w14:paraId="3F5E46F8">
                  <w:pPr>
                    <w:pStyle w:val="1111"/>
                    <w:bidi w:val="0"/>
                  </w:pPr>
                  <w:r>
                    <w:t>200kg包装桶</w:t>
                  </w:r>
                </w:p>
              </w:tc>
            </w:tr>
            <w:tr w14:paraId="796209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 w:type="pct"/>
                  <w:vMerge w:val="continue"/>
                  <w:noWrap w:val="0"/>
                  <w:vAlign w:val="center"/>
                </w:tcPr>
                <w:p w14:paraId="1370730C">
                  <w:pPr>
                    <w:pStyle w:val="1111"/>
                    <w:bidi w:val="0"/>
                  </w:pPr>
                </w:p>
              </w:tc>
              <w:tc>
                <w:tcPr>
                  <w:tcW w:w="539" w:type="pct"/>
                  <w:vMerge w:val="continue"/>
                  <w:noWrap w:val="0"/>
                  <w:vAlign w:val="center"/>
                </w:tcPr>
                <w:p w14:paraId="55C9E6C0">
                  <w:pPr>
                    <w:pStyle w:val="1111"/>
                    <w:bidi w:val="0"/>
                  </w:pPr>
                </w:p>
              </w:tc>
              <w:tc>
                <w:tcPr>
                  <w:tcW w:w="1045" w:type="pct"/>
                  <w:noWrap w:val="0"/>
                  <w:vAlign w:val="center"/>
                </w:tcPr>
                <w:p w14:paraId="0B57446E">
                  <w:pPr>
                    <w:pStyle w:val="1111"/>
                    <w:bidi w:val="0"/>
                  </w:pPr>
                  <w:r>
                    <w:t>实验室废液</w:t>
                  </w:r>
                </w:p>
                <w:p w14:paraId="28253078">
                  <w:pPr>
                    <w:pStyle w:val="1111"/>
                    <w:bidi w:val="0"/>
                  </w:pPr>
                  <w:r>
                    <w:t>900-047-49</w:t>
                  </w:r>
                </w:p>
              </w:tc>
              <w:tc>
                <w:tcPr>
                  <w:tcW w:w="576" w:type="pct"/>
                  <w:noWrap w:val="0"/>
                  <w:vAlign w:val="center"/>
                </w:tcPr>
                <w:p w14:paraId="4F299321">
                  <w:pPr>
                    <w:pStyle w:val="1111"/>
                    <w:bidi w:val="0"/>
                  </w:pPr>
                  <w:r>
                    <w:t>0.75t</w:t>
                  </w:r>
                </w:p>
              </w:tc>
              <w:tc>
                <w:tcPr>
                  <w:tcW w:w="589" w:type="pct"/>
                  <w:noWrap w:val="0"/>
                  <w:vAlign w:val="center"/>
                </w:tcPr>
                <w:p w14:paraId="3B5A88E7">
                  <w:pPr>
                    <w:pStyle w:val="1111"/>
                    <w:bidi w:val="0"/>
                  </w:pPr>
                  <w:r>
                    <w:t>3个月</w:t>
                  </w:r>
                </w:p>
              </w:tc>
              <w:tc>
                <w:tcPr>
                  <w:tcW w:w="991" w:type="pct"/>
                  <w:vMerge w:val="continue"/>
                  <w:noWrap w:val="0"/>
                  <w:vAlign w:val="center"/>
                </w:tcPr>
                <w:p w14:paraId="7CC573D5">
                  <w:pPr>
                    <w:pStyle w:val="1111"/>
                    <w:bidi w:val="0"/>
                  </w:pPr>
                </w:p>
              </w:tc>
              <w:tc>
                <w:tcPr>
                  <w:tcW w:w="989" w:type="pct"/>
                  <w:noWrap w:val="0"/>
                  <w:vAlign w:val="center"/>
                </w:tcPr>
                <w:p w14:paraId="54E0D188">
                  <w:pPr>
                    <w:pStyle w:val="1111"/>
                    <w:bidi w:val="0"/>
                  </w:pPr>
                  <w:r>
                    <w:t>25L包装桶</w:t>
                  </w:r>
                </w:p>
              </w:tc>
            </w:tr>
            <w:tr w14:paraId="01CF4A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 w:type="pct"/>
                  <w:vMerge w:val="continue"/>
                  <w:noWrap w:val="0"/>
                  <w:vAlign w:val="center"/>
                </w:tcPr>
                <w:p w14:paraId="536BE86A">
                  <w:pPr>
                    <w:pStyle w:val="1111"/>
                    <w:bidi w:val="0"/>
                  </w:pPr>
                </w:p>
              </w:tc>
              <w:tc>
                <w:tcPr>
                  <w:tcW w:w="539" w:type="pct"/>
                  <w:vMerge w:val="restart"/>
                  <w:noWrap w:val="0"/>
                  <w:vAlign w:val="center"/>
                </w:tcPr>
                <w:p w14:paraId="00AAB69A">
                  <w:pPr>
                    <w:pStyle w:val="1111"/>
                    <w:bidi w:val="0"/>
                  </w:pPr>
                  <w:r>
                    <w:t>4#存储间（荣森）</w:t>
                  </w:r>
                </w:p>
              </w:tc>
              <w:tc>
                <w:tcPr>
                  <w:tcW w:w="1045" w:type="pct"/>
                  <w:noWrap w:val="0"/>
                  <w:vAlign w:val="center"/>
                </w:tcPr>
                <w:p w14:paraId="394E9286">
                  <w:pPr>
                    <w:pStyle w:val="1111"/>
                    <w:bidi w:val="0"/>
                  </w:pPr>
                  <w:r>
                    <w:t>实验废液900-047-49</w:t>
                  </w:r>
                </w:p>
              </w:tc>
              <w:tc>
                <w:tcPr>
                  <w:tcW w:w="576" w:type="pct"/>
                  <w:noWrap w:val="0"/>
                  <w:vAlign w:val="center"/>
                </w:tcPr>
                <w:p w14:paraId="7C4036F9">
                  <w:pPr>
                    <w:pStyle w:val="1111"/>
                    <w:bidi w:val="0"/>
                  </w:pPr>
                  <w:r>
                    <w:t>1t</w:t>
                  </w:r>
                </w:p>
              </w:tc>
              <w:tc>
                <w:tcPr>
                  <w:tcW w:w="589" w:type="pct"/>
                  <w:noWrap w:val="0"/>
                  <w:vAlign w:val="center"/>
                </w:tcPr>
                <w:p w14:paraId="708C6C0F">
                  <w:pPr>
                    <w:pStyle w:val="1111"/>
                    <w:bidi w:val="0"/>
                  </w:pPr>
                  <w:r>
                    <w:t>3个月</w:t>
                  </w:r>
                </w:p>
              </w:tc>
              <w:tc>
                <w:tcPr>
                  <w:tcW w:w="991" w:type="pct"/>
                  <w:vMerge w:val="restart"/>
                  <w:noWrap w:val="0"/>
                  <w:vAlign w:val="center"/>
                </w:tcPr>
                <w:p w14:paraId="16058136">
                  <w:pPr>
                    <w:pStyle w:val="1111"/>
                    <w:bidi w:val="0"/>
                  </w:pPr>
                  <w:r>
                    <w:t>88</w:t>
                  </w:r>
                </w:p>
              </w:tc>
              <w:tc>
                <w:tcPr>
                  <w:tcW w:w="989" w:type="pct"/>
                  <w:noWrap w:val="0"/>
                  <w:vAlign w:val="center"/>
                </w:tcPr>
                <w:p w14:paraId="6381995D">
                  <w:pPr>
                    <w:pStyle w:val="1111"/>
                    <w:bidi w:val="0"/>
                  </w:pPr>
                  <w:r>
                    <w:t>50L包装桶</w:t>
                  </w:r>
                </w:p>
              </w:tc>
            </w:tr>
            <w:tr w14:paraId="73DD97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 w:type="pct"/>
                  <w:vMerge w:val="continue"/>
                  <w:noWrap w:val="0"/>
                  <w:vAlign w:val="center"/>
                </w:tcPr>
                <w:p w14:paraId="03006761">
                  <w:pPr>
                    <w:pStyle w:val="1111"/>
                    <w:bidi w:val="0"/>
                  </w:pPr>
                </w:p>
              </w:tc>
              <w:tc>
                <w:tcPr>
                  <w:tcW w:w="539" w:type="pct"/>
                  <w:vMerge w:val="continue"/>
                  <w:noWrap w:val="0"/>
                  <w:vAlign w:val="center"/>
                </w:tcPr>
                <w:p w14:paraId="71AEAB86">
                  <w:pPr>
                    <w:pStyle w:val="1111"/>
                    <w:bidi w:val="0"/>
                  </w:pPr>
                </w:p>
              </w:tc>
              <w:tc>
                <w:tcPr>
                  <w:tcW w:w="1045" w:type="pct"/>
                  <w:noWrap w:val="0"/>
                  <w:vAlign w:val="center"/>
                </w:tcPr>
                <w:p w14:paraId="4D805232">
                  <w:pPr>
                    <w:pStyle w:val="1111"/>
                    <w:bidi w:val="0"/>
                  </w:pPr>
                  <w:r>
                    <w:t>实验固废900-047-49</w:t>
                  </w:r>
                </w:p>
              </w:tc>
              <w:tc>
                <w:tcPr>
                  <w:tcW w:w="576" w:type="pct"/>
                  <w:noWrap w:val="0"/>
                  <w:vAlign w:val="center"/>
                </w:tcPr>
                <w:p w14:paraId="14F08FCD">
                  <w:pPr>
                    <w:pStyle w:val="1111"/>
                    <w:bidi w:val="0"/>
                  </w:pPr>
                  <w:r>
                    <w:t>1t</w:t>
                  </w:r>
                </w:p>
              </w:tc>
              <w:tc>
                <w:tcPr>
                  <w:tcW w:w="589" w:type="pct"/>
                  <w:noWrap w:val="0"/>
                  <w:vAlign w:val="center"/>
                </w:tcPr>
                <w:p w14:paraId="6FD846D3">
                  <w:pPr>
                    <w:pStyle w:val="1111"/>
                    <w:bidi w:val="0"/>
                  </w:pPr>
                  <w:r>
                    <w:t>3个月</w:t>
                  </w:r>
                </w:p>
              </w:tc>
              <w:tc>
                <w:tcPr>
                  <w:tcW w:w="991" w:type="pct"/>
                  <w:vMerge w:val="continue"/>
                  <w:noWrap w:val="0"/>
                  <w:vAlign w:val="center"/>
                </w:tcPr>
                <w:p w14:paraId="2F6547C0">
                  <w:pPr>
                    <w:pStyle w:val="1111"/>
                    <w:bidi w:val="0"/>
                  </w:pPr>
                </w:p>
              </w:tc>
              <w:tc>
                <w:tcPr>
                  <w:tcW w:w="989" w:type="pct"/>
                  <w:noWrap w:val="0"/>
                  <w:vAlign w:val="center"/>
                </w:tcPr>
                <w:p w14:paraId="4C171778">
                  <w:pPr>
                    <w:pStyle w:val="1111"/>
                    <w:bidi w:val="0"/>
                  </w:pPr>
                  <w:r>
                    <w:t>25kg袋装</w:t>
                  </w:r>
                </w:p>
              </w:tc>
            </w:tr>
            <w:tr w14:paraId="20A1F8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 w:type="pct"/>
                  <w:vMerge w:val="continue"/>
                  <w:noWrap w:val="0"/>
                  <w:vAlign w:val="center"/>
                </w:tcPr>
                <w:p w14:paraId="53526EE6">
                  <w:pPr>
                    <w:pStyle w:val="1111"/>
                    <w:bidi w:val="0"/>
                  </w:pPr>
                </w:p>
              </w:tc>
              <w:tc>
                <w:tcPr>
                  <w:tcW w:w="539" w:type="pct"/>
                  <w:vMerge w:val="continue"/>
                  <w:noWrap w:val="0"/>
                  <w:vAlign w:val="center"/>
                </w:tcPr>
                <w:p w14:paraId="66E4F66C">
                  <w:pPr>
                    <w:pStyle w:val="1111"/>
                    <w:bidi w:val="0"/>
                  </w:pPr>
                </w:p>
              </w:tc>
              <w:tc>
                <w:tcPr>
                  <w:tcW w:w="1045" w:type="pct"/>
                  <w:noWrap w:val="0"/>
                  <w:vAlign w:val="center"/>
                </w:tcPr>
                <w:p w14:paraId="3E546AB2">
                  <w:pPr>
                    <w:pStyle w:val="1111"/>
                    <w:bidi w:val="0"/>
                  </w:pPr>
                  <w:r>
                    <w:t>失效化学试剂及试剂盒900-041-49</w:t>
                  </w:r>
                </w:p>
              </w:tc>
              <w:tc>
                <w:tcPr>
                  <w:tcW w:w="576" w:type="pct"/>
                  <w:noWrap w:val="0"/>
                  <w:vAlign w:val="center"/>
                </w:tcPr>
                <w:p w14:paraId="6CCD9FEA">
                  <w:pPr>
                    <w:pStyle w:val="1111"/>
                    <w:bidi w:val="0"/>
                  </w:pPr>
                  <w:r>
                    <w:t>0.5t</w:t>
                  </w:r>
                </w:p>
              </w:tc>
              <w:tc>
                <w:tcPr>
                  <w:tcW w:w="589" w:type="pct"/>
                  <w:noWrap w:val="0"/>
                  <w:vAlign w:val="center"/>
                </w:tcPr>
                <w:p w14:paraId="31D70820">
                  <w:pPr>
                    <w:pStyle w:val="1111"/>
                    <w:bidi w:val="0"/>
                  </w:pPr>
                  <w:r>
                    <w:t>3个月</w:t>
                  </w:r>
                </w:p>
              </w:tc>
              <w:tc>
                <w:tcPr>
                  <w:tcW w:w="991" w:type="pct"/>
                  <w:vMerge w:val="continue"/>
                  <w:noWrap w:val="0"/>
                  <w:vAlign w:val="center"/>
                </w:tcPr>
                <w:p w14:paraId="77DA7E60">
                  <w:pPr>
                    <w:pStyle w:val="1111"/>
                    <w:bidi w:val="0"/>
                  </w:pPr>
                </w:p>
              </w:tc>
              <w:tc>
                <w:tcPr>
                  <w:tcW w:w="989" w:type="pct"/>
                  <w:noWrap w:val="0"/>
                  <w:vAlign w:val="center"/>
                </w:tcPr>
                <w:p w14:paraId="100ADB01">
                  <w:pPr>
                    <w:pStyle w:val="1111"/>
                    <w:bidi w:val="0"/>
                  </w:pPr>
                  <w:r>
                    <w:t>25kg袋装</w:t>
                  </w:r>
                </w:p>
              </w:tc>
            </w:tr>
            <w:tr w14:paraId="2F012B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 w:type="pct"/>
                  <w:vMerge w:val="continue"/>
                  <w:noWrap w:val="0"/>
                  <w:vAlign w:val="center"/>
                </w:tcPr>
                <w:p w14:paraId="43DA188D">
                  <w:pPr>
                    <w:pStyle w:val="1111"/>
                    <w:bidi w:val="0"/>
                  </w:pPr>
                </w:p>
              </w:tc>
              <w:tc>
                <w:tcPr>
                  <w:tcW w:w="539" w:type="pct"/>
                  <w:vMerge w:val="continue"/>
                  <w:noWrap w:val="0"/>
                  <w:vAlign w:val="center"/>
                </w:tcPr>
                <w:p w14:paraId="6ED1BB94">
                  <w:pPr>
                    <w:pStyle w:val="1111"/>
                    <w:bidi w:val="0"/>
                  </w:pPr>
                </w:p>
              </w:tc>
              <w:tc>
                <w:tcPr>
                  <w:tcW w:w="1045" w:type="pct"/>
                  <w:noWrap w:val="0"/>
                  <w:vAlign w:val="center"/>
                </w:tcPr>
                <w:p w14:paraId="3D010892">
                  <w:pPr>
                    <w:pStyle w:val="1111"/>
                    <w:bidi w:val="0"/>
                  </w:pPr>
                  <w:r>
                    <w:t>废过滤介质900-405-06</w:t>
                  </w:r>
                </w:p>
              </w:tc>
              <w:tc>
                <w:tcPr>
                  <w:tcW w:w="576" w:type="pct"/>
                  <w:noWrap w:val="0"/>
                  <w:vAlign w:val="center"/>
                </w:tcPr>
                <w:p w14:paraId="5DC5BF65">
                  <w:pPr>
                    <w:pStyle w:val="1111"/>
                    <w:bidi w:val="0"/>
                  </w:pPr>
                  <w:r>
                    <w:t>8只</w:t>
                  </w:r>
                </w:p>
              </w:tc>
              <w:tc>
                <w:tcPr>
                  <w:tcW w:w="589" w:type="pct"/>
                  <w:noWrap w:val="0"/>
                  <w:vAlign w:val="center"/>
                </w:tcPr>
                <w:p w14:paraId="711CBF1A">
                  <w:pPr>
                    <w:pStyle w:val="1111"/>
                    <w:bidi w:val="0"/>
                  </w:pPr>
                  <w:r>
                    <w:t>3个月</w:t>
                  </w:r>
                </w:p>
              </w:tc>
              <w:tc>
                <w:tcPr>
                  <w:tcW w:w="991" w:type="pct"/>
                  <w:vMerge w:val="continue"/>
                  <w:noWrap w:val="0"/>
                  <w:vAlign w:val="center"/>
                </w:tcPr>
                <w:p w14:paraId="34FCF40F">
                  <w:pPr>
                    <w:pStyle w:val="1111"/>
                    <w:bidi w:val="0"/>
                  </w:pPr>
                </w:p>
              </w:tc>
              <w:tc>
                <w:tcPr>
                  <w:tcW w:w="989" w:type="pct"/>
                  <w:noWrap w:val="0"/>
                  <w:vAlign w:val="center"/>
                </w:tcPr>
                <w:p w14:paraId="0D5BBE3F">
                  <w:pPr>
                    <w:pStyle w:val="1111"/>
                    <w:bidi w:val="0"/>
                  </w:pPr>
                  <w:r>
                    <w:t>个</w:t>
                  </w:r>
                </w:p>
              </w:tc>
            </w:tr>
            <w:tr w14:paraId="1B1E49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 w:type="pct"/>
                  <w:vMerge w:val="continue"/>
                  <w:noWrap w:val="0"/>
                  <w:vAlign w:val="center"/>
                </w:tcPr>
                <w:p w14:paraId="50D7BB1A">
                  <w:pPr>
                    <w:pStyle w:val="1111"/>
                    <w:bidi w:val="0"/>
                  </w:pPr>
                </w:p>
              </w:tc>
              <w:tc>
                <w:tcPr>
                  <w:tcW w:w="539" w:type="pct"/>
                  <w:vMerge w:val="restart"/>
                  <w:noWrap w:val="0"/>
                  <w:vAlign w:val="center"/>
                </w:tcPr>
                <w:p w14:paraId="25A49696">
                  <w:pPr>
                    <w:pStyle w:val="1111"/>
                    <w:bidi w:val="0"/>
                  </w:pPr>
                  <w:r>
                    <w:t>5#存储间（鑫科污水处理站）</w:t>
                  </w:r>
                </w:p>
              </w:tc>
              <w:tc>
                <w:tcPr>
                  <w:tcW w:w="1045" w:type="pct"/>
                  <w:noWrap w:val="0"/>
                  <w:vAlign w:val="center"/>
                </w:tcPr>
                <w:p w14:paraId="4504524B">
                  <w:pPr>
                    <w:pStyle w:val="1111"/>
                    <w:bidi w:val="0"/>
                  </w:pPr>
                  <w:r>
                    <w:t>污泥（待鉴定）</w:t>
                  </w:r>
                </w:p>
              </w:tc>
              <w:tc>
                <w:tcPr>
                  <w:tcW w:w="576" w:type="pct"/>
                  <w:noWrap w:val="0"/>
                  <w:vAlign w:val="center"/>
                </w:tcPr>
                <w:p w14:paraId="3E613268">
                  <w:pPr>
                    <w:pStyle w:val="1111"/>
                    <w:bidi w:val="0"/>
                  </w:pPr>
                  <w:r>
                    <w:t>36</w:t>
                  </w:r>
                </w:p>
              </w:tc>
              <w:tc>
                <w:tcPr>
                  <w:tcW w:w="589" w:type="pct"/>
                  <w:noWrap w:val="0"/>
                  <w:vAlign w:val="center"/>
                </w:tcPr>
                <w:p w14:paraId="18E68432">
                  <w:pPr>
                    <w:pStyle w:val="1111"/>
                    <w:bidi w:val="0"/>
                  </w:pPr>
                  <w:r>
                    <w:t>7天</w:t>
                  </w:r>
                </w:p>
              </w:tc>
              <w:tc>
                <w:tcPr>
                  <w:tcW w:w="991" w:type="pct"/>
                  <w:vMerge w:val="restart"/>
                  <w:noWrap w:val="0"/>
                  <w:vAlign w:val="center"/>
                </w:tcPr>
                <w:p w14:paraId="4FC4F310">
                  <w:pPr>
                    <w:pStyle w:val="1111"/>
                    <w:bidi w:val="0"/>
                  </w:pPr>
                  <w:r>
                    <w:t>176</w:t>
                  </w:r>
                </w:p>
              </w:tc>
              <w:tc>
                <w:tcPr>
                  <w:tcW w:w="989" w:type="pct"/>
                  <w:noWrap w:val="0"/>
                  <w:vAlign w:val="center"/>
                </w:tcPr>
                <w:p w14:paraId="18BEBC2E">
                  <w:pPr>
                    <w:pStyle w:val="1111"/>
                    <w:bidi w:val="0"/>
                  </w:pPr>
                  <w:r>
                    <w:t>吨袋</w:t>
                  </w:r>
                </w:p>
              </w:tc>
            </w:tr>
            <w:tr w14:paraId="57D58F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 w:type="pct"/>
                  <w:vMerge w:val="continue"/>
                  <w:noWrap w:val="0"/>
                  <w:vAlign w:val="center"/>
                </w:tcPr>
                <w:p w14:paraId="23BD8A71">
                  <w:pPr>
                    <w:pStyle w:val="1111"/>
                    <w:bidi w:val="0"/>
                  </w:pPr>
                </w:p>
              </w:tc>
              <w:tc>
                <w:tcPr>
                  <w:tcW w:w="539" w:type="pct"/>
                  <w:vMerge w:val="continue"/>
                  <w:noWrap w:val="0"/>
                  <w:vAlign w:val="center"/>
                </w:tcPr>
                <w:p w14:paraId="6C582F9E">
                  <w:pPr>
                    <w:pStyle w:val="1111"/>
                    <w:bidi w:val="0"/>
                  </w:pPr>
                </w:p>
              </w:tc>
              <w:tc>
                <w:tcPr>
                  <w:tcW w:w="1045" w:type="pct"/>
                  <w:noWrap w:val="0"/>
                  <w:vAlign w:val="center"/>
                </w:tcPr>
                <w:p w14:paraId="53D73C9F">
                  <w:pPr>
                    <w:pStyle w:val="1111"/>
                    <w:bidi w:val="0"/>
                  </w:pPr>
                  <w:r>
                    <w:t>格栅（待鉴定）</w:t>
                  </w:r>
                </w:p>
              </w:tc>
              <w:tc>
                <w:tcPr>
                  <w:tcW w:w="576" w:type="pct"/>
                  <w:noWrap w:val="0"/>
                  <w:vAlign w:val="center"/>
                </w:tcPr>
                <w:p w14:paraId="634BC71D">
                  <w:pPr>
                    <w:pStyle w:val="1111"/>
                    <w:bidi w:val="0"/>
                  </w:pPr>
                  <w:r>
                    <w:t>3.15</w:t>
                  </w:r>
                </w:p>
              </w:tc>
              <w:tc>
                <w:tcPr>
                  <w:tcW w:w="589" w:type="pct"/>
                  <w:noWrap w:val="0"/>
                  <w:vAlign w:val="center"/>
                </w:tcPr>
                <w:p w14:paraId="7226FFFD">
                  <w:pPr>
                    <w:pStyle w:val="1111"/>
                    <w:bidi w:val="0"/>
                  </w:pPr>
                  <w:r>
                    <w:t>3个月</w:t>
                  </w:r>
                </w:p>
              </w:tc>
              <w:tc>
                <w:tcPr>
                  <w:tcW w:w="991" w:type="pct"/>
                  <w:vMerge w:val="continue"/>
                  <w:noWrap w:val="0"/>
                  <w:vAlign w:val="center"/>
                </w:tcPr>
                <w:p w14:paraId="7B90AA7B">
                  <w:pPr>
                    <w:pStyle w:val="1111"/>
                    <w:bidi w:val="0"/>
                  </w:pPr>
                </w:p>
              </w:tc>
              <w:tc>
                <w:tcPr>
                  <w:tcW w:w="989" w:type="pct"/>
                  <w:noWrap w:val="0"/>
                  <w:vAlign w:val="center"/>
                </w:tcPr>
                <w:p w14:paraId="0F20B555">
                  <w:pPr>
                    <w:pStyle w:val="1111"/>
                    <w:bidi w:val="0"/>
                  </w:pPr>
                  <w:r>
                    <w:t>吨袋</w:t>
                  </w:r>
                </w:p>
              </w:tc>
            </w:tr>
            <w:tr w14:paraId="3A2253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 w:type="pct"/>
                  <w:vMerge w:val="continue"/>
                  <w:noWrap w:val="0"/>
                  <w:vAlign w:val="center"/>
                </w:tcPr>
                <w:p w14:paraId="6C3C1CB0">
                  <w:pPr>
                    <w:pStyle w:val="1111"/>
                    <w:bidi w:val="0"/>
                  </w:pPr>
                </w:p>
              </w:tc>
              <w:tc>
                <w:tcPr>
                  <w:tcW w:w="539" w:type="pct"/>
                  <w:vMerge w:val="continue"/>
                  <w:noWrap w:val="0"/>
                  <w:vAlign w:val="center"/>
                </w:tcPr>
                <w:p w14:paraId="2B849889">
                  <w:pPr>
                    <w:pStyle w:val="1111"/>
                    <w:bidi w:val="0"/>
                  </w:pPr>
                </w:p>
              </w:tc>
              <w:tc>
                <w:tcPr>
                  <w:tcW w:w="1045" w:type="pct"/>
                  <w:noWrap w:val="0"/>
                  <w:vAlign w:val="center"/>
                </w:tcPr>
                <w:p w14:paraId="5860658B">
                  <w:pPr>
                    <w:pStyle w:val="1111"/>
                    <w:bidi w:val="0"/>
                  </w:pPr>
                  <w:r>
                    <w:t>废UV灯管</w:t>
                  </w:r>
                </w:p>
                <w:p w14:paraId="20445843">
                  <w:pPr>
                    <w:pStyle w:val="1111"/>
                    <w:bidi w:val="0"/>
                  </w:pPr>
                  <w:r>
                    <w:t>900-023-29</w:t>
                  </w:r>
                </w:p>
              </w:tc>
              <w:tc>
                <w:tcPr>
                  <w:tcW w:w="576" w:type="pct"/>
                  <w:noWrap w:val="0"/>
                  <w:vAlign w:val="center"/>
                </w:tcPr>
                <w:p w14:paraId="204EBA2B">
                  <w:pPr>
                    <w:pStyle w:val="1111"/>
                    <w:bidi w:val="0"/>
                  </w:pPr>
                  <w:r>
                    <w:t>0.01</w:t>
                  </w:r>
                </w:p>
              </w:tc>
              <w:tc>
                <w:tcPr>
                  <w:tcW w:w="589" w:type="pct"/>
                  <w:noWrap w:val="0"/>
                  <w:vAlign w:val="center"/>
                </w:tcPr>
                <w:p w14:paraId="5DBE56B3">
                  <w:pPr>
                    <w:pStyle w:val="1111"/>
                    <w:bidi w:val="0"/>
                  </w:pPr>
                  <w:r>
                    <w:t>3个月</w:t>
                  </w:r>
                </w:p>
              </w:tc>
              <w:tc>
                <w:tcPr>
                  <w:tcW w:w="991" w:type="pct"/>
                  <w:vMerge w:val="continue"/>
                  <w:noWrap w:val="0"/>
                  <w:vAlign w:val="center"/>
                </w:tcPr>
                <w:p w14:paraId="65B0DCD9">
                  <w:pPr>
                    <w:pStyle w:val="1111"/>
                    <w:bidi w:val="0"/>
                  </w:pPr>
                </w:p>
              </w:tc>
              <w:tc>
                <w:tcPr>
                  <w:tcW w:w="989" w:type="pct"/>
                  <w:noWrap w:val="0"/>
                  <w:vAlign w:val="center"/>
                </w:tcPr>
                <w:p w14:paraId="4FDF9B22">
                  <w:pPr>
                    <w:pStyle w:val="1111"/>
                    <w:bidi w:val="0"/>
                  </w:pPr>
                  <w:r>
                    <w:t>袋装</w:t>
                  </w:r>
                </w:p>
              </w:tc>
            </w:tr>
            <w:tr w14:paraId="625CEF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 w:type="pct"/>
                  <w:vMerge w:val="continue"/>
                  <w:noWrap w:val="0"/>
                  <w:vAlign w:val="center"/>
                </w:tcPr>
                <w:p w14:paraId="6B02D3D0">
                  <w:pPr>
                    <w:pStyle w:val="1111"/>
                    <w:bidi w:val="0"/>
                  </w:pPr>
                </w:p>
              </w:tc>
              <w:tc>
                <w:tcPr>
                  <w:tcW w:w="539" w:type="pct"/>
                  <w:vMerge w:val="continue"/>
                  <w:noWrap w:val="0"/>
                  <w:vAlign w:val="center"/>
                </w:tcPr>
                <w:p w14:paraId="339F4BCF">
                  <w:pPr>
                    <w:pStyle w:val="1111"/>
                    <w:bidi w:val="0"/>
                  </w:pPr>
                </w:p>
              </w:tc>
              <w:tc>
                <w:tcPr>
                  <w:tcW w:w="1045" w:type="pct"/>
                  <w:noWrap w:val="0"/>
                  <w:vAlign w:val="center"/>
                </w:tcPr>
                <w:p w14:paraId="0EE27A3E">
                  <w:pPr>
                    <w:pStyle w:val="1111"/>
                    <w:bidi w:val="0"/>
                  </w:pPr>
                  <w:r>
                    <w:t>检验废液</w:t>
                  </w:r>
                </w:p>
                <w:p w14:paraId="02E54D12">
                  <w:pPr>
                    <w:pStyle w:val="1111"/>
                    <w:bidi w:val="0"/>
                  </w:pPr>
                  <w:r>
                    <w:t>900-047-49</w:t>
                  </w:r>
                </w:p>
              </w:tc>
              <w:tc>
                <w:tcPr>
                  <w:tcW w:w="576" w:type="pct"/>
                  <w:noWrap w:val="0"/>
                  <w:vAlign w:val="center"/>
                </w:tcPr>
                <w:p w14:paraId="0A7E373D">
                  <w:pPr>
                    <w:pStyle w:val="1111"/>
                    <w:bidi w:val="0"/>
                  </w:pPr>
                  <w:r>
                    <w:t>0.1</w:t>
                  </w:r>
                </w:p>
              </w:tc>
              <w:tc>
                <w:tcPr>
                  <w:tcW w:w="589" w:type="pct"/>
                  <w:noWrap w:val="0"/>
                  <w:vAlign w:val="center"/>
                </w:tcPr>
                <w:p w14:paraId="22CF168B">
                  <w:pPr>
                    <w:pStyle w:val="1111"/>
                    <w:bidi w:val="0"/>
                  </w:pPr>
                  <w:r>
                    <w:t>3个月</w:t>
                  </w:r>
                </w:p>
              </w:tc>
              <w:tc>
                <w:tcPr>
                  <w:tcW w:w="991" w:type="pct"/>
                  <w:vMerge w:val="continue"/>
                  <w:noWrap w:val="0"/>
                  <w:vAlign w:val="center"/>
                </w:tcPr>
                <w:p w14:paraId="6FF7645D">
                  <w:pPr>
                    <w:pStyle w:val="1111"/>
                    <w:bidi w:val="0"/>
                  </w:pPr>
                </w:p>
              </w:tc>
              <w:tc>
                <w:tcPr>
                  <w:tcW w:w="989" w:type="pct"/>
                  <w:noWrap w:val="0"/>
                  <w:vAlign w:val="center"/>
                </w:tcPr>
                <w:p w14:paraId="1CFD3029">
                  <w:pPr>
                    <w:pStyle w:val="1111"/>
                    <w:bidi w:val="0"/>
                  </w:pPr>
                  <w:r>
                    <w:t>100L包装桶</w:t>
                  </w:r>
                </w:p>
              </w:tc>
            </w:tr>
            <w:tr w14:paraId="3EEA6A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 w:type="pct"/>
                  <w:vMerge w:val="continue"/>
                  <w:noWrap w:val="0"/>
                  <w:vAlign w:val="center"/>
                </w:tcPr>
                <w:p w14:paraId="7233F0AB">
                  <w:pPr>
                    <w:pStyle w:val="1111"/>
                    <w:bidi w:val="0"/>
                  </w:pPr>
                </w:p>
              </w:tc>
              <w:tc>
                <w:tcPr>
                  <w:tcW w:w="539" w:type="pct"/>
                  <w:noWrap w:val="0"/>
                  <w:vAlign w:val="center"/>
                </w:tcPr>
                <w:p w14:paraId="2073D45A">
                  <w:pPr>
                    <w:pStyle w:val="1111"/>
                    <w:bidi w:val="0"/>
                  </w:pPr>
                  <w:r>
                    <w:t>6#~10#存储间（预留）</w:t>
                  </w:r>
                </w:p>
              </w:tc>
              <w:tc>
                <w:tcPr>
                  <w:tcW w:w="1045" w:type="pct"/>
                  <w:noWrap w:val="0"/>
                  <w:vAlign w:val="center"/>
                </w:tcPr>
                <w:p w14:paraId="2FFF2EFC">
                  <w:pPr>
                    <w:pStyle w:val="1111"/>
                    <w:bidi w:val="0"/>
                  </w:pPr>
                  <w:r>
                    <w:t>/</w:t>
                  </w:r>
                </w:p>
              </w:tc>
              <w:tc>
                <w:tcPr>
                  <w:tcW w:w="576" w:type="pct"/>
                  <w:noWrap w:val="0"/>
                  <w:vAlign w:val="center"/>
                </w:tcPr>
                <w:p w14:paraId="7F280C34">
                  <w:pPr>
                    <w:pStyle w:val="1111"/>
                    <w:bidi w:val="0"/>
                  </w:pPr>
                  <w:r>
                    <w:t>/</w:t>
                  </w:r>
                </w:p>
              </w:tc>
              <w:tc>
                <w:tcPr>
                  <w:tcW w:w="589" w:type="pct"/>
                  <w:noWrap w:val="0"/>
                  <w:vAlign w:val="center"/>
                </w:tcPr>
                <w:p w14:paraId="0B82127D">
                  <w:pPr>
                    <w:pStyle w:val="1111"/>
                    <w:bidi w:val="0"/>
                  </w:pPr>
                  <w:r>
                    <w:t>/</w:t>
                  </w:r>
                </w:p>
              </w:tc>
              <w:tc>
                <w:tcPr>
                  <w:tcW w:w="991" w:type="pct"/>
                  <w:noWrap w:val="0"/>
                  <w:vAlign w:val="center"/>
                </w:tcPr>
                <w:p w14:paraId="17FDF086">
                  <w:pPr>
                    <w:pStyle w:val="1111"/>
                    <w:bidi w:val="0"/>
                  </w:pPr>
                  <w:r>
                    <w:t>88/176</w:t>
                  </w:r>
                </w:p>
              </w:tc>
              <w:tc>
                <w:tcPr>
                  <w:tcW w:w="989" w:type="pct"/>
                  <w:noWrap w:val="0"/>
                  <w:vAlign w:val="center"/>
                </w:tcPr>
                <w:p w14:paraId="43C3F87B">
                  <w:pPr>
                    <w:pStyle w:val="1111"/>
                    <w:bidi w:val="0"/>
                  </w:pPr>
                  <w:r>
                    <w:t>/</w:t>
                  </w:r>
                </w:p>
              </w:tc>
            </w:tr>
          </w:tbl>
          <w:p w14:paraId="528D43EB">
            <w:pPr>
              <w:pStyle w:val="512"/>
              <w:numPr>
                <w:ilvl w:val="0"/>
                <w:numId w:val="9"/>
              </w:numPr>
              <w:bidi w:val="0"/>
              <w:rPr>
                <w:rFonts w:hint="eastAsia"/>
                <w:lang w:val="en-US" w:eastAsia="zh-CN"/>
              </w:rPr>
            </w:pPr>
            <w:r>
              <w:rPr>
                <w:rFonts w:hint="eastAsia"/>
                <w:lang w:val="en-US" w:eastAsia="zh-CN"/>
              </w:rPr>
              <w:t>产品方案</w:t>
            </w:r>
          </w:p>
          <w:p w14:paraId="4CF4AC50">
            <w:pPr>
              <w:pStyle w:val="512"/>
              <w:bidi w:val="0"/>
              <w:rPr>
                <w:rFonts w:hint="default"/>
                <w:lang w:val="en-US" w:eastAsia="zh-CN"/>
              </w:rPr>
            </w:pPr>
            <w:r>
              <w:rPr>
                <w:rFonts w:hint="eastAsia"/>
                <w:lang w:val="en-US" w:eastAsia="zh-CN"/>
              </w:rPr>
              <w:t>本项目从事危险废物收集、贮存工作，最终委托给有资质的危险废物处置单位进行安全处置。本项目存储间分区管理，分区面积见表2-4。</w:t>
            </w:r>
          </w:p>
          <w:p w14:paraId="7AE40B11">
            <w:pPr>
              <w:pStyle w:val="1111"/>
              <w:bidi w:val="0"/>
              <w:rPr>
                <w:rFonts w:hint="eastAsia"/>
                <w:lang w:val="en-US" w:eastAsia="zh-CN"/>
              </w:rPr>
            </w:pPr>
            <w:r>
              <w:rPr>
                <w:rFonts w:hint="eastAsia"/>
                <w:lang w:val="en-US" w:eastAsia="zh-CN"/>
              </w:rPr>
              <w:t>表2-4 本项目分区管理情况一览表</w:t>
            </w:r>
          </w:p>
          <w:tbl>
            <w:tblPr>
              <w:tblStyle w:val="78"/>
              <w:tblW w:w="785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72"/>
              <w:gridCol w:w="2595"/>
              <w:gridCol w:w="2988"/>
            </w:tblGrid>
            <w:tr w14:paraId="083B7C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2" w:type="dxa"/>
                  <w:vAlign w:val="center"/>
                </w:tcPr>
                <w:p w14:paraId="29B6DB37">
                  <w:pPr>
                    <w:pStyle w:val="1111"/>
                    <w:bidi w:val="0"/>
                    <w:jc w:val="center"/>
                    <w:rPr>
                      <w:rFonts w:hint="eastAsia"/>
                      <w:vertAlign w:val="baseline"/>
                      <w:lang w:val="en-US" w:eastAsia="zh-CN"/>
                    </w:rPr>
                  </w:pPr>
                  <w:r>
                    <w:rPr>
                      <w:rFonts w:hint="eastAsia"/>
                      <w:vertAlign w:val="baseline"/>
                      <w:lang w:val="en-US" w:eastAsia="zh-CN"/>
                    </w:rPr>
                    <w:t>存储间名称</w:t>
                  </w:r>
                </w:p>
              </w:tc>
              <w:tc>
                <w:tcPr>
                  <w:tcW w:w="2595" w:type="dxa"/>
                  <w:vAlign w:val="center"/>
                </w:tcPr>
                <w:p w14:paraId="148F7AEE">
                  <w:pPr>
                    <w:pStyle w:val="1111"/>
                    <w:bidi w:val="0"/>
                    <w:jc w:val="center"/>
                    <w:rPr>
                      <w:rFonts w:hint="eastAsia"/>
                      <w:vertAlign w:val="baseline"/>
                      <w:lang w:val="en-US" w:eastAsia="zh-CN"/>
                    </w:rPr>
                  </w:pPr>
                  <w:r>
                    <w:rPr>
                      <w:rFonts w:hint="eastAsia"/>
                      <w:vertAlign w:val="baseline"/>
                      <w:lang w:val="en-US" w:eastAsia="zh-CN"/>
                    </w:rPr>
                    <w:t>类别</w:t>
                  </w:r>
                </w:p>
              </w:tc>
              <w:tc>
                <w:tcPr>
                  <w:tcW w:w="2988" w:type="dxa"/>
                  <w:vAlign w:val="center"/>
                </w:tcPr>
                <w:p w14:paraId="1A6E2072">
                  <w:pPr>
                    <w:pStyle w:val="1111"/>
                    <w:bidi w:val="0"/>
                    <w:jc w:val="center"/>
                    <w:rPr>
                      <w:rFonts w:hint="eastAsia"/>
                      <w:vertAlign w:val="baseline"/>
                      <w:lang w:val="en-US" w:eastAsia="zh-CN"/>
                    </w:rPr>
                  </w:pPr>
                  <w:r>
                    <w:rPr>
                      <w:rFonts w:hint="eastAsia"/>
                      <w:vertAlign w:val="baseline"/>
                      <w:lang w:val="en-US" w:eastAsia="zh-CN"/>
                    </w:rPr>
                    <w:t>面积（m</w:t>
                  </w:r>
                  <w:r>
                    <w:rPr>
                      <w:rFonts w:hint="eastAsia"/>
                      <w:vertAlign w:val="superscript"/>
                      <w:lang w:val="en-US" w:eastAsia="zh-CN"/>
                    </w:rPr>
                    <w:t>2</w:t>
                  </w:r>
                  <w:r>
                    <w:rPr>
                      <w:rFonts w:hint="eastAsia"/>
                      <w:vertAlign w:val="baseline"/>
                      <w:lang w:val="en-US" w:eastAsia="zh-CN"/>
                    </w:rPr>
                    <w:t>）</w:t>
                  </w:r>
                </w:p>
              </w:tc>
            </w:tr>
            <w:tr w14:paraId="1F1C1A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2" w:type="dxa"/>
                  <w:vMerge w:val="restart"/>
                  <w:vAlign w:val="center"/>
                </w:tcPr>
                <w:p w14:paraId="36D81CC4">
                  <w:pPr>
                    <w:pStyle w:val="1111"/>
                    <w:bidi w:val="0"/>
                    <w:jc w:val="center"/>
                    <w:rPr>
                      <w:rFonts w:hint="default"/>
                      <w:vertAlign w:val="baseline"/>
                      <w:lang w:val="en-US" w:eastAsia="zh-CN"/>
                    </w:rPr>
                  </w:pPr>
                  <w:r>
                    <w:rPr>
                      <w:rFonts w:hint="eastAsia"/>
                      <w:vertAlign w:val="baseline"/>
                      <w:lang w:val="en-US" w:eastAsia="zh-CN"/>
                    </w:rPr>
                    <w:t>1#存储间</w:t>
                  </w:r>
                </w:p>
              </w:tc>
              <w:tc>
                <w:tcPr>
                  <w:tcW w:w="2595" w:type="dxa"/>
                  <w:vAlign w:val="center"/>
                </w:tcPr>
                <w:p w14:paraId="4BA70251">
                  <w:pPr>
                    <w:pStyle w:val="1111"/>
                    <w:bidi w:val="0"/>
                    <w:jc w:val="center"/>
                    <w:rPr>
                      <w:rFonts w:hint="default"/>
                      <w:vertAlign w:val="baseline"/>
                      <w:lang w:val="en-US" w:eastAsia="zh-CN"/>
                    </w:rPr>
                  </w:pPr>
                  <w:r>
                    <w:rPr>
                      <w:rFonts w:hint="eastAsia"/>
                      <w:vertAlign w:val="baseline"/>
                      <w:lang w:val="en-US" w:eastAsia="zh-CN"/>
                    </w:rPr>
                    <w:t>HW02</w:t>
                  </w:r>
                </w:p>
              </w:tc>
              <w:tc>
                <w:tcPr>
                  <w:tcW w:w="2988" w:type="dxa"/>
                  <w:vAlign w:val="center"/>
                </w:tcPr>
                <w:p w14:paraId="7C90C314">
                  <w:pPr>
                    <w:pStyle w:val="1111"/>
                    <w:bidi w:val="0"/>
                    <w:jc w:val="center"/>
                    <w:rPr>
                      <w:rFonts w:hint="default"/>
                      <w:vertAlign w:val="baseline"/>
                      <w:lang w:val="en-US" w:eastAsia="zh-CN"/>
                    </w:rPr>
                  </w:pPr>
                  <w:r>
                    <w:rPr>
                      <w:rFonts w:hint="eastAsia"/>
                      <w:vertAlign w:val="baseline"/>
                      <w:lang w:val="en-US" w:eastAsia="zh-CN"/>
                    </w:rPr>
                    <w:t>5.83</w:t>
                  </w:r>
                </w:p>
              </w:tc>
            </w:tr>
            <w:tr w14:paraId="484EB9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2" w:type="dxa"/>
                  <w:vMerge w:val="continue"/>
                  <w:vAlign w:val="center"/>
                </w:tcPr>
                <w:p w14:paraId="54940636">
                  <w:pPr>
                    <w:pStyle w:val="1111"/>
                    <w:bidi w:val="0"/>
                    <w:jc w:val="center"/>
                    <w:rPr>
                      <w:rFonts w:hint="eastAsia"/>
                      <w:vertAlign w:val="baseline"/>
                      <w:lang w:val="en-US" w:eastAsia="zh-CN"/>
                    </w:rPr>
                  </w:pPr>
                </w:p>
              </w:tc>
              <w:tc>
                <w:tcPr>
                  <w:tcW w:w="2595" w:type="dxa"/>
                  <w:vAlign w:val="center"/>
                </w:tcPr>
                <w:p w14:paraId="35CCD9B5">
                  <w:pPr>
                    <w:pStyle w:val="1111"/>
                    <w:bidi w:val="0"/>
                    <w:jc w:val="center"/>
                    <w:rPr>
                      <w:rFonts w:hint="default"/>
                      <w:vertAlign w:val="baseline"/>
                      <w:lang w:val="en-US" w:eastAsia="zh-CN"/>
                    </w:rPr>
                  </w:pPr>
                  <w:r>
                    <w:rPr>
                      <w:rFonts w:hint="eastAsia"/>
                      <w:vertAlign w:val="baseline"/>
                      <w:lang w:val="en-US" w:eastAsia="zh-CN"/>
                    </w:rPr>
                    <w:t>HW03</w:t>
                  </w:r>
                </w:p>
              </w:tc>
              <w:tc>
                <w:tcPr>
                  <w:tcW w:w="2988" w:type="dxa"/>
                  <w:vAlign w:val="center"/>
                </w:tcPr>
                <w:p w14:paraId="6A3A5950">
                  <w:pPr>
                    <w:pStyle w:val="1111"/>
                    <w:bidi w:val="0"/>
                    <w:jc w:val="center"/>
                    <w:rPr>
                      <w:rFonts w:hint="eastAsia"/>
                      <w:vertAlign w:val="baseline"/>
                      <w:lang w:val="en-US" w:eastAsia="zh-CN"/>
                    </w:rPr>
                  </w:pPr>
                  <w:r>
                    <w:rPr>
                      <w:rFonts w:hint="eastAsia"/>
                      <w:vertAlign w:val="baseline"/>
                      <w:lang w:val="en-US" w:eastAsia="zh-CN"/>
                    </w:rPr>
                    <w:t>5.83</w:t>
                  </w:r>
                </w:p>
              </w:tc>
            </w:tr>
            <w:tr w14:paraId="46FF46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2" w:type="dxa"/>
                  <w:vMerge w:val="continue"/>
                  <w:vAlign w:val="center"/>
                </w:tcPr>
                <w:p w14:paraId="0F9142EF">
                  <w:pPr>
                    <w:pStyle w:val="1111"/>
                    <w:bidi w:val="0"/>
                    <w:jc w:val="center"/>
                    <w:rPr>
                      <w:rFonts w:hint="eastAsia"/>
                      <w:vertAlign w:val="baseline"/>
                      <w:lang w:val="en-US" w:eastAsia="zh-CN"/>
                    </w:rPr>
                  </w:pPr>
                </w:p>
              </w:tc>
              <w:tc>
                <w:tcPr>
                  <w:tcW w:w="2595" w:type="dxa"/>
                  <w:vAlign w:val="center"/>
                </w:tcPr>
                <w:p w14:paraId="7A605400">
                  <w:pPr>
                    <w:pStyle w:val="1111"/>
                    <w:bidi w:val="0"/>
                    <w:jc w:val="center"/>
                    <w:rPr>
                      <w:rFonts w:hint="default"/>
                      <w:vertAlign w:val="baseline"/>
                      <w:lang w:val="en-US" w:eastAsia="zh-CN"/>
                    </w:rPr>
                  </w:pPr>
                  <w:r>
                    <w:rPr>
                      <w:rFonts w:hint="eastAsia"/>
                      <w:vertAlign w:val="baseline"/>
                      <w:lang w:val="en-US" w:eastAsia="zh-CN"/>
                    </w:rPr>
                    <w:t>HW49</w:t>
                  </w:r>
                </w:p>
              </w:tc>
              <w:tc>
                <w:tcPr>
                  <w:tcW w:w="2988" w:type="dxa"/>
                  <w:vAlign w:val="center"/>
                </w:tcPr>
                <w:p w14:paraId="71A9B733">
                  <w:pPr>
                    <w:pStyle w:val="1111"/>
                    <w:bidi w:val="0"/>
                    <w:jc w:val="center"/>
                    <w:rPr>
                      <w:rFonts w:hint="eastAsia"/>
                      <w:vertAlign w:val="baseline"/>
                      <w:lang w:val="en-US" w:eastAsia="zh-CN"/>
                    </w:rPr>
                  </w:pPr>
                  <w:r>
                    <w:rPr>
                      <w:rFonts w:hint="eastAsia"/>
                      <w:vertAlign w:val="baseline"/>
                      <w:lang w:val="en-US" w:eastAsia="zh-CN"/>
                    </w:rPr>
                    <w:t>5.83</w:t>
                  </w:r>
                </w:p>
              </w:tc>
            </w:tr>
            <w:tr w14:paraId="425E3D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2272" w:type="dxa"/>
                  <w:vMerge w:val="continue"/>
                  <w:vAlign w:val="center"/>
                </w:tcPr>
                <w:p w14:paraId="7E9C6AC8">
                  <w:pPr>
                    <w:pStyle w:val="1111"/>
                    <w:bidi w:val="0"/>
                    <w:jc w:val="center"/>
                    <w:rPr>
                      <w:rFonts w:hint="eastAsia"/>
                      <w:vertAlign w:val="baseline"/>
                      <w:lang w:val="en-US" w:eastAsia="zh-CN"/>
                    </w:rPr>
                  </w:pPr>
                </w:p>
              </w:tc>
              <w:tc>
                <w:tcPr>
                  <w:tcW w:w="2595" w:type="dxa"/>
                  <w:vAlign w:val="center"/>
                </w:tcPr>
                <w:p w14:paraId="48108E96">
                  <w:pPr>
                    <w:pStyle w:val="1111"/>
                    <w:bidi w:val="0"/>
                    <w:jc w:val="center"/>
                    <w:rPr>
                      <w:rFonts w:hint="default"/>
                      <w:vertAlign w:val="baseline"/>
                      <w:lang w:val="en-US" w:eastAsia="zh-CN"/>
                    </w:rPr>
                  </w:pPr>
                  <w:r>
                    <w:rPr>
                      <w:rFonts w:hint="eastAsia"/>
                      <w:vertAlign w:val="baseline"/>
                      <w:lang w:val="en-US" w:eastAsia="zh-CN"/>
                    </w:rPr>
                    <w:t>HW06</w:t>
                  </w:r>
                </w:p>
              </w:tc>
              <w:tc>
                <w:tcPr>
                  <w:tcW w:w="2988" w:type="dxa"/>
                  <w:vAlign w:val="center"/>
                </w:tcPr>
                <w:p w14:paraId="2AE7F7D0">
                  <w:pPr>
                    <w:pStyle w:val="1111"/>
                    <w:bidi w:val="0"/>
                    <w:jc w:val="center"/>
                    <w:rPr>
                      <w:rFonts w:hint="default"/>
                      <w:vertAlign w:val="baseline"/>
                      <w:lang w:val="en-US" w:eastAsia="zh-CN"/>
                    </w:rPr>
                  </w:pPr>
                  <w:r>
                    <w:rPr>
                      <w:rFonts w:hint="eastAsia"/>
                      <w:vertAlign w:val="baseline"/>
                      <w:lang w:val="en-US" w:eastAsia="zh-CN"/>
                    </w:rPr>
                    <w:t>19.05</w:t>
                  </w:r>
                </w:p>
              </w:tc>
            </w:tr>
            <w:tr w14:paraId="056FD7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2" w:type="dxa"/>
                  <w:vMerge w:val="continue"/>
                  <w:vAlign w:val="center"/>
                </w:tcPr>
                <w:p w14:paraId="305649D2">
                  <w:pPr>
                    <w:pStyle w:val="1111"/>
                    <w:bidi w:val="0"/>
                    <w:jc w:val="center"/>
                    <w:rPr>
                      <w:rFonts w:hint="eastAsia"/>
                      <w:vertAlign w:val="baseline"/>
                      <w:lang w:val="en-US" w:eastAsia="zh-CN"/>
                    </w:rPr>
                  </w:pPr>
                </w:p>
              </w:tc>
              <w:tc>
                <w:tcPr>
                  <w:tcW w:w="2595" w:type="dxa"/>
                  <w:vAlign w:val="center"/>
                </w:tcPr>
                <w:p w14:paraId="612058BC">
                  <w:pPr>
                    <w:pStyle w:val="1111"/>
                    <w:bidi w:val="0"/>
                    <w:jc w:val="center"/>
                    <w:rPr>
                      <w:rFonts w:hint="default"/>
                      <w:vertAlign w:val="baseline"/>
                      <w:lang w:val="en-US" w:eastAsia="zh-CN"/>
                    </w:rPr>
                  </w:pPr>
                  <w:r>
                    <w:rPr>
                      <w:rFonts w:hint="eastAsia"/>
                      <w:vertAlign w:val="baseline"/>
                      <w:lang w:val="en-US" w:eastAsia="zh-CN"/>
                    </w:rPr>
                    <w:t>走廊及其他</w:t>
                  </w:r>
                </w:p>
              </w:tc>
              <w:tc>
                <w:tcPr>
                  <w:tcW w:w="2988" w:type="dxa"/>
                  <w:vAlign w:val="center"/>
                </w:tcPr>
                <w:p w14:paraId="38D3B10D">
                  <w:pPr>
                    <w:pStyle w:val="1111"/>
                    <w:bidi w:val="0"/>
                    <w:jc w:val="center"/>
                    <w:rPr>
                      <w:rFonts w:hint="default"/>
                      <w:vertAlign w:val="baseline"/>
                      <w:lang w:val="en-US" w:eastAsia="zh-CN"/>
                    </w:rPr>
                  </w:pPr>
                  <w:r>
                    <w:rPr>
                      <w:rFonts w:hint="eastAsia"/>
                      <w:vertAlign w:val="baseline"/>
                      <w:lang w:val="en-US" w:eastAsia="zh-CN"/>
                    </w:rPr>
                    <w:t>22.21</w:t>
                  </w:r>
                </w:p>
              </w:tc>
            </w:tr>
            <w:tr w14:paraId="7F1181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2" w:type="dxa"/>
                  <w:vMerge w:val="restart"/>
                  <w:vAlign w:val="center"/>
                </w:tcPr>
                <w:p w14:paraId="5A8A44E2">
                  <w:pPr>
                    <w:pStyle w:val="1111"/>
                    <w:bidi w:val="0"/>
                    <w:jc w:val="center"/>
                    <w:rPr>
                      <w:rFonts w:hint="eastAsia"/>
                      <w:vertAlign w:val="baseline"/>
                      <w:lang w:val="en-US" w:eastAsia="zh-CN"/>
                    </w:rPr>
                  </w:pPr>
                  <w:r>
                    <w:rPr>
                      <w:rFonts w:hint="eastAsia"/>
                      <w:vertAlign w:val="baseline"/>
                      <w:lang w:val="en-US" w:eastAsia="zh-CN"/>
                    </w:rPr>
                    <w:t>2#存储间</w:t>
                  </w:r>
                </w:p>
              </w:tc>
              <w:tc>
                <w:tcPr>
                  <w:tcW w:w="2595" w:type="dxa"/>
                  <w:vAlign w:val="center"/>
                </w:tcPr>
                <w:p w14:paraId="00202794">
                  <w:pPr>
                    <w:pStyle w:val="1111"/>
                    <w:bidi w:val="0"/>
                    <w:jc w:val="center"/>
                    <w:rPr>
                      <w:rFonts w:hint="default"/>
                      <w:vertAlign w:val="baseline"/>
                      <w:lang w:val="en-US" w:eastAsia="zh-CN"/>
                    </w:rPr>
                  </w:pPr>
                  <w:r>
                    <w:rPr>
                      <w:rFonts w:hint="eastAsia"/>
                      <w:vertAlign w:val="baseline"/>
                      <w:lang w:val="en-US" w:eastAsia="zh-CN"/>
                    </w:rPr>
                    <w:t>HW08</w:t>
                  </w:r>
                </w:p>
              </w:tc>
              <w:tc>
                <w:tcPr>
                  <w:tcW w:w="2988" w:type="dxa"/>
                  <w:shd w:val="clear" w:color="auto" w:fill="auto"/>
                  <w:vAlign w:val="center"/>
                </w:tcPr>
                <w:p w14:paraId="64B58124">
                  <w:pPr>
                    <w:pStyle w:val="1111"/>
                    <w:bidi w:val="0"/>
                    <w:jc w:val="center"/>
                    <w:rPr>
                      <w:rFonts w:hint="eastAsia" w:ascii="Times New Roman" w:hAnsi="Times New Roman" w:eastAsia="宋体" w:cs="Times New Roman"/>
                      <w:kern w:val="0"/>
                      <w:sz w:val="21"/>
                      <w:szCs w:val="20"/>
                      <w:vertAlign w:val="baseline"/>
                      <w:lang w:val="en-US" w:eastAsia="zh-CN" w:bidi="ar-SA"/>
                    </w:rPr>
                  </w:pPr>
                  <w:r>
                    <w:rPr>
                      <w:rFonts w:hint="eastAsia"/>
                      <w:vertAlign w:val="baseline"/>
                      <w:lang w:val="en-US" w:eastAsia="zh-CN"/>
                    </w:rPr>
                    <w:t>5.83</w:t>
                  </w:r>
                </w:p>
              </w:tc>
            </w:tr>
            <w:tr w14:paraId="09D084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2" w:type="dxa"/>
                  <w:vMerge w:val="continue"/>
                  <w:vAlign w:val="center"/>
                </w:tcPr>
                <w:p w14:paraId="14E70EED">
                  <w:pPr>
                    <w:pStyle w:val="1111"/>
                    <w:bidi w:val="0"/>
                    <w:jc w:val="center"/>
                    <w:rPr>
                      <w:rFonts w:hint="eastAsia"/>
                      <w:vertAlign w:val="baseline"/>
                      <w:lang w:val="en-US" w:eastAsia="zh-CN"/>
                    </w:rPr>
                  </w:pPr>
                </w:p>
              </w:tc>
              <w:tc>
                <w:tcPr>
                  <w:tcW w:w="2595" w:type="dxa"/>
                  <w:vAlign w:val="center"/>
                </w:tcPr>
                <w:p w14:paraId="51220A32">
                  <w:pPr>
                    <w:pStyle w:val="1111"/>
                    <w:bidi w:val="0"/>
                    <w:jc w:val="center"/>
                    <w:rPr>
                      <w:rFonts w:hint="default"/>
                      <w:vertAlign w:val="baseline"/>
                      <w:lang w:val="en-US" w:eastAsia="zh-CN"/>
                    </w:rPr>
                  </w:pPr>
                  <w:r>
                    <w:rPr>
                      <w:rFonts w:hint="eastAsia"/>
                      <w:vertAlign w:val="baseline"/>
                      <w:lang w:val="en-US" w:eastAsia="zh-CN"/>
                    </w:rPr>
                    <w:t>HW09</w:t>
                  </w:r>
                </w:p>
              </w:tc>
              <w:tc>
                <w:tcPr>
                  <w:tcW w:w="2988" w:type="dxa"/>
                  <w:shd w:val="clear" w:color="auto" w:fill="auto"/>
                  <w:vAlign w:val="center"/>
                </w:tcPr>
                <w:p w14:paraId="3C5F70E9">
                  <w:pPr>
                    <w:pStyle w:val="1111"/>
                    <w:bidi w:val="0"/>
                    <w:jc w:val="center"/>
                    <w:rPr>
                      <w:rFonts w:hint="eastAsia" w:ascii="Times New Roman" w:hAnsi="Times New Roman" w:eastAsia="宋体" w:cs="Times New Roman"/>
                      <w:kern w:val="0"/>
                      <w:sz w:val="21"/>
                      <w:szCs w:val="20"/>
                      <w:vertAlign w:val="baseline"/>
                      <w:lang w:val="en-US" w:eastAsia="zh-CN" w:bidi="ar-SA"/>
                    </w:rPr>
                  </w:pPr>
                  <w:r>
                    <w:rPr>
                      <w:rFonts w:hint="eastAsia"/>
                      <w:vertAlign w:val="baseline"/>
                      <w:lang w:val="en-US" w:eastAsia="zh-CN"/>
                    </w:rPr>
                    <w:t>5.83</w:t>
                  </w:r>
                </w:p>
              </w:tc>
            </w:tr>
            <w:tr w14:paraId="42FCB0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2" w:type="dxa"/>
                  <w:vMerge w:val="continue"/>
                  <w:vAlign w:val="center"/>
                </w:tcPr>
                <w:p w14:paraId="0E93BCFE">
                  <w:pPr>
                    <w:pStyle w:val="1111"/>
                    <w:bidi w:val="0"/>
                    <w:jc w:val="center"/>
                    <w:rPr>
                      <w:rFonts w:hint="eastAsia"/>
                      <w:vertAlign w:val="baseline"/>
                      <w:lang w:val="en-US" w:eastAsia="zh-CN"/>
                    </w:rPr>
                  </w:pPr>
                </w:p>
              </w:tc>
              <w:tc>
                <w:tcPr>
                  <w:tcW w:w="2595" w:type="dxa"/>
                  <w:vAlign w:val="center"/>
                </w:tcPr>
                <w:p w14:paraId="449C72F8">
                  <w:pPr>
                    <w:pStyle w:val="1111"/>
                    <w:bidi w:val="0"/>
                    <w:jc w:val="center"/>
                    <w:rPr>
                      <w:rFonts w:hint="default"/>
                      <w:vertAlign w:val="baseline"/>
                      <w:lang w:val="en-US" w:eastAsia="zh-CN"/>
                    </w:rPr>
                  </w:pPr>
                  <w:r>
                    <w:rPr>
                      <w:rFonts w:hint="eastAsia"/>
                      <w:vertAlign w:val="baseline"/>
                      <w:lang w:val="en-US" w:eastAsia="zh-CN"/>
                    </w:rPr>
                    <w:t>HW12</w:t>
                  </w:r>
                </w:p>
              </w:tc>
              <w:tc>
                <w:tcPr>
                  <w:tcW w:w="2988" w:type="dxa"/>
                  <w:shd w:val="clear" w:color="auto" w:fill="auto"/>
                  <w:vAlign w:val="center"/>
                </w:tcPr>
                <w:p w14:paraId="32187793">
                  <w:pPr>
                    <w:pStyle w:val="1111"/>
                    <w:bidi w:val="0"/>
                    <w:jc w:val="center"/>
                    <w:rPr>
                      <w:rFonts w:hint="eastAsia" w:ascii="Times New Roman" w:hAnsi="Times New Roman" w:eastAsia="宋体" w:cs="Times New Roman"/>
                      <w:kern w:val="0"/>
                      <w:sz w:val="21"/>
                      <w:szCs w:val="20"/>
                      <w:vertAlign w:val="baseline"/>
                      <w:lang w:val="en-US" w:eastAsia="zh-CN" w:bidi="ar-SA"/>
                    </w:rPr>
                  </w:pPr>
                  <w:r>
                    <w:rPr>
                      <w:rFonts w:hint="eastAsia"/>
                      <w:vertAlign w:val="baseline"/>
                      <w:lang w:val="en-US" w:eastAsia="zh-CN"/>
                    </w:rPr>
                    <w:t>5.83</w:t>
                  </w:r>
                </w:p>
              </w:tc>
            </w:tr>
            <w:tr w14:paraId="022254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2" w:type="dxa"/>
                  <w:vMerge w:val="continue"/>
                  <w:vAlign w:val="center"/>
                </w:tcPr>
                <w:p w14:paraId="59B7A7A0">
                  <w:pPr>
                    <w:pStyle w:val="1111"/>
                    <w:bidi w:val="0"/>
                    <w:jc w:val="center"/>
                    <w:rPr>
                      <w:rFonts w:hint="eastAsia"/>
                      <w:vertAlign w:val="baseline"/>
                      <w:lang w:val="en-US" w:eastAsia="zh-CN"/>
                    </w:rPr>
                  </w:pPr>
                </w:p>
              </w:tc>
              <w:tc>
                <w:tcPr>
                  <w:tcW w:w="2595" w:type="dxa"/>
                  <w:vAlign w:val="center"/>
                </w:tcPr>
                <w:p w14:paraId="4F668458">
                  <w:pPr>
                    <w:pStyle w:val="1111"/>
                    <w:bidi w:val="0"/>
                    <w:jc w:val="center"/>
                    <w:rPr>
                      <w:rFonts w:hint="default"/>
                      <w:vertAlign w:val="baseline"/>
                      <w:lang w:val="en-US" w:eastAsia="zh-CN"/>
                    </w:rPr>
                  </w:pPr>
                  <w:r>
                    <w:rPr>
                      <w:rFonts w:hint="eastAsia"/>
                      <w:vertAlign w:val="baseline"/>
                      <w:lang w:val="en-US" w:eastAsia="zh-CN"/>
                    </w:rPr>
                    <w:t>HW49</w:t>
                  </w:r>
                </w:p>
              </w:tc>
              <w:tc>
                <w:tcPr>
                  <w:tcW w:w="2988" w:type="dxa"/>
                  <w:shd w:val="clear" w:color="auto" w:fill="auto"/>
                  <w:vAlign w:val="center"/>
                </w:tcPr>
                <w:p w14:paraId="09580561">
                  <w:pPr>
                    <w:pStyle w:val="1111"/>
                    <w:bidi w:val="0"/>
                    <w:jc w:val="center"/>
                    <w:rPr>
                      <w:rFonts w:hint="eastAsia" w:ascii="Times New Roman" w:hAnsi="Times New Roman" w:eastAsia="宋体" w:cs="Times New Roman"/>
                      <w:kern w:val="0"/>
                      <w:sz w:val="21"/>
                      <w:szCs w:val="20"/>
                      <w:vertAlign w:val="baseline"/>
                      <w:lang w:val="en-US" w:eastAsia="zh-CN" w:bidi="ar-SA"/>
                    </w:rPr>
                  </w:pPr>
                  <w:r>
                    <w:rPr>
                      <w:rFonts w:hint="eastAsia"/>
                      <w:vertAlign w:val="baseline"/>
                      <w:lang w:val="en-US" w:eastAsia="zh-CN"/>
                    </w:rPr>
                    <w:t>19.05</w:t>
                  </w:r>
                </w:p>
              </w:tc>
            </w:tr>
            <w:tr w14:paraId="67CFDE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2" w:type="dxa"/>
                  <w:vMerge w:val="continue"/>
                  <w:vAlign w:val="center"/>
                </w:tcPr>
                <w:p w14:paraId="49DCACDF">
                  <w:pPr>
                    <w:pStyle w:val="1111"/>
                    <w:bidi w:val="0"/>
                    <w:jc w:val="center"/>
                    <w:rPr>
                      <w:rFonts w:hint="eastAsia"/>
                      <w:vertAlign w:val="baseline"/>
                      <w:lang w:val="en-US" w:eastAsia="zh-CN"/>
                    </w:rPr>
                  </w:pPr>
                </w:p>
              </w:tc>
              <w:tc>
                <w:tcPr>
                  <w:tcW w:w="2595" w:type="dxa"/>
                  <w:vAlign w:val="center"/>
                </w:tcPr>
                <w:p w14:paraId="5337A931">
                  <w:pPr>
                    <w:pStyle w:val="1111"/>
                    <w:bidi w:val="0"/>
                    <w:jc w:val="center"/>
                    <w:rPr>
                      <w:rFonts w:hint="eastAsia"/>
                      <w:vertAlign w:val="baseline"/>
                      <w:lang w:val="en-US" w:eastAsia="zh-CN"/>
                    </w:rPr>
                  </w:pPr>
                  <w:r>
                    <w:rPr>
                      <w:rFonts w:hint="eastAsia"/>
                      <w:vertAlign w:val="baseline"/>
                      <w:lang w:val="en-US" w:eastAsia="zh-CN"/>
                    </w:rPr>
                    <w:t>走廊及其他</w:t>
                  </w:r>
                </w:p>
              </w:tc>
              <w:tc>
                <w:tcPr>
                  <w:tcW w:w="2988" w:type="dxa"/>
                  <w:shd w:val="clear" w:color="auto" w:fill="auto"/>
                  <w:vAlign w:val="center"/>
                </w:tcPr>
                <w:p w14:paraId="071E8728">
                  <w:pPr>
                    <w:pStyle w:val="1111"/>
                    <w:bidi w:val="0"/>
                    <w:jc w:val="center"/>
                    <w:rPr>
                      <w:rFonts w:hint="eastAsia" w:ascii="Times New Roman" w:hAnsi="Times New Roman" w:eastAsia="宋体" w:cs="Times New Roman"/>
                      <w:kern w:val="0"/>
                      <w:sz w:val="21"/>
                      <w:szCs w:val="20"/>
                      <w:vertAlign w:val="baseline"/>
                      <w:lang w:val="en-US" w:eastAsia="zh-CN" w:bidi="ar-SA"/>
                    </w:rPr>
                  </w:pPr>
                  <w:r>
                    <w:rPr>
                      <w:rFonts w:hint="eastAsia"/>
                      <w:vertAlign w:val="baseline"/>
                      <w:lang w:val="en-US" w:eastAsia="zh-CN"/>
                    </w:rPr>
                    <w:t>22.21</w:t>
                  </w:r>
                </w:p>
              </w:tc>
            </w:tr>
            <w:tr w14:paraId="7EAEE7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2" w:type="dxa"/>
                  <w:vMerge w:val="restart"/>
                  <w:vAlign w:val="center"/>
                </w:tcPr>
                <w:p w14:paraId="0894443E">
                  <w:pPr>
                    <w:pStyle w:val="1111"/>
                    <w:bidi w:val="0"/>
                    <w:jc w:val="center"/>
                    <w:rPr>
                      <w:rFonts w:hint="eastAsia"/>
                      <w:vertAlign w:val="baseline"/>
                      <w:lang w:val="en-US" w:eastAsia="zh-CN"/>
                    </w:rPr>
                  </w:pPr>
                  <w:r>
                    <w:rPr>
                      <w:rFonts w:hint="eastAsia"/>
                      <w:vertAlign w:val="baseline"/>
                      <w:lang w:val="en-US" w:eastAsia="zh-CN"/>
                    </w:rPr>
                    <w:t>3#存储间</w:t>
                  </w:r>
                </w:p>
              </w:tc>
              <w:tc>
                <w:tcPr>
                  <w:tcW w:w="2595" w:type="dxa"/>
                  <w:vAlign w:val="center"/>
                </w:tcPr>
                <w:p w14:paraId="537431E3">
                  <w:pPr>
                    <w:pStyle w:val="1111"/>
                    <w:bidi w:val="0"/>
                    <w:jc w:val="center"/>
                    <w:rPr>
                      <w:rFonts w:hint="default"/>
                      <w:vertAlign w:val="baseline"/>
                      <w:lang w:val="en-US" w:eastAsia="zh-CN"/>
                    </w:rPr>
                  </w:pPr>
                  <w:r>
                    <w:rPr>
                      <w:rFonts w:hint="eastAsia"/>
                      <w:vertAlign w:val="baseline"/>
                      <w:lang w:val="en-US" w:eastAsia="zh-CN"/>
                    </w:rPr>
                    <w:t>HW13</w:t>
                  </w:r>
                </w:p>
              </w:tc>
              <w:tc>
                <w:tcPr>
                  <w:tcW w:w="2988" w:type="dxa"/>
                  <w:vAlign w:val="center"/>
                </w:tcPr>
                <w:p w14:paraId="649A7A5B">
                  <w:pPr>
                    <w:pStyle w:val="1111"/>
                    <w:bidi w:val="0"/>
                    <w:jc w:val="center"/>
                    <w:rPr>
                      <w:rFonts w:hint="default"/>
                      <w:vertAlign w:val="baseline"/>
                      <w:lang w:val="en-US" w:eastAsia="zh-CN"/>
                    </w:rPr>
                  </w:pPr>
                  <w:r>
                    <w:rPr>
                      <w:rFonts w:hint="eastAsia"/>
                      <w:vertAlign w:val="baseline"/>
                      <w:lang w:val="en-US" w:eastAsia="zh-CN"/>
                    </w:rPr>
                    <w:t>5.83</w:t>
                  </w:r>
                </w:p>
              </w:tc>
            </w:tr>
            <w:tr w14:paraId="3A5628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2" w:type="dxa"/>
                  <w:vMerge w:val="continue"/>
                  <w:vAlign w:val="center"/>
                </w:tcPr>
                <w:p w14:paraId="73A5290D">
                  <w:pPr>
                    <w:pStyle w:val="1111"/>
                    <w:bidi w:val="0"/>
                    <w:jc w:val="center"/>
                    <w:rPr>
                      <w:rFonts w:hint="eastAsia"/>
                      <w:vertAlign w:val="baseline"/>
                      <w:lang w:val="en-US" w:eastAsia="zh-CN"/>
                    </w:rPr>
                  </w:pPr>
                </w:p>
              </w:tc>
              <w:tc>
                <w:tcPr>
                  <w:tcW w:w="2595" w:type="dxa"/>
                  <w:vAlign w:val="center"/>
                </w:tcPr>
                <w:p w14:paraId="5FA693E0">
                  <w:pPr>
                    <w:pStyle w:val="1111"/>
                    <w:bidi w:val="0"/>
                    <w:jc w:val="center"/>
                    <w:rPr>
                      <w:rFonts w:hint="default"/>
                      <w:vertAlign w:val="baseline"/>
                      <w:lang w:val="en-US" w:eastAsia="zh-CN"/>
                    </w:rPr>
                  </w:pPr>
                  <w:r>
                    <w:rPr>
                      <w:rFonts w:hint="eastAsia"/>
                      <w:vertAlign w:val="baseline"/>
                      <w:lang w:val="en-US" w:eastAsia="zh-CN"/>
                    </w:rPr>
                    <w:t>HW29</w:t>
                  </w:r>
                </w:p>
              </w:tc>
              <w:tc>
                <w:tcPr>
                  <w:tcW w:w="2988" w:type="dxa"/>
                  <w:vAlign w:val="center"/>
                </w:tcPr>
                <w:p w14:paraId="3115258D">
                  <w:pPr>
                    <w:pStyle w:val="1111"/>
                    <w:bidi w:val="0"/>
                    <w:jc w:val="center"/>
                    <w:rPr>
                      <w:rFonts w:hint="default"/>
                      <w:vertAlign w:val="baseline"/>
                      <w:lang w:val="en-US" w:eastAsia="zh-CN"/>
                    </w:rPr>
                  </w:pPr>
                  <w:r>
                    <w:rPr>
                      <w:rFonts w:hint="eastAsia"/>
                      <w:vertAlign w:val="baseline"/>
                      <w:lang w:val="en-US" w:eastAsia="zh-CN"/>
                    </w:rPr>
                    <w:t>5.83</w:t>
                  </w:r>
                </w:p>
              </w:tc>
            </w:tr>
            <w:tr w14:paraId="7D99ED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2" w:type="dxa"/>
                  <w:vMerge w:val="continue"/>
                  <w:vAlign w:val="center"/>
                </w:tcPr>
                <w:p w14:paraId="17C1E1B4">
                  <w:pPr>
                    <w:pStyle w:val="1111"/>
                    <w:bidi w:val="0"/>
                    <w:jc w:val="center"/>
                    <w:rPr>
                      <w:rFonts w:hint="eastAsia"/>
                      <w:vertAlign w:val="baseline"/>
                      <w:lang w:val="en-US" w:eastAsia="zh-CN"/>
                    </w:rPr>
                  </w:pPr>
                </w:p>
              </w:tc>
              <w:tc>
                <w:tcPr>
                  <w:tcW w:w="2595" w:type="dxa"/>
                  <w:vAlign w:val="center"/>
                </w:tcPr>
                <w:p w14:paraId="2D48DF78">
                  <w:pPr>
                    <w:pStyle w:val="1111"/>
                    <w:bidi w:val="0"/>
                    <w:jc w:val="center"/>
                    <w:rPr>
                      <w:rFonts w:hint="default"/>
                      <w:vertAlign w:val="baseline"/>
                      <w:lang w:val="en-US" w:eastAsia="zh-CN"/>
                    </w:rPr>
                  </w:pPr>
                  <w:r>
                    <w:rPr>
                      <w:rFonts w:hint="eastAsia"/>
                      <w:vertAlign w:val="baseline"/>
                      <w:lang w:val="en-US" w:eastAsia="zh-CN"/>
                    </w:rPr>
                    <w:t>HW49</w:t>
                  </w:r>
                </w:p>
              </w:tc>
              <w:tc>
                <w:tcPr>
                  <w:tcW w:w="2988" w:type="dxa"/>
                  <w:vAlign w:val="center"/>
                </w:tcPr>
                <w:p w14:paraId="28107B7D">
                  <w:pPr>
                    <w:pStyle w:val="1111"/>
                    <w:bidi w:val="0"/>
                    <w:jc w:val="center"/>
                    <w:rPr>
                      <w:rFonts w:hint="default"/>
                      <w:vertAlign w:val="baseline"/>
                      <w:lang w:val="en-US" w:eastAsia="zh-CN"/>
                    </w:rPr>
                  </w:pPr>
                  <w:r>
                    <w:rPr>
                      <w:rFonts w:hint="eastAsia"/>
                      <w:vertAlign w:val="baseline"/>
                      <w:lang w:val="en-US" w:eastAsia="zh-CN"/>
                    </w:rPr>
                    <w:t>24.88</w:t>
                  </w:r>
                </w:p>
              </w:tc>
            </w:tr>
            <w:tr w14:paraId="6BE1C9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72" w:type="dxa"/>
                  <w:vMerge w:val="continue"/>
                  <w:vAlign w:val="center"/>
                </w:tcPr>
                <w:p w14:paraId="71355724">
                  <w:pPr>
                    <w:pStyle w:val="1111"/>
                    <w:bidi w:val="0"/>
                    <w:jc w:val="center"/>
                    <w:rPr>
                      <w:rFonts w:hint="eastAsia"/>
                      <w:vertAlign w:val="baseline"/>
                      <w:lang w:val="en-US" w:eastAsia="zh-CN"/>
                    </w:rPr>
                  </w:pPr>
                </w:p>
              </w:tc>
              <w:tc>
                <w:tcPr>
                  <w:tcW w:w="2595" w:type="dxa"/>
                  <w:vAlign w:val="center"/>
                </w:tcPr>
                <w:p w14:paraId="44E1EB8D">
                  <w:pPr>
                    <w:pStyle w:val="1111"/>
                    <w:bidi w:val="0"/>
                    <w:jc w:val="center"/>
                    <w:rPr>
                      <w:rFonts w:hint="eastAsia"/>
                      <w:vertAlign w:val="baseline"/>
                      <w:lang w:val="en-US" w:eastAsia="zh-CN"/>
                    </w:rPr>
                  </w:pPr>
                  <w:r>
                    <w:rPr>
                      <w:rFonts w:hint="eastAsia"/>
                      <w:vertAlign w:val="baseline"/>
                      <w:lang w:val="en-US" w:eastAsia="zh-CN"/>
                    </w:rPr>
                    <w:t>走廊及其他</w:t>
                  </w:r>
                </w:p>
              </w:tc>
              <w:tc>
                <w:tcPr>
                  <w:tcW w:w="2988" w:type="dxa"/>
                  <w:vAlign w:val="center"/>
                </w:tcPr>
                <w:p w14:paraId="0D1AED08">
                  <w:pPr>
                    <w:pStyle w:val="1111"/>
                    <w:bidi w:val="0"/>
                    <w:jc w:val="center"/>
                    <w:rPr>
                      <w:rFonts w:hint="default"/>
                      <w:vertAlign w:val="baseline"/>
                      <w:lang w:val="en-US" w:eastAsia="zh-CN"/>
                    </w:rPr>
                  </w:pPr>
                  <w:r>
                    <w:rPr>
                      <w:rFonts w:hint="eastAsia"/>
                      <w:vertAlign w:val="baseline"/>
                      <w:lang w:val="en-US" w:eastAsia="zh-CN"/>
                    </w:rPr>
                    <w:t>22.21</w:t>
                  </w:r>
                </w:p>
              </w:tc>
            </w:tr>
          </w:tbl>
          <w:p w14:paraId="783F5A0A">
            <w:pPr>
              <w:pStyle w:val="512"/>
              <w:bidi w:val="0"/>
              <w:rPr>
                <w:rFonts w:hint="default"/>
                <w:lang w:val="en-US" w:eastAsia="zh-CN"/>
              </w:rPr>
            </w:pPr>
            <w:r>
              <w:rPr>
                <w:rFonts w:hint="eastAsia"/>
                <w:lang w:val="en-US" w:eastAsia="zh-CN"/>
              </w:rPr>
              <w:t>由上表可知，本项目存储间最大储存面积为109.62m</w:t>
            </w:r>
            <w:r>
              <w:rPr>
                <w:rFonts w:hint="eastAsia"/>
                <w:vertAlign w:val="superscript"/>
                <w:lang w:val="en-US" w:eastAsia="zh-CN"/>
              </w:rPr>
              <w:t>2</w:t>
            </w:r>
            <w:r>
              <w:rPr>
                <w:rFonts w:hint="eastAsia"/>
                <w:lang w:val="en-US" w:eastAsia="zh-CN"/>
              </w:rPr>
              <w:t>，储存能力为1t/m</w:t>
            </w:r>
            <w:r>
              <w:rPr>
                <w:rFonts w:hint="eastAsia"/>
                <w:vertAlign w:val="superscript"/>
                <w:lang w:val="en-US" w:eastAsia="zh-CN"/>
              </w:rPr>
              <w:t>2</w:t>
            </w:r>
            <w:r>
              <w:rPr>
                <w:rFonts w:hint="eastAsia"/>
                <w:lang w:val="en-US" w:eastAsia="zh-CN"/>
              </w:rPr>
              <w:t>，转运频次为3个月，则最大储存能力为438.48t/a。危险废物类别及收集贮存规模见表2-5。</w:t>
            </w:r>
          </w:p>
          <w:p w14:paraId="48A12E0E">
            <w:pPr>
              <w:pStyle w:val="1111"/>
              <w:bidi w:val="0"/>
              <w:rPr>
                <w:rFonts w:hint="eastAsia"/>
                <w:lang w:val="en-US" w:eastAsia="zh-CN"/>
              </w:rPr>
            </w:pPr>
            <w:r>
              <w:rPr>
                <w:rFonts w:hint="eastAsia"/>
                <w:lang w:val="en-US" w:eastAsia="zh-CN"/>
              </w:rPr>
              <w:t>表2-5 本项目产品方案一览表</w:t>
            </w:r>
          </w:p>
          <w:tbl>
            <w:tblPr>
              <w:tblStyle w:val="7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4402"/>
              <w:gridCol w:w="1235"/>
              <w:gridCol w:w="930"/>
              <w:gridCol w:w="929"/>
            </w:tblGrid>
            <w:tr w14:paraId="6A98FB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 w:type="pct"/>
                  <w:tcBorders>
                    <w:tl2br w:val="nil"/>
                    <w:tr2bl w:val="nil"/>
                  </w:tcBorders>
                  <w:noWrap w:val="0"/>
                  <w:vAlign w:val="center"/>
                </w:tcPr>
                <w:p w14:paraId="3D5455A2">
                  <w:pPr>
                    <w:pStyle w:val="1111"/>
                    <w:bidi w:val="0"/>
                  </w:pPr>
                  <w:r>
                    <w:t>名称</w:t>
                  </w:r>
                </w:p>
              </w:tc>
              <w:tc>
                <w:tcPr>
                  <w:tcW w:w="2783" w:type="pct"/>
                  <w:tcBorders>
                    <w:tl2br w:val="nil"/>
                    <w:tr2bl w:val="nil"/>
                  </w:tcBorders>
                  <w:noWrap w:val="0"/>
                  <w:vAlign w:val="center"/>
                </w:tcPr>
                <w:p w14:paraId="3034AA80">
                  <w:pPr>
                    <w:pStyle w:val="1111"/>
                    <w:bidi w:val="0"/>
                  </w:pPr>
                  <w:r>
                    <w:t>危废类别</w:t>
                  </w:r>
                </w:p>
              </w:tc>
              <w:tc>
                <w:tcPr>
                  <w:tcW w:w="784" w:type="pct"/>
                  <w:tcBorders>
                    <w:tl2br w:val="nil"/>
                    <w:tr2bl w:val="nil"/>
                  </w:tcBorders>
                  <w:noWrap w:val="0"/>
                  <w:vAlign w:val="center"/>
                </w:tcPr>
                <w:p w14:paraId="1E03C160">
                  <w:pPr>
                    <w:pStyle w:val="1111"/>
                    <w:bidi w:val="0"/>
                  </w:pPr>
                  <w:r>
                    <w:t>收集、转运规模（t/a）</w:t>
                  </w:r>
                </w:p>
              </w:tc>
              <w:tc>
                <w:tcPr>
                  <w:tcW w:w="592" w:type="pct"/>
                  <w:tcBorders>
                    <w:tl2br w:val="nil"/>
                    <w:tr2bl w:val="nil"/>
                  </w:tcBorders>
                  <w:noWrap w:val="0"/>
                  <w:vAlign w:val="center"/>
                </w:tcPr>
                <w:p w14:paraId="60E59B58">
                  <w:pPr>
                    <w:pStyle w:val="1111"/>
                    <w:bidi w:val="0"/>
                  </w:pPr>
                  <w:r>
                    <w:rPr>
                      <w:rFonts w:hint="eastAsia"/>
                    </w:rPr>
                    <w:t>暂存规模（t/a）</w:t>
                  </w:r>
                </w:p>
              </w:tc>
              <w:tc>
                <w:tcPr>
                  <w:tcW w:w="591" w:type="pct"/>
                  <w:tcBorders>
                    <w:tl2br w:val="nil"/>
                    <w:tr2bl w:val="nil"/>
                  </w:tcBorders>
                  <w:noWrap w:val="0"/>
                  <w:vAlign w:val="center"/>
                </w:tcPr>
                <w:p w14:paraId="7AA2E163">
                  <w:pPr>
                    <w:pStyle w:val="1111"/>
                    <w:bidi w:val="0"/>
                    <w:rPr>
                      <w:rFonts w:hint="eastAsia" w:eastAsia="宋体"/>
                      <w:lang w:eastAsia="zh-CN"/>
                    </w:rPr>
                  </w:pPr>
                  <w:r>
                    <w:rPr>
                      <w:rFonts w:hint="eastAsia"/>
                      <w:lang w:eastAsia="zh-CN"/>
                    </w:rPr>
                    <w:t>备注</w:t>
                  </w:r>
                </w:p>
              </w:tc>
            </w:tr>
            <w:tr w14:paraId="6F5FED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5" w:hRule="atLeast"/>
              </w:trPr>
              <w:tc>
                <w:tcPr>
                  <w:tcW w:w="248" w:type="pct"/>
                  <w:tcBorders>
                    <w:tl2br w:val="nil"/>
                    <w:tr2bl w:val="nil"/>
                  </w:tcBorders>
                  <w:noWrap w:val="0"/>
                  <w:vAlign w:val="center"/>
                </w:tcPr>
                <w:p w14:paraId="6992DFE5">
                  <w:pPr>
                    <w:pStyle w:val="1111"/>
                    <w:bidi w:val="0"/>
                    <w:rPr>
                      <w:rFonts w:hint="eastAsia" w:eastAsia="宋体"/>
                      <w:lang w:val="en-US" w:eastAsia="zh-CN"/>
                    </w:rPr>
                  </w:pPr>
                  <w:r>
                    <w:rPr>
                      <w:rFonts w:hint="eastAsia"/>
                      <w:lang w:val="en-US" w:eastAsia="zh-CN"/>
                    </w:rPr>
                    <w:t>中华药港危险废物</w:t>
                  </w:r>
                </w:p>
              </w:tc>
              <w:tc>
                <w:tcPr>
                  <w:tcW w:w="2783" w:type="pct"/>
                  <w:vMerge w:val="restart"/>
                  <w:tcBorders>
                    <w:tl2br w:val="nil"/>
                    <w:tr2bl w:val="nil"/>
                  </w:tcBorders>
                  <w:noWrap w:val="0"/>
                  <w:vAlign w:val="center"/>
                </w:tcPr>
                <w:p w14:paraId="09A6CFE5">
                  <w:pPr>
                    <w:pStyle w:val="1111"/>
                    <w:bidi w:val="0"/>
                  </w:pPr>
                  <w:r>
                    <w:t>HW02医药废物、HW03废药物药品、HW04农药废物、HW05木材防腐废物、HW06废有机溶剂与含有机溶剂废物、HW07热处理含氰废物、HW08废矿物油与含矿物油废物、HW09油/水、烃/水混合物或乳化液、HW11精（蒸）馏残渣、HW12染料涂料废物、HW13有机树脂类废物、HW14新化学物质废物、HW16感光材料废物、HW17表面处理废物、</w:t>
                  </w:r>
                  <w:r>
                    <w:rPr>
                      <w:rFonts w:hint="eastAsia"/>
                      <w:lang w:val="en-US" w:eastAsia="zh-CN"/>
                    </w:rPr>
                    <w:t>HW19含金属羧基化合物废物、</w:t>
                  </w:r>
                  <w:r>
                    <w:t>HW20含铍废物、HW21含铬废物、HW22含铜废物、HW23含锌废物、HW24含砷废物、HW25含硒废物、HW26含镉废物、HW27含锑废物、HW28含碲废物、HW29含汞废物（不含072-002-29、091-003-29、322-002-29、321-030-29、321-033-29、321-103-29）、HW30含铊废物、HW31含铅废物、HW32无机氟化物废物、HW33无机氰化物废物、HW34废酸、HW35废碱、HW36石棉废物、HW37有机磷化合物废物、HW38有机氰化物废物、HW39含酚废物、HW40含醚废物、HW45含有机卤化物废物、HW46含镍废物、HW47含钡废物、HW48有色金属冶炼废物、HW49其它废物、HW50废催化剂</w:t>
                  </w:r>
                </w:p>
              </w:tc>
              <w:tc>
                <w:tcPr>
                  <w:tcW w:w="784" w:type="pct"/>
                  <w:vMerge w:val="restart"/>
                  <w:tcBorders>
                    <w:tl2br w:val="nil"/>
                    <w:tr2bl w:val="nil"/>
                  </w:tcBorders>
                  <w:noWrap w:val="0"/>
                  <w:vAlign w:val="center"/>
                </w:tcPr>
                <w:p w14:paraId="5E9A003E">
                  <w:pPr>
                    <w:pStyle w:val="1111"/>
                    <w:bidi w:val="0"/>
                    <w:rPr>
                      <w:rFonts w:hint="default" w:eastAsia="宋体"/>
                      <w:lang w:val="en-US" w:eastAsia="zh-CN"/>
                    </w:rPr>
                  </w:pPr>
                  <w:r>
                    <w:rPr>
                      <w:rFonts w:hint="eastAsia"/>
                      <w:lang w:val="en-US" w:eastAsia="zh-CN"/>
                    </w:rPr>
                    <w:t>5000</w:t>
                  </w:r>
                </w:p>
              </w:tc>
              <w:tc>
                <w:tcPr>
                  <w:tcW w:w="592" w:type="pct"/>
                  <w:tcBorders>
                    <w:tl2br w:val="nil"/>
                    <w:tr2bl w:val="nil"/>
                  </w:tcBorders>
                  <w:noWrap w:val="0"/>
                  <w:vAlign w:val="center"/>
                </w:tcPr>
                <w:p w14:paraId="333FFEE1">
                  <w:pPr>
                    <w:pStyle w:val="1111"/>
                    <w:bidi w:val="0"/>
                    <w:rPr>
                      <w:rFonts w:hint="default"/>
                      <w:lang w:val="en-US" w:eastAsia="zh-CN"/>
                    </w:rPr>
                  </w:pPr>
                  <w:r>
                    <w:rPr>
                      <w:rFonts w:hint="eastAsia"/>
                      <w:lang w:val="en-US" w:eastAsia="zh-CN"/>
                    </w:rPr>
                    <w:t>438.48</w:t>
                  </w:r>
                </w:p>
              </w:tc>
              <w:tc>
                <w:tcPr>
                  <w:tcW w:w="591" w:type="pct"/>
                  <w:tcBorders>
                    <w:tl2br w:val="nil"/>
                    <w:tr2bl w:val="nil"/>
                  </w:tcBorders>
                  <w:noWrap w:val="0"/>
                  <w:vAlign w:val="center"/>
                </w:tcPr>
                <w:p w14:paraId="18DBB7D9">
                  <w:pPr>
                    <w:pStyle w:val="1111"/>
                    <w:bidi w:val="0"/>
                    <w:rPr>
                      <w:rFonts w:hint="eastAsia"/>
                      <w:lang w:val="en-US" w:eastAsia="zh-CN"/>
                    </w:rPr>
                  </w:pPr>
                  <w:r>
                    <w:rPr>
                      <w:rFonts w:hint="eastAsia"/>
                      <w:lang w:val="en-US" w:eastAsia="zh-CN"/>
                    </w:rPr>
                    <w:t>中华药港企业产生的危险废物于危废库暂存，危废达到规定存量后转移出库</w:t>
                  </w:r>
                </w:p>
              </w:tc>
            </w:tr>
            <w:tr w14:paraId="6CD1DF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248" w:type="pct"/>
                  <w:tcBorders>
                    <w:tl2br w:val="nil"/>
                    <w:tr2bl w:val="nil"/>
                  </w:tcBorders>
                  <w:noWrap w:val="0"/>
                  <w:vAlign w:val="center"/>
                </w:tcPr>
                <w:p w14:paraId="63CE2C55">
                  <w:pPr>
                    <w:pStyle w:val="1111"/>
                    <w:bidi w:val="0"/>
                    <w:rPr>
                      <w:rFonts w:hint="eastAsia"/>
                      <w:lang w:val="en-US" w:eastAsia="zh-CN"/>
                    </w:rPr>
                  </w:pPr>
                  <w:r>
                    <w:rPr>
                      <w:rFonts w:hint="eastAsia"/>
                      <w:lang w:eastAsia="zh-CN"/>
                    </w:rPr>
                    <w:t>中华药港园区外</w:t>
                  </w:r>
                  <w:r>
                    <w:t>危险废物</w:t>
                  </w:r>
                </w:p>
              </w:tc>
              <w:tc>
                <w:tcPr>
                  <w:tcW w:w="2783" w:type="pct"/>
                  <w:vMerge w:val="continue"/>
                  <w:tcBorders>
                    <w:tl2br w:val="nil"/>
                    <w:tr2bl w:val="nil"/>
                  </w:tcBorders>
                  <w:noWrap w:val="0"/>
                  <w:vAlign w:val="center"/>
                </w:tcPr>
                <w:p w14:paraId="0BA96A1F">
                  <w:pPr>
                    <w:pStyle w:val="1111"/>
                    <w:bidi w:val="0"/>
                  </w:pPr>
                </w:p>
              </w:tc>
              <w:tc>
                <w:tcPr>
                  <w:tcW w:w="784" w:type="pct"/>
                  <w:vMerge w:val="continue"/>
                  <w:tcBorders>
                    <w:tl2br w:val="nil"/>
                    <w:tr2bl w:val="nil"/>
                  </w:tcBorders>
                  <w:noWrap w:val="0"/>
                  <w:vAlign w:val="center"/>
                </w:tcPr>
                <w:p w14:paraId="1ABBE720">
                  <w:pPr>
                    <w:pStyle w:val="1111"/>
                    <w:bidi w:val="0"/>
                    <w:rPr>
                      <w:rFonts w:hint="eastAsia"/>
                      <w:lang w:val="en-US" w:eastAsia="zh-CN"/>
                    </w:rPr>
                  </w:pPr>
                </w:p>
              </w:tc>
              <w:tc>
                <w:tcPr>
                  <w:tcW w:w="592" w:type="pct"/>
                  <w:tcBorders>
                    <w:tl2br w:val="nil"/>
                    <w:tr2bl w:val="nil"/>
                  </w:tcBorders>
                  <w:shd w:val="clear" w:color="auto" w:fill="auto"/>
                  <w:noWrap w:val="0"/>
                  <w:vAlign w:val="center"/>
                </w:tcPr>
                <w:p w14:paraId="726CD7F4">
                  <w:pPr>
                    <w:pStyle w:val="1111"/>
                    <w:bidi w:val="0"/>
                    <w:rPr>
                      <w:rFonts w:hint="default" w:ascii="Times New Roman" w:hAnsi="Times New Roman" w:eastAsia="宋体" w:cs="Times New Roman"/>
                      <w:kern w:val="0"/>
                      <w:sz w:val="21"/>
                      <w:szCs w:val="20"/>
                      <w:lang w:val="en-US" w:eastAsia="zh-CN" w:bidi="ar-SA"/>
                    </w:rPr>
                  </w:pPr>
                  <w:r>
                    <w:rPr>
                      <w:rFonts w:hint="eastAsia"/>
                      <w:lang w:val="en-US" w:eastAsia="zh-CN"/>
                    </w:rPr>
                    <w:t>/</w:t>
                  </w:r>
                </w:p>
              </w:tc>
              <w:tc>
                <w:tcPr>
                  <w:tcW w:w="591" w:type="pct"/>
                  <w:tcBorders>
                    <w:tl2br w:val="nil"/>
                    <w:tr2bl w:val="nil"/>
                  </w:tcBorders>
                  <w:shd w:val="clear" w:color="auto" w:fill="auto"/>
                  <w:noWrap w:val="0"/>
                  <w:vAlign w:val="center"/>
                </w:tcPr>
                <w:p w14:paraId="03BEDD06">
                  <w:pPr>
                    <w:pStyle w:val="1111"/>
                    <w:bidi w:val="0"/>
                    <w:rPr>
                      <w:rFonts w:hint="eastAsia" w:ascii="Times New Roman" w:hAnsi="Times New Roman" w:eastAsia="宋体" w:cs="Times New Roman"/>
                      <w:kern w:val="0"/>
                      <w:sz w:val="21"/>
                      <w:szCs w:val="20"/>
                      <w:lang w:val="en-US" w:eastAsia="zh-CN" w:bidi="ar-SA"/>
                    </w:rPr>
                  </w:pPr>
                  <w:r>
                    <w:rPr>
                      <w:rFonts w:hint="eastAsia"/>
                      <w:lang w:val="en-US" w:eastAsia="zh-CN"/>
                    </w:rPr>
                    <w:t>在中华药港外产废单位收集的危险废物直接转运至有资质利用处置单位，不贮存</w:t>
                  </w:r>
                </w:p>
              </w:tc>
            </w:tr>
          </w:tbl>
          <w:p w14:paraId="45188DA9">
            <w:pPr>
              <w:pStyle w:val="1111"/>
              <w:bidi w:val="0"/>
              <w:rPr>
                <w:rFonts w:hint="default"/>
                <w:lang w:val="en-US" w:eastAsia="zh-CN"/>
              </w:rPr>
            </w:pPr>
          </w:p>
          <w:p w14:paraId="2F17CA88">
            <w:pPr>
              <w:pStyle w:val="1111"/>
              <w:bidi w:val="0"/>
              <w:rPr>
                <w:rFonts w:hint="eastAsia"/>
                <w:lang w:val="en-US" w:eastAsia="zh-CN"/>
              </w:rPr>
            </w:pPr>
            <w:r>
              <w:rPr>
                <w:rFonts w:hint="eastAsia"/>
                <w:lang w:val="en-US" w:eastAsia="zh-CN"/>
              </w:rPr>
              <w:t>表2-6 本项目收集转运危险废物特征一览表</w:t>
            </w:r>
          </w:p>
          <w:tbl>
            <w:tblPr>
              <w:tblStyle w:val="7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474"/>
              <w:gridCol w:w="2266"/>
              <w:gridCol w:w="1633"/>
              <w:gridCol w:w="2792"/>
              <w:gridCol w:w="760"/>
            </w:tblGrid>
            <w:tr w14:paraId="78623A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trPr>
              <w:tc>
                <w:tcPr>
                  <w:tcW w:w="444" w:type="pct"/>
                  <w:tcBorders>
                    <w:tl2br w:val="nil"/>
                    <w:tr2bl w:val="nil"/>
                  </w:tcBorders>
                  <w:shd w:val="clear" w:color="auto" w:fill="auto"/>
                  <w:noWrap/>
                  <w:vAlign w:val="center"/>
                </w:tcPr>
                <w:p w14:paraId="7EC71A9D">
                  <w:pPr>
                    <w:pStyle w:val="1111"/>
                    <w:bidi w:val="0"/>
                  </w:pPr>
                  <w:r>
                    <w:rPr>
                      <w:rFonts w:hint="eastAsia"/>
                      <w:lang w:val="en-US" w:eastAsia="zh-CN"/>
                    </w:rPr>
                    <w:t>序号</w:t>
                  </w:r>
                </w:p>
              </w:tc>
              <w:tc>
                <w:tcPr>
                  <w:tcW w:w="1515" w:type="pct"/>
                  <w:tcBorders>
                    <w:tl2br w:val="nil"/>
                    <w:tr2bl w:val="nil"/>
                  </w:tcBorders>
                  <w:shd w:val="clear" w:color="auto" w:fill="auto"/>
                  <w:noWrap/>
                  <w:vAlign w:val="center"/>
                </w:tcPr>
                <w:p w14:paraId="5058EEC8">
                  <w:pPr>
                    <w:pStyle w:val="1111"/>
                    <w:bidi w:val="0"/>
                    <w:rPr>
                      <w:rFonts w:hint="eastAsia"/>
                    </w:rPr>
                  </w:pPr>
                  <w:r>
                    <w:rPr>
                      <w:rFonts w:hint="eastAsia"/>
                      <w:lang w:val="en-US" w:eastAsia="zh-CN"/>
                    </w:rPr>
                    <w:t>危废种类</w:t>
                  </w:r>
                </w:p>
              </w:tc>
              <w:tc>
                <w:tcPr>
                  <w:tcW w:w="887" w:type="pct"/>
                  <w:tcBorders>
                    <w:tl2br w:val="nil"/>
                    <w:tr2bl w:val="nil"/>
                  </w:tcBorders>
                  <w:shd w:val="clear" w:color="auto" w:fill="auto"/>
                  <w:noWrap/>
                  <w:vAlign w:val="center"/>
                </w:tcPr>
                <w:p w14:paraId="294DD26D">
                  <w:pPr>
                    <w:pStyle w:val="1111"/>
                    <w:bidi w:val="0"/>
                    <w:rPr>
                      <w:rFonts w:hint="eastAsia"/>
                    </w:rPr>
                  </w:pPr>
                  <w:r>
                    <w:rPr>
                      <w:rFonts w:hint="eastAsia"/>
                      <w:lang w:val="en-US" w:eastAsia="zh-CN"/>
                    </w:rPr>
                    <w:t>形态</w:t>
                  </w:r>
                </w:p>
              </w:tc>
              <w:tc>
                <w:tcPr>
                  <w:tcW w:w="1526" w:type="pct"/>
                  <w:tcBorders>
                    <w:tl2br w:val="nil"/>
                    <w:tr2bl w:val="nil"/>
                  </w:tcBorders>
                  <w:shd w:val="clear" w:color="auto" w:fill="auto"/>
                  <w:noWrap/>
                  <w:vAlign w:val="center"/>
                </w:tcPr>
                <w:p w14:paraId="116FDFD4">
                  <w:pPr>
                    <w:pStyle w:val="1111"/>
                    <w:bidi w:val="0"/>
                    <w:rPr>
                      <w:rFonts w:hint="eastAsia"/>
                    </w:rPr>
                  </w:pPr>
                  <w:r>
                    <w:rPr>
                      <w:rFonts w:hint="eastAsia"/>
                      <w:lang w:val="en-US" w:eastAsia="zh-CN"/>
                    </w:rPr>
                    <w:t>主要有害成分</w:t>
                  </w:r>
                </w:p>
              </w:tc>
              <w:tc>
                <w:tcPr>
                  <w:tcW w:w="626" w:type="pct"/>
                  <w:tcBorders>
                    <w:tl2br w:val="nil"/>
                    <w:tr2bl w:val="nil"/>
                  </w:tcBorders>
                  <w:shd w:val="clear" w:color="auto" w:fill="auto"/>
                  <w:noWrap/>
                  <w:vAlign w:val="center"/>
                </w:tcPr>
                <w:p w14:paraId="0989933C">
                  <w:pPr>
                    <w:pStyle w:val="1111"/>
                    <w:bidi w:val="0"/>
                    <w:rPr>
                      <w:rFonts w:hint="eastAsia"/>
                    </w:rPr>
                  </w:pPr>
                  <w:r>
                    <w:rPr>
                      <w:rFonts w:hint="eastAsia"/>
                      <w:lang w:val="en-US" w:eastAsia="zh-CN"/>
                    </w:rPr>
                    <w:t>危险特性</w:t>
                  </w:r>
                </w:p>
              </w:tc>
            </w:tr>
            <w:tr w14:paraId="41ED22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4" w:type="pct"/>
                  <w:tcBorders>
                    <w:tl2br w:val="nil"/>
                    <w:tr2bl w:val="nil"/>
                  </w:tcBorders>
                  <w:shd w:val="clear" w:color="auto" w:fill="auto"/>
                  <w:noWrap/>
                  <w:vAlign w:val="center"/>
                </w:tcPr>
                <w:p w14:paraId="0995EC2C">
                  <w:pPr>
                    <w:pStyle w:val="1111"/>
                    <w:bidi w:val="0"/>
                    <w:rPr>
                      <w:rFonts w:hint="eastAsia"/>
                    </w:rPr>
                  </w:pPr>
                  <w:r>
                    <w:rPr>
                      <w:rFonts w:hint="eastAsia"/>
                      <w:lang w:val="en-US" w:eastAsia="zh-CN"/>
                    </w:rPr>
                    <w:t>1</w:t>
                  </w:r>
                </w:p>
              </w:tc>
              <w:tc>
                <w:tcPr>
                  <w:tcW w:w="1515" w:type="pct"/>
                  <w:tcBorders>
                    <w:tl2br w:val="nil"/>
                    <w:tr2bl w:val="nil"/>
                  </w:tcBorders>
                  <w:shd w:val="clear" w:color="auto" w:fill="auto"/>
                  <w:noWrap/>
                  <w:vAlign w:val="center"/>
                </w:tcPr>
                <w:p w14:paraId="072F67E3">
                  <w:pPr>
                    <w:pStyle w:val="1111"/>
                    <w:bidi w:val="0"/>
                    <w:rPr>
                      <w:rFonts w:hint="eastAsia"/>
                    </w:rPr>
                  </w:pPr>
                  <w:r>
                    <w:rPr>
                      <w:rFonts w:hint="eastAsia"/>
                      <w:lang w:val="en-US" w:eastAsia="zh-CN"/>
                    </w:rPr>
                    <w:t>HW02医药废物</w:t>
                  </w:r>
                </w:p>
              </w:tc>
              <w:tc>
                <w:tcPr>
                  <w:tcW w:w="887" w:type="pct"/>
                  <w:tcBorders>
                    <w:tl2br w:val="nil"/>
                    <w:tr2bl w:val="nil"/>
                  </w:tcBorders>
                  <w:shd w:val="clear" w:color="auto" w:fill="auto"/>
                  <w:noWrap/>
                  <w:vAlign w:val="center"/>
                </w:tcPr>
                <w:p w14:paraId="11C15263">
                  <w:pPr>
                    <w:pStyle w:val="1111"/>
                    <w:bidi w:val="0"/>
                    <w:rPr>
                      <w:rFonts w:hint="eastAsia"/>
                    </w:rPr>
                  </w:pPr>
                  <w:r>
                    <w:rPr>
                      <w:rFonts w:hint="eastAsia"/>
                      <w:lang w:val="en-US" w:eastAsia="zh-CN"/>
                    </w:rPr>
                    <w:t>多数为固态，少数为液态</w:t>
                  </w:r>
                </w:p>
              </w:tc>
              <w:tc>
                <w:tcPr>
                  <w:tcW w:w="1526" w:type="pct"/>
                  <w:tcBorders>
                    <w:tl2br w:val="nil"/>
                    <w:tr2bl w:val="nil"/>
                  </w:tcBorders>
                  <w:shd w:val="clear" w:color="auto" w:fill="auto"/>
                  <w:noWrap/>
                  <w:vAlign w:val="center"/>
                </w:tcPr>
                <w:p w14:paraId="5CADF37B">
                  <w:pPr>
                    <w:pStyle w:val="1111"/>
                    <w:bidi w:val="0"/>
                    <w:rPr>
                      <w:rFonts w:hint="eastAsia"/>
                    </w:rPr>
                  </w:pPr>
                  <w:r>
                    <w:rPr>
                      <w:rFonts w:hint="eastAsia"/>
                      <w:lang w:val="en-US" w:eastAsia="zh-CN"/>
                    </w:rPr>
                    <w:t>醇、醛、酯、芳香族等.</w:t>
                  </w:r>
                </w:p>
              </w:tc>
              <w:tc>
                <w:tcPr>
                  <w:tcW w:w="626" w:type="pct"/>
                  <w:tcBorders>
                    <w:tl2br w:val="nil"/>
                    <w:tr2bl w:val="nil"/>
                  </w:tcBorders>
                  <w:shd w:val="clear" w:color="auto" w:fill="auto"/>
                  <w:noWrap/>
                  <w:vAlign w:val="center"/>
                </w:tcPr>
                <w:p w14:paraId="4C9DF518">
                  <w:pPr>
                    <w:pStyle w:val="1111"/>
                    <w:bidi w:val="0"/>
                    <w:rPr>
                      <w:rFonts w:hint="eastAsia"/>
                    </w:rPr>
                  </w:pPr>
                  <w:r>
                    <w:rPr>
                      <w:rFonts w:hint="eastAsia"/>
                      <w:lang w:val="en-US" w:eastAsia="zh-CN"/>
                    </w:rPr>
                    <w:t>T</w:t>
                  </w:r>
                </w:p>
              </w:tc>
            </w:tr>
            <w:tr w14:paraId="69204E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4" w:type="pct"/>
                  <w:tcBorders>
                    <w:tl2br w:val="nil"/>
                    <w:tr2bl w:val="nil"/>
                  </w:tcBorders>
                  <w:shd w:val="clear" w:color="auto" w:fill="auto"/>
                  <w:noWrap/>
                  <w:vAlign w:val="center"/>
                </w:tcPr>
                <w:p w14:paraId="69F74AC6">
                  <w:pPr>
                    <w:pStyle w:val="1111"/>
                    <w:bidi w:val="0"/>
                    <w:rPr>
                      <w:rFonts w:hint="eastAsia"/>
                    </w:rPr>
                  </w:pPr>
                  <w:r>
                    <w:rPr>
                      <w:rFonts w:hint="eastAsia"/>
                      <w:lang w:val="en-US" w:eastAsia="zh-CN"/>
                    </w:rPr>
                    <w:t>2</w:t>
                  </w:r>
                </w:p>
              </w:tc>
              <w:tc>
                <w:tcPr>
                  <w:tcW w:w="1515" w:type="pct"/>
                  <w:tcBorders>
                    <w:tl2br w:val="nil"/>
                    <w:tr2bl w:val="nil"/>
                  </w:tcBorders>
                  <w:shd w:val="clear" w:color="auto" w:fill="auto"/>
                  <w:noWrap/>
                  <w:vAlign w:val="center"/>
                </w:tcPr>
                <w:p w14:paraId="3FAF5687">
                  <w:pPr>
                    <w:pStyle w:val="1111"/>
                    <w:bidi w:val="0"/>
                    <w:rPr>
                      <w:rFonts w:hint="eastAsia"/>
                    </w:rPr>
                  </w:pPr>
                  <w:r>
                    <w:rPr>
                      <w:rFonts w:hint="eastAsia"/>
                      <w:lang w:val="en-US" w:eastAsia="zh-CN"/>
                    </w:rPr>
                    <w:t>HW03废药物、药品</w:t>
                  </w:r>
                </w:p>
              </w:tc>
              <w:tc>
                <w:tcPr>
                  <w:tcW w:w="887" w:type="pct"/>
                  <w:tcBorders>
                    <w:tl2br w:val="nil"/>
                    <w:tr2bl w:val="nil"/>
                  </w:tcBorders>
                  <w:shd w:val="clear" w:color="auto" w:fill="auto"/>
                  <w:noWrap/>
                  <w:vAlign w:val="center"/>
                </w:tcPr>
                <w:p w14:paraId="63AB2496">
                  <w:pPr>
                    <w:pStyle w:val="1111"/>
                    <w:bidi w:val="0"/>
                    <w:rPr>
                      <w:rFonts w:hint="eastAsia"/>
                    </w:rPr>
                  </w:pPr>
                  <w:r>
                    <w:rPr>
                      <w:rFonts w:hint="eastAsia"/>
                      <w:lang w:val="en-US" w:eastAsia="zh-CN"/>
                    </w:rPr>
                    <w:t>多数为固态，少数为液态</w:t>
                  </w:r>
                </w:p>
              </w:tc>
              <w:tc>
                <w:tcPr>
                  <w:tcW w:w="1526" w:type="pct"/>
                  <w:tcBorders>
                    <w:tl2br w:val="nil"/>
                    <w:tr2bl w:val="nil"/>
                  </w:tcBorders>
                  <w:shd w:val="clear" w:color="auto" w:fill="auto"/>
                  <w:noWrap/>
                  <w:vAlign w:val="center"/>
                </w:tcPr>
                <w:p w14:paraId="3B8287BE">
                  <w:pPr>
                    <w:pStyle w:val="1111"/>
                    <w:bidi w:val="0"/>
                    <w:rPr>
                      <w:rFonts w:hint="eastAsia"/>
                    </w:rPr>
                  </w:pPr>
                  <w:r>
                    <w:rPr>
                      <w:rFonts w:hint="eastAsia"/>
                      <w:lang w:val="en-US" w:eastAsia="zh-CN"/>
                    </w:rPr>
                    <w:t>醇、醛、酯、芳香族等</w:t>
                  </w:r>
                </w:p>
              </w:tc>
              <w:tc>
                <w:tcPr>
                  <w:tcW w:w="626" w:type="pct"/>
                  <w:tcBorders>
                    <w:tl2br w:val="nil"/>
                    <w:tr2bl w:val="nil"/>
                  </w:tcBorders>
                  <w:shd w:val="clear" w:color="auto" w:fill="auto"/>
                  <w:noWrap/>
                  <w:vAlign w:val="center"/>
                </w:tcPr>
                <w:p w14:paraId="50A3ED75">
                  <w:pPr>
                    <w:pStyle w:val="1111"/>
                    <w:bidi w:val="0"/>
                    <w:rPr>
                      <w:rFonts w:hint="eastAsia"/>
                    </w:rPr>
                  </w:pPr>
                  <w:r>
                    <w:rPr>
                      <w:rFonts w:hint="eastAsia"/>
                      <w:lang w:val="en-US" w:eastAsia="zh-CN"/>
                    </w:rPr>
                    <w:t>T</w:t>
                  </w:r>
                </w:p>
              </w:tc>
            </w:tr>
            <w:tr w14:paraId="7FEAFD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4" w:type="pct"/>
                  <w:tcBorders>
                    <w:tl2br w:val="nil"/>
                    <w:tr2bl w:val="nil"/>
                  </w:tcBorders>
                  <w:shd w:val="clear" w:color="auto" w:fill="auto"/>
                  <w:noWrap/>
                  <w:vAlign w:val="center"/>
                </w:tcPr>
                <w:p w14:paraId="3B285EC5">
                  <w:pPr>
                    <w:pStyle w:val="1111"/>
                    <w:bidi w:val="0"/>
                    <w:rPr>
                      <w:rFonts w:hint="eastAsia"/>
                    </w:rPr>
                  </w:pPr>
                  <w:r>
                    <w:rPr>
                      <w:rFonts w:hint="eastAsia"/>
                      <w:lang w:val="en-US" w:eastAsia="zh-CN"/>
                    </w:rPr>
                    <w:t>3</w:t>
                  </w:r>
                </w:p>
              </w:tc>
              <w:tc>
                <w:tcPr>
                  <w:tcW w:w="1515" w:type="pct"/>
                  <w:tcBorders>
                    <w:tl2br w:val="nil"/>
                    <w:tr2bl w:val="nil"/>
                  </w:tcBorders>
                  <w:shd w:val="clear" w:color="auto" w:fill="auto"/>
                  <w:noWrap/>
                  <w:vAlign w:val="center"/>
                </w:tcPr>
                <w:p w14:paraId="55AF06CB">
                  <w:pPr>
                    <w:pStyle w:val="1111"/>
                    <w:bidi w:val="0"/>
                    <w:rPr>
                      <w:rFonts w:hint="eastAsia"/>
                    </w:rPr>
                  </w:pPr>
                  <w:r>
                    <w:rPr>
                      <w:rFonts w:hint="eastAsia"/>
                      <w:lang w:val="en-US" w:eastAsia="zh-CN"/>
                    </w:rPr>
                    <w:t>HW04农药废物</w:t>
                  </w:r>
                </w:p>
              </w:tc>
              <w:tc>
                <w:tcPr>
                  <w:tcW w:w="887" w:type="pct"/>
                  <w:tcBorders>
                    <w:tl2br w:val="nil"/>
                    <w:tr2bl w:val="nil"/>
                  </w:tcBorders>
                  <w:shd w:val="clear" w:color="auto" w:fill="auto"/>
                  <w:noWrap/>
                  <w:vAlign w:val="center"/>
                </w:tcPr>
                <w:p w14:paraId="2E0839FF">
                  <w:pPr>
                    <w:pStyle w:val="1111"/>
                    <w:bidi w:val="0"/>
                    <w:rPr>
                      <w:rFonts w:hint="eastAsia"/>
                    </w:rPr>
                  </w:pPr>
                  <w:r>
                    <w:rPr>
                      <w:rFonts w:hint="eastAsia"/>
                      <w:lang w:val="en-US" w:eastAsia="zh-CN"/>
                    </w:rPr>
                    <w:t>固态、液态</w:t>
                  </w:r>
                </w:p>
              </w:tc>
              <w:tc>
                <w:tcPr>
                  <w:tcW w:w="1526" w:type="pct"/>
                  <w:tcBorders>
                    <w:tl2br w:val="nil"/>
                    <w:tr2bl w:val="nil"/>
                  </w:tcBorders>
                  <w:shd w:val="clear" w:color="auto" w:fill="auto"/>
                  <w:noWrap/>
                  <w:vAlign w:val="center"/>
                </w:tcPr>
                <w:p w14:paraId="229D7CDC">
                  <w:pPr>
                    <w:pStyle w:val="1111"/>
                    <w:bidi w:val="0"/>
                    <w:rPr>
                      <w:rFonts w:hint="eastAsia"/>
                    </w:rPr>
                  </w:pPr>
                  <w:r>
                    <w:rPr>
                      <w:rFonts w:hint="eastAsia"/>
                      <w:lang w:val="en-US" w:eastAsia="zh-CN"/>
                    </w:rPr>
                    <w:t>醇、醛、酯、芳香族等</w:t>
                  </w:r>
                </w:p>
              </w:tc>
              <w:tc>
                <w:tcPr>
                  <w:tcW w:w="626" w:type="pct"/>
                  <w:tcBorders>
                    <w:tl2br w:val="nil"/>
                    <w:tr2bl w:val="nil"/>
                  </w:tcBorders>
                  <w:shd w:val="clear" w:color="auto" w:fill="auto"/>
                  <w:noWrap/>
                  <w:vAlign w:val="center"/>
                </w:tcPr>
                <w:p w14:paraId="5884A984">
                  <w:pPr>
                    <w:pStyle w:val="1111"/>
                    <w:bidi w:val="0"/>
                    <w:rPr>
                      <w:rFonts w:hint="eastAsia"/>
                    </w:rPr>
                  </w:pPr>
                  <w:r>
                    <w:rPr>
                      <w:rFonts w:hint="eastAsia"/>
                      <w:lang w:val="en-US" w:eastAsia="zh-CN"/>
                    </w:rPr>
                    <w:t>T</w:t>
                  </w:r>
                </w:p>
              </w:tc>
            </w:tr>
            <w:tr w14:paraId="22F749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4" w:type="pct"/>
                  <w:tcBorders>
                    <w:tl2br w:val="nil"/>
                    <w:tr2bl w:val="nil"/>
                  </w:tcBorders>
                  <w:shd w:val="clear" w:color="auto" w:fill="auto"/>
                  <w:noWrap/>
                  <w:vAlign w:val="center"/>
                </w:tcPr>
                <w:p w14:paraId="66BDB0B4">
                  <w:pPr>
                    <w:pStyle w:val="1111"/>
                    <w:bidi w:val="0"/>
                    <w:rPr>
                      <w:rFonts w:hint="eastAsia"/>
                    </w:rPr>
                  </w:pPr>
                  <w:r>
                    <w:rPr>
                      <w:rFonts w:hint="eastAsia"/>
                      <w:lang w:val="en-US" w:eastAsia="zh-CN"/>
                    </w:rPr>
                    <w:t>4</w:t>
                  </w:r>
                </w:p>
              </w:tc>
              <w:tc>
                <w:tcPr>
                  <w:tcW w:w="1515" w:type="pct"/>
                  <w:tcBorders>
                    <w:tl2br w:val="nil"/>
                    <w:tr2bl w:val="nil"/>
                  </w:tcBorders>
                  <w:shd w:val="clear" w:color="auto" w:fill="auto"/>
                  <w:noWrap/>
                  <w:vAlign w:val="center"/>
                </w:tcPr>
                <w:p w14:paraId="1EF8558A">
                  <w:pPr>
                    <w:pStyle w:val="1111"/>
                    <w:bidi w:val="0"/>
                    <w:rPr>
                      <w:rFonts w:hint="eastAsia"/>
                    </w:rPr>
                  </w:pPr>
                  <w:r>
                    <w:rPr>
                      <w:rFonts w:hint="eastAsia"/>
                      <w:lang w:val="en-US" w:eastAsia="zh-CN"/>
                    </w:rPr>
                    <w:t>HW05木材防腐剂废物</w:t>
                  </w:r>
                </w:p>
              </w:tc>
              <w:tc>
                <w:tcPr>
                  <w:tcW w:w="887" w:type="pct"/>
                  <w:tcBorders>
                    <w:tl2br w:val="nil"/>
                    <w:tr2bl w:val="nil"/>
                  </w:tcBorders>
                  <w:shd w:val="clear" w:color="auto" w:fill="auto"/>
                  <w:noWrap/>
                  <w:vAlign w:val="center"/>
                </w:tcPr>
                <w:p w14:paraId="6F2C84B0">
                  <w:pPr>
                    <w:pStyle w:val="1111"/>
                    <w:bidi w:val="0"/>
                    <w:rPr>
                      <w:rFonts w:hint="eastAsia"/>
                    </w:rPr>
                  </w:pPr>
                  <w:r>
                    <w:rPr>
                      <w:rFonts w:hint="eastAsia"/>
                      <w:lang w:val="en-US" w:eastAsia="zh-CN"/>
                    </w:rPr>
                    <w:t>多数为固态，少数为液态</w:t>
                  </w:r>
                </w:p>
              </w:tc>
              <w:tc>
                <w:tcPr>
                  <w:tcW w:w="1526" w:type="pct"/>
                  <w:tcBorders>
                    <w:tl2br w:val="nil"/>
                    <w:tr2bl w:val="nil"/>
                  </w:tcBorders>
                  <w:shd w:val="clear" w:color="auto" w:fill="auto"/>
                  <w:noWrap/>
                  <w:vAlign w:val="center"/>
                </w:tcPr>
                <w:p w14:paraId="08E233CD">
                  <w:pPr>
                    <w:pStyle w:val="1111"/>
                    <w:bidi w:val="0"/>
                    <w:rPr>
                      <w:rFonts w:hint="eastAsia"/>
                    </w:rPr>
                  </w:pPr>
                  <w:r>
                    <w:rPr>
                      <w:rFonts w:hint="eastAsia"/>
                      <w:lang w:val="en-US" w:eastAsia="zh-CN"/>
                    </w:rPr>
                    <w:t>酚、砷、铬等</w:t>
                  </w:r>
                </w:p>
              </w:tc>
              <w:tc>
                <w:tcPr>
                  <w:tcW w:w="626" w:type="pct"/>
                  <w:tcBorders>
                    <w:tl2br w:val="nil"/>
                    <w:tr2bl w:val="nil"/>
                  </w:tcBorders>
                  <w:shd w:val="clear" w:color="auto" w:fill="auto"/>
                  <w:noWrap/>
                  <w:vAlign w:val="center"/>
                </w:tcPr>
                <w:p w14:paraId="17966A1D">
                  <w:pPr>
                    <w:pStyle w:val="1111"/>
                    <w:bidi w:val="0"/>
                    <w:rPr>
                      <w:rFonts w:hint="eastAsia"/>
                    </w:rPr>
                  </w:pPr>
                  <w:r>
                    <w:rPr>
                      <w:rFonts w:hint="eastAsia"/>
                      <w:lang w:val="en-US" w:eastAsia="zh-CN"/>
                    </w:rPr>
                    <w:t>T</w:t>
                  </w:r>
                </w:p>
              </w:tc>
            </w:tr>
            <w:tr w14:paraId="25326C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4" w:type="pct"/>
                  <w:tcBorders>
                    <w:tl2br w:val="nil"/>
                    <w:tr2bl w:val="nil"/>
                  </w:tcBorders>
                  <w:shd w:val="clear" w:color="auto" w:fill="auto"/>
                  <w:noWrap/>
                  <w:vAlign w:val="center"/>
                </w:tcPr>
                <w:p w14:paraId="30C7490F">
                  <w:pPr>
                    <w:pStyle w:val="1111"/>
                    <w:bidi w:val="0"/>
                    <w:rPr>
                      <w:rFonts w:hint="eastAsia"/>
                    </w:rPr>
                  </w:pPr>
                  <w:r>
                    <w:rPr>
                      <w:rFonts w:hint="eastAsia"/>
                      <w:lang w:val="en-US" w:eastAsia="zh-CN"/>
                    </w:rPr>
                    <w:t>5</w:t>
                  </w:r>
                </w:p>
              </w:tc>
              <w:tc>
                <w:tcPr>
                  <w:tcW w:w="1515" w:type="pct"/>
                  <w:tcBorders>
                    <w:tl2br w:val="nil"/>
                    <w:tr2bl w:val="nil"/>
                  </w:tcBorders>
                  <w:shd w:val="clear" w:color="auto" w:fill="auto"/>
                  <w:noWrap/>
                  <w:vAlign w:val="center"/>
                </w:tcPr>
                <w:p w14:paraId="5DBD01E4">
                  <w:pPr>
                    <w:pStyle w:val="1111"/>
                    <w:bidi w:val="0"/>
                    <w:rPr>
                      <w:rFonts w:hint="eastAsia"/>
                    </w:rPr>
                  </w:pPr>
                  <w:r>
                    <w:rPr>
                      <w:rFonts w:hint="eastAsia"/>
                      <w:lang w:val="en-US" w:eastAsia="zh-CN"/>
                    </w:rPr>
                    <w:t>HW06废有机溶剂与含有机溶剂废物</w:t>
                  </w:r>
                </w:p>
              </w:tc>
              <w:tc>
                <w:tcPr>
                  <w:tcW w:w="887" w:type="pct"/>
                  <w:tcBorders>
                    <w:tl2br w:val="nil"/>
                    <w:tr2bl w:val="nil"/>
                  </w:tcBorders>
                  <w:shd w:val="clear" w:color="auto" w:fill="auto"/>
                  <w:noWrap/>
                  <w:vAlign w:val="center"/>
                </w:tcPr>
                <w:p w14:paraId="5658925B">
                  <w:pPr>
                    <w:pStyle w:val="1111"/>
                    <w:bidi w:val="0"/>
                    <w:rPr>
                      <w:rFonts w:hint="eastAsia"/>
                    </w:rPr>
                  </w:pPr>
                  <w:r>
                    <w:rPr>
                      <w:rFonts w:hint="eastAsia"/>
                      <w:lang w:val="en-US" w:eastAsia="zh-CN"/>
                    </w:rPr>
                    <w:t>液态</w:t>
                  </w:r>
                </w:p>
              </w:tc>
              <w:tc>
                <w:tcPr>
                  <w:tcW w:w="1526" w:type="pct"/>
                  <w:tcBorders>
                    <w:tl2br w:val="nil"/>
                    <w:tr2bl w:val="nil"/>
                  </w:tcBorders>
                  <w:shd w:val="clear" w:color="auto" w:fill="auto"/>
                  <w:noWrap/>
                  <w:vAlign w:val="center"/>
                </w:tcPr>
                <w:p w14:paraId="6D709A1D">
                  <w:pPr>
                    <w:pStyle w:val="1111"/>
                    <w:bidi w:val="0"/>
                    <w:rPr>
                      <w:rFonts w:hint="eastAsia"/>
                    </w:rPr>
                  </w:pPr>
                  <w:r>
                    <w:rPr>
                      <w:rFonts w:hint="eastAsia"/>
                      <w:lang w:val="en-US" w:eastAsia="zh-CN"/>
                    </w:rPr>
                    <w:t>有机物等</w:t>
                  </w:r>
                </w:p>
              </w:tc>
              <w:tc>
                <w:tcPr>
                  <w:tcW w:w="626" w:type="pct"/>
                  <w:tcBorders>
                    <w:tl2br w:val="nil"/>
                    <w:tr2bl w:val="nil"/>
                  </w:tcBorders>
                  <w:shd w:val="clear" w:color="auto" w:fill="auto"/>
                  <w:noWrap/>
                  <w:vAlign w:val="center"/>
                </w:tcPr>
                <w:p w14:paraId="26E22F7F">
                  <w:pPr>
                    <w:pStyle w:val="1111"/>
                    <w:bidi w:val="0"/>
                    <w:rPr>
                      <w:rFonts w:hint="eastAsia"/>
                    </w:rPr>
                  </w:pPr>
                  <w:r>
                    <w:rPr>
                      <w:rFonts w:hint="eastAsia"/>
                      <w:lang w:val="en-US" w:eastAsia="zh-CN"/>
                    </w:rPr>
                    <w:t>T，I，R</w:t>
                  </w:r>
                </w:p>
              </w:tc>
            </w:tr>
            <w:tr w14:paraId="61EEAD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4" w:type="pct"/>
                  <w:tcBorders>
                    <w:tl2br w:val="nil"/>
                    <w:tr2bl w:val="nil"/>
                  </w:tcBorders>
                  <w:shd w:val="clear" w:color="auto" w:fill="auto"/>
                  <w:noWrap/>
                  <w:vAlign w:val="center"/>
                </w:tcPr>
                <w:p w14:paraId="39F2D92B">
                  <w:pPr>
                    <w:pStyle w:val="1111"/>
                    <w:bidi w:val="0"/>
                    <w:rPr>
                      <w:rFonts w:hint="eastAsia"/>
                    </w:rPr>
                  </w:pPr>
                  <w:r>
                    <w:rPr>
                      <w:rFonts w:hint="eastAsia"/>
                      <w:lang w:val="en-US" w:eastAsia="zh-CN"/>
                    </w:rPr>
                    <w:t>6</w:t>
                  </w:r>
                </w:p>
              </w:tc>
              <w:tc>
                <w:tcPr>
                  <w:tcW w:w="1515" w:type="pct"/>
                  <w:tcBorders>
                    <w:tl2br w:val="nil"/>
                    <w:tr2bl w:val="nil"/>
                  </w:tcBorders>
                  <w:shd w:val="clear" w:color="auto" w:fill="auto"/>
                  <w:noWrap/>
                  <w:vAlign w:val="center"/>
                </w:tcPr>
                <w:p w14:paraId="6F353E87">
                  <w:pPr>
                    <w:pStyle w:val="1111"/>
                    <w:bidi w:val="0"/>
                    <w:rPr>
                      <w:rFonts w:hint="eastAsia"/>
                    </w:rPr>
                  </w:pPr>
                  <w:r>
                    <w:rPr>
                      <w:rFonts w:hint="eastAsia"/>
                      <w:lang w:val="en-US" w:eastAsia="zh-CN"/>
                    </w:rPr>
                    <w:t>HW07热处理含氰废物</w:t>
                  </w:r>
                </w:p>
              </w:tc>
              <w:tc>
                <w:tcPr>
                  <w:tcW w:w="887" w:type="pct"/>
                  <w:tcBorders>
                    <w:tl2br w:val="nil"/>
                    <w:tr2bl w:val="nil"/>
                  </w:tcBorders>
                  <w:shd w:val="clear" w:color="auto" w:fill="auto"/>
                  <w:noWrap/>
                  <w:vAlign w:val="center"/>
                </w:tcPr>
                <w:p w14:paraId="0341A74E">
                  <w:pPr>
                    <w:pStyle w:val="1111"/>
                    <w:bidi w:val="0"/>
                    <w:rPr>
                      <w:rFonts w:hint="eastAsia"/>
                    </w:rPr>
                  </w:pPr>
                  <w:r>
                    <w:rPr>
                      <w:rFonts w:hint="eastAsia"/>
                      <w:lang w:val="en-US" w:eastAsia="zh-CN"/>
                    </w:rPr>
                    <w:t>固态</w:t>
                  </w:r>
                </w:p>
              </w:tc>
              <w:tc>
                <w:tcPr>
                  <w:tcW w:w="1526" w:type="pct"/>
                  <w:tcBorders>
                    <w:tl2br w:val="nil"/>
                    <w:tr2bl w:val="nil"/>
                  </w:tcBorders>
                  <w:shd w:val="clear" w:color="auto" w:fill="auto"/>
                  <w:noWrap/>
                  <w:vAlign w:val="center"/>
                </w:tcPr>
                <w:p w14:paraId="76633115">
                  <w:pPr>
                    <w:pStyle w:val="1111"/>
                    <w:bidi w:val="0"/>
                    <w:rPr>
                      <w:rFonts w:hint="eastAsia"/>
                    </w:rPr>
                  </w:pPr>
                  <w:r>
                    <w:rPr>
                      <w:rFonts w:hint="eastAsia"/>
                      <w:lang w:val="en-US" w:eastAsia="zh-CN"/>
                    </w:rPr>
                    <w:t>氰化物等</w:t>
                  </w:r>
                </w:p>
              </w:tc>
              <w:tc>
                <w:tcPr>
                  <w:tcW w:w="626" w:type="pct"/>
                  <w:tcBorders>
                    <w:tl2br w:val="nil"/>
                    <w:tr2bl w:val="nil"/>
                  </w:tcBorders>
                  <w:shd w:val="clear" w:color="auto" w:fill="auto"/>
                  <w:noWrap/>
                  <w:vAlign w:val="center"/>
                </w:tcPr>
                <w:p w14:paraId="7F7F1C6B">
                  <w:pPr>
                    <w:pStyle w:val="1111"/>
                    <w:bidi w:val="0"/>
                    <w:rPr>
                      <w:rFonts w:hint="eastAsia"/>
                    </w:rPr>
                  </w:pPr>
                  <w:r>
                    <w:rPr>
                      <w:rFonts w:hint="eastAsia"/>
                      <w:lang w:val="en-US" w:eastAsia="zh-CN"/>
                    </w:rPr>
                    <w:t>T，R</w:t>
                  </w:r>
                </w:p>
              </w:tc>
            </w:tr>
            <w:tr w14:paraId="392120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4" w:type="pct"/>
                  <w:tcBorders>
                    <w:tl2br w:val="nil"/>
                    <w:tr2bl w:val="nil"/>
                  </w:tcBorders>
                  <w:shd w:val="clear" w:color="auto" w:fill="auto"/>
                  <w:noWrap/>
                  <w:vAlign w:val="center"/>
                </w:tcPr>
                <w:p w14:paraId="1A7E032D">
                  <w:pPr>
                    <w:pStyle w:val="1111"/>
                    <w:bidi w:val="0"/>
                    <w:rPr>
                      <w:rFonts w:hint="eastAsia"/>
                    </w:rPr>
                  </w:pPr>
                  <w:r>
                    <w:rPr>
                      <w:rFonts w:hint="eastAsia"/>
                      <w:lang w:val="en-US" w:eastAsia="zh-CN"/>
                    </w:rPr>
                    <w:t>7</w:t>
                  </w:r>
                </w:p>
              </w:tc>
              <w:tc>
                <w:tcPr>
                  <w:tcW w:w="1515" w:type="pct"/>
                  <w:tcBorders>
                    <w:tl2br w:val="nil"/>
                    <w:tr2bl w:val="nil"/>
                  </w:tcBorders>
                  <w:shd w:val="clear" w:color="auto" w:fill="auto"/>
                  <w:noWrap/>
                  <w:vAlign w:val="center"/>
                </w:tcPr>
                <w:p w14:paraId="65D9157C">
                  <w:pPr>
                    <w:pStyle w:val="1111"/>
                    <w:bidi w:val="0"/>
                    <w:rPr>
                      <w:rFonts w:hint="eastAsia"/>
                    </w:rPr>
                  </w:pPr>
                  <w:r>
                    <w:rPr>
                      <w:rFonts w:hint="eastAsia"/>
                      <w:lang w:val="en-US" w:eastAsia="zh-CN"/>
                    </w:rPr>
                    <w:t>HW08废矿物油与含矿物油废物</w:t>
                  </w:r>
                </w:p>
              </w:tc>
              <w:tc>
                <w:tcPr>
                  <w:tcW w:w="887" w:type="pct"/>
                  <w:tcBorders>
                    <w:tl2br w:val="nil"/>
                    <w:tr2bl w:val="nil"/>
                  </w:tcBorders>
                  <w:shd w:val="clear" w:color="auto" w:fill="auto"/>
                  <w:noWrap/>
                  <w:vAlign w:val="center"/>
                </w:tcPr>
                <w:p w14:paraId="46638A61">
                  <w:pPr>
                    <w:pStyle w:val="1111"/>
                    <w:bidi w:val="0"/>
                    <w:rPr>
                      <w:rFonts w:hint="eastAsia"/>
                    </w:rPr>
                  </w:pPr>
                  <w:r>
                    <w:rPr>
                      <w:rFonts w:hint="eastAsia"/>
                      <w:lang w:val="en-US" w:eastAsia="zh-CN"/>
                    </w:rPr>
                    <w:t>液态</w:t>
                  </w:r>
                </w:p>
              </w:tc>
              <w:tc>
                <w:tcPr>
                  <w:tcW w:w="1526" w:type="pct"/>
                  <w:tcBorders>
                    <w:tl2br w:val="nil"/>
                    <w:tr2bl w:val="nil"/>
                  </w:tcBorders>
                  <w:shd w:val="clear" w:color="auto" w:fill="auto"/>
                  <w:noWrap/>
                  <w:vAlign w:val="center"/>
                </w:tcPr>
                <w:p w14:paraId="24B8DB95">
                  <w:pPr>
                    <w:pStyle w:val="1111"/>
                    <w:bidi w:val="0"/>
                    <w:rPr>
                      <w:rFonts w:hint="eastAsia"/>
                    </w:rPr>
                  </w:pPr>
                  <w:r>
                    <w:rPr>
                      <w:rFonts w:hint="eastAsia"/>
                      <w:lang w:val="en-US" w:eastAsia="zh-CN"/>
                    </w:rPr>
                    <w:t>碳氢化合物、醇、醛、酯、芳香族、硫化物等</w:t>
                  </w:r>
                </w:p>
              </w:tc>
              <w:tc>
                <w:tcPr>
                  <w:tcW w:w="626" w:type="pct"/>
                  <w:tcBorders>
                    <w:tl2br w:val="nil"/>
                    <w:tr2bl w:val="nil"/>
                  </w:tcBorders>
                  <w:shd w:val="clear" w:color="auto" w:fill="auto"/>
                  <w:noWrap/>
                  <w:vAlign w:val="center"/>
                </w:tcPr>
                <w:p w14:paraId="2BC9DE0C">
                  <w:pPr>
                    <w:pStyle w:val="1111"/>
                    <w:bidi w:val="0"/>
                    <w:rPr>
                      <w:rFonts w:hint="eastAsia"/>
                    </w:rPr>
                  </w:pPr>
                  <w:r>
                    <w:rPr>
                      <w:rFonts w:hint="eastAsia"/>
                      <w:lang w:val="en-US" w:eastAsia="zh-CN"/>
                    </w:rPr>
                    <w:t>T，I，R</w:t>
                  </w:r>
                </w:p>
              </w:tc>
            </w:tr>
            <w:tr w14:paraId="23C3D6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4" w:type="pct"/>
                  <w:tcBorders>
                    <w:tl2br w:val="nil"/>
                    <w:tr2bl w:val="nil"/>
                  </w:tcBorders>
                  <w:shd w:val="clear" w:color="auto" w:fill="auto"/>
                  <w:noWrap/>
                  <w:vAlign w:val="center"/>
                </w:tcPr>
                <w:p w14:paraId="301D8911">
                  <w:pPr>
                    <w:pStyle w:val="1111"/>
                    <w:bidi w:val="0"/>
                    <w:rPr>
                      <w:rFonts w:hint="eastAsia"/>
                    </w:rPr>
                  </w:pPr>
                  <w:r>
                    <w:rPr>
                      <w:rFonts w:hint="eastAsia"/>
                      <w:lang w:val="en-US" w:eastAsia="zh-CN"/>
                    </w:rPr>
                    <w:t>8</w:t>
                  </w:r>
                </w:p>
              </w:tc>
              <w:tc>
                <w:tcPr>
                  <w:tcW w:w="1515" w:type="pct"/>
                  <w:tcBorders>
                    <w:tl2br w:val="nil"/>
                    <w:tr2bl w:val="nil"/>
                  </w:tcBorders>
                  <w:shd w:val="clear" w:color="auto" w:fill="auto"/>
                  <w:noWrap/>
                  <w:vAlign w:val="center"/>
                </w:tcPr>
                <w:p w14:paraId="65FA220F">
                  <w:pPr>
                    <w:pStyle w:val="1111"/>
                    <w:bidi w:val="0"/>
                    <w:rPr>
                      <w:rFonts w:hint="eastAsia"/>
                    </w:rPr>
                  </w:pPr>
                  <w:r>
                    <w:rPr>
                      <w:rFonts w:hint="eastAsia"/>
                      <w:lang w:val="en-US" w:eastAsia="zh-CN"/>
                    </w:rPr>
                    <w:t>HW09油/水、烃/水混合物或乳化液</w:t>
                  </w:r>
                </w:p>
              </w:tc>
              <w:tc>
                <w:tcPr>
                  <w:tcW w:w="887" w:type="pct"/>
                  <w:tcBorders>
                    <w:tl2br w:val="nil"/>
                    <w:tr2bl w:val="nil"/>
                  </w:tcBorders>
                  <w:shd w:val="clear" w:color="auto" w:fill="auto"/>
                  <w:noWrap/>
                  <w:vAlign w:val="center"/>
                </w:tcPr>
                <w:p w14:paraId="6F12C3BF">
                  <w:pPr>
                    <w:pStyle w:val="1111"/>
                    <w:bidi w:val="0"/>
                    <w:rPr>
                      <w:rFonts w:hint="eastAsia"/>
                    </w:rPr>
                  </w:pPr>
                  <w:r>
                    <w:rPr>
                      <w:rFonts w:hint="eastAsia"/>
                      <w:lang w:val="en-US" w:eastAsia="zh-CN"/>
                    </w:rPr>
                    <w:t>液态</w:t>
                  </w:r>
                </w:p>
              </w:tc>
              <w:tc>
                <w:tcPr>
                  <w:tcW w:w="1526" w:type="pct"/>
                  <w:tcBorders>
                    <w:tl2br w:val="nil"/>
                    <w:tr2bl w:val="nil"/>
                  </w:tcBorders>
                  <w:shd w:val="clear" w:color="auto" w:fill="auto"/>
                  <w:noWrap/>
                  <w:vAlign w:val="center"/>
                </w:tcPr>
                <w:p w14:paraId="69D14AC4">
                  <w:pPr>
                    <w:pStyle w:val="1111"/>
                    <w:bidi w:val="0"/>
                    <w:rPr>
                      <w:rFonts w:hint="eastAsia"/>
                    </w:rPr>
                  </w:pPr>
                  <w:r>
                    <w:rPr>
                      <w:rFonts w:hint="eastAsia"/>
                      <w:lang w:val="en-US" w:eastAsia="zh-CN"/>
                    </w:rPr>
                    <w:t>碳氢化合物、醇、醛、酯、芳香族、硫化物等</w:t>
                  </w:r>
                </w:p>
              </w:tc>
              <w:tc>
                <w:tcPr>
                  <w:tcW w:w="626" w:type="pct"/>
                  <w:tcBorders>
                    <w:tl2br w:val="nil"/>
                    <w:tr2bl w:val="nil"/>
                  </w:tcBorders>
                  <w:shd w:val="clear" w:color="auto" w:fill="auto"/>
                  <w:noWrap/>
                  <w:vAlign w:val="center"/>
                </w:tcPr>
                <w:p w14:paraId="1130CF5D">
                  <w:pPr>
                    <w:pStyle w:val="1111"/>
                    <w:bidi w:val="0"/>
                    <w:rPr>
                      <w:rFonts w:hint="eastAsia"/>
                    </w:rPr>
                  </w:pPr>
                  <w:r>
                    <w:rPr>
                      <w:rFonts w:hint="eastAsia"/>
                      <w:lang w:val="en-US" w:eastAsia="zh-CN"/>
                    </w:rPr>
                    <w:t>T</w:t>
                  </w:r>
                </w:p>
              </w:tc>
            </w:tr>
            <w:tr w14:paraId="3D0B71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4" w:type="pct"/>
                  <w:tcBorders>
                    <w:tl2br w:val="nil"/>
                    <w:tr2bl w:val="nil"/>
                  </w:tcBorders>
                  <w:shd w:val="clear" w:color="auto" w:fill="auto"/>
                  <w:noWrap/>
                  <w:vAlign w:val="center"/>
                </w:tcPr>
                <w:p w14:paraId="43FB1675">
                  <w:pPr>
                    <w:pStyle w:val="1111"/>
                    <w:bidi w:val="0"/>
                    <w:rPr>
                      <w:rFonts w:hint="eastAsia"/>
                    </w:rPr>
                  </w:pPr>
                  <w:r>
                    <w:rPr>
                      <w:rFonts w:hint="eastAsia"/>
                      <w:lang w:val="en-US" w:eastAsia="zh-CN"/>
                    </w:rPr>
                    <w:t>9</w:t>
                  </w:r>
                </w:p>
              </w:tc>
              <w:tc>
                <w:tcPr>
                  <w:tcW w:w="1515" w:type="pct"/>
                  <w:tcBorders>
                    <w:tl2br w:val="nil"/>
                    <w:tr2bl w:val="nil"/>
                  </w:tcBorders>
                  <w:shd w:val="clear" w:color="auto" w:fill="auto"/>
                  <w:noWrap/>
                  <w:vAlign w:val="center"/>
                </w:tcPr>
                <w:p w14:paraId="4A76967D">
                  <w:pPr>
                    <w:pStyle w:val="1111"/>
                    <w:bidi w:val="0"/>
                    <w:rPr>
                      <w:rFonts w:hint="eastAsia"/>
                    </w:rPr>
                  </w:pPr>
                  <w:r>
                    <w:rPr>
                      <w:rFonts w:hint="eastAsia"/>
                      <w:lang w:val="en-US" w:eastAsia="zh-CN"/>
                    </w:rPr>
                    <w:t>HW11精（蒸）馏残渣</w:t>
                  </w:r>
                </w:p>
              </w:tc>
              <w:tc>
                <w:tcPr>
                  <w:tcW w:w="887" w:type="pct"/>
                  <w:tcBorders>
                    <w:tl2br w:val="nil"/>
                    <w:tr2bl w:val="nil"/>
                  </w:tcBorders>
                  <w:shd w:val="clear" w:color="auto" w:fill="auto"/>
                  <w:noWrap/>
                  <w:vAlign w:val="center"/>
                </w:tcPr>
                <w:p w14:paraId="03D73CEF">
                  <w:pPr>
                    <w:pStyle w:val="1111"/>
                    <w:bidi w:val="0"/>
                    <w:rPr>
                      <w:rFonts w:hint="eastAsia"/>
                    </w:rPr>
                  </w:pPr>
                  <w:r>
                    <w:rPr>
                      <w:rFonts w:hint="eastAsia"/>
                      <w:lang w:val="en-US" w:eastAsia="zh-CN"/>
                    </w:rPr>
                    <w:t>渣固</w:t>
                  </w:r>
                </w:p>
              </w:tc>
              <w:tc>
                <w:tcPr>
                  <w:tcW w:w="1526" w:type="pct"/>
                  <w:tcBorders>
                    <w:tl2br w:val="nil"/>
                    <w:tr2bl w:val="nil"/>
                  </w:tcBorders>
                  <w:shd w:val="clear" w:color="auto" w:fill="auto"/>
                  <w:noWrap/>
                  <w:vAlign w:val="center"/>
                </w:tcPr>
                <w:p w14:paraId="1A610649">
                  <w:pPr>
                    <w:pStyle w:val="1111"/>
                    <w:bidi w:val="0"/>
                    <w:rPr>
                      <w:rFonts w:hint="eastAsia"/>
                    </w:rPr>
                  </w:pPr>
                  <w:r>
                    <w:rPr>
                      <w:rFonts w:hint="eastAsia"/>
                      <w:lang w:val="en-US" w:eastAsia="zh-CN"/>
                    </w:rPr>
                    <w:t>碳氢化合物、醇、醛、酯、芳香族、硫化物等</w:t>
                  </w:r>
                </w:p>
              </w:tc>
              <w:tc>
                <w:tcPr>
                  <w:tcW w:w="626" w:type="pct"/>
                  <w:tcBorders>
                    <w:tl2br w:val="nil"/>
                    <w:tr2bl w:val="nil"/>
                  </w:tcBorders>
                  <w:shd w:val="clear" w:color="auto" w:fill="auto"/>
                  <w:noWrap/>
                  <w:vAlign w:val="center"/>
                </w:tcPr>
                <w:p w14:paraId="08DF5B07">
                  <w:pPr>
                    <w:pStyle w:val="1111"/>
                    <w:bidi w:val="0"/>
                    <w:rPr>
                      <w:rFonts w:hint="eastAsia"/>
                    </w:rPr>
                  </w:pPr>
                  <w:r>
                    <w:rPr>
                      <w:rFonts w:hint="eastAsia"/>
                      <w:lang w:val="en-US" w:eastAsia="zh-CN"/>
                    </w:rPr>
                    <w:t>T，R</w:t>
                  </w:r>
                </w:p>
              </w:tc>
            </w:tr>
            <w:tr w14:paraId="7F7E96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4" w:type="pct"/>
                  <w:tcBorders>
                    <w:tl2br w:val="nil"/>
                    <w:tr2bl w:val="nil"/>
                  </w:tcBorders>
                  <w:shd w:val="clear" w:color="auto" w:fill="auto"/>
                  <w:noWrap/>
                  <w:vAlign w:val="center"/>
                </w:tcPr>
                <w:p w14:paraId="0EBE3411">
                  <w:pPr>
                    <w:pStyle w:val="1111"/>
                    <w:bidi w:val="0"/>
                    <w:rPr>
                      <w:rFonts w:hint="eastAsia"/>
                    </w:rPr>
                  </w:pPr>
                  <w:r>
                    <w:rPr>
                      <w:rFonts w:hint="eastAsia"/>
                      <w:lang w:val="en-US" w:eastAsia="zh-CN"/>
                    </w:rPr>
                    <w:t>10</w:t>
                  </w:r>
                </w:p>
              </w:tc>
              <w:tc>
                <w:tcPr>
                  <w:tcW w:w="1515" w:type="pct"/>
                  <w:tcBorders>
                    <w:tl2br w:val="nil"/>
                    <w:tr2bl w:val="nil"/>
                  </w:tcBorders>
                  <w:shd w:val="clear" w:color="auto" w:fill="auto"/>
                  <w:noWrap/>
                  <w:vAlign w:val="center"/>
                </w:tcPr>
                <w:p w14:paraId="19DD43B3">
                  <w:pPr>
                    <w:pStyle w:val="1111"/>
                    <w:bidi w:val="0"/>
                    <w:rPr>
                      <w:rFonts w:hint="eastAsia"/>
                    </w:rPr>
                  </w:pPr>
                  <w:r>
                    <w:rPr>
                      <w:rFonts w:hint="eastAsia"/>
                      <w:lang w:val="en-US" w:eastAsia="zh-CN"/>
                    </w:rPr>
                    <w:t>HW12染料、涂料废物</w:t>
                  </w:r>
                </w:p>
              </w:tc>
              <w:tc>
                <w:tcPr>
                  <w:tcW w:w="887" w:type="pct"/>
                  <w:tcBorders>
                    <w:tl2br w:val="nil"/>
                    <w:tr2bl w:val="nil"/>
                  </w:tcBorders>
                  <w:shd w:val="clear" w:color="auto" w:fill="auto"/>
                  <w:noWrap/>
                  <w:vAlign w:val="center"/>
                </w:tcPr>
                <w:p w14:paraId="2DE58B61">
                  <w:pPr>
                    <w:pStyle w:val="1111"/>
                    <w:bidi w:val="0"/>
                    <w:rPr>
                      <w:rFonts w:hint="eastAsia"/>
                    </w:rPr>
                  </w:pPr>
                  <w:r>
                    <w:rPr>
                      <w:rFonts w:hint="eastAsia"/>
                      <w:lang w:val="en-US" w:eastAsia="zh-CN"/>
                    </w:rPr>
                    <w:t>固态</w:t>
                  </w:r>
                </w:p>
              </w:tc>
              <w:tc>
                <w:tcPr>
                  <w:tcW w:w="1526" w:type="pct"/>
                  <w:tcBorders>
                    <w:tl2br w:val="nil"/>
                    <w:tr2bl w:val="nil"/>
                  </w:tcBorders>
                  <w:shd w:val="clear" w:color="auto" w:fill="auto"/>
                  <w:noWrap/>
                  <w:vAlign w:val="center"/>
                </w:tcPr>
                <w:p w14:paraId="04CA32D6">
                  <w:pPr>
                    <w:pStyle w:val="1111"/>
                    <w:bidi w:val="0"/>
                    <w:rPr>
                      <w:rFonts w:hint="eastAsia"/>
                    </w:rPr>
                  </w:pPr>
                  <w:r>
                    <w:rPr>
                      <w:rFonts w:hint="eastAsia"/>
                      <w:lang w:val="en-US" w:eastAsia="zh-CN"/>
                    </w:rPr>
                    <w:t>芳香族、氮化物、硫化物、酯类等</w:t>
                  </w:r>
                </w:p>
              </w:tc>
              <w:tc>
                <w:tcPr>
                  <w:tcW w:w="626" w:type="pct"/>
                  <w:tcBorders>
                    <w:tl2br w:val="nil"/>
                    <w:tr2bl w:val="nil"/>
                  </w:tcBorders>
                  <w:shd w:val="clear" w:color="auto" w:fill="auto"/>
                  <w:noWrap/>
                  <w:vAlign w:val="center"/>
                </w:tcPr>
                <w:p w14:paraId="3CFD0825">
                  <w:pPr>
                    <w:pStyle w:val="1111"/>
                    <w:bidi w:val="0"/>
                    <w:rPr>
                      <w:rFonts w:hint="eastAsia"/>
                    </w:rPr>
                  </w:pPr>
                  <w:r>
                    <w:rPr>
                      <w:rFonts w:hint="eastAsia"/>
                      <w:lang w:val="en-US" w:eastAsia="zh-CN"/>
                    </w:rPr>
                    <w:t>T，I，C</w:t>
                  </w:r>
                </w:p>
              </w:tc>
            </w:tr>
            <w:tr w14:paraId="4EF3AA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4" w:type="pct"/>
                  <w:tcBorders>
                    <w:tl2br w:val="nil"/>
                    <w:tr2bl w:val="nil"/>
                  </w:tcBorders>
                  <w:shd w:val="clear" w:color="auto" w:fill="auto"/>
                  <w:noWrap/>
                  <w:vAlign w:val="center"/>
                </w:tcPr>
                <w:p w14:paraId="3CE5586C">
                  <w:pPr>
                    <w:pStyle w:val="1111"/>
                    <w:bidi w:val="0"/>
                    <w:rPr>
                      <w:rFonts w:hint="eastAsia"/>
                    </w:rPr>
                  </w:pPr>
                  <w:r>
                    <w:rPr>
                      <w:rFonts w:hint="eastAsia"/>
                      <w:lang w:val="en-US" w:eastAsia="zh-CN"/>
                    </w:rPr>
                    <w:t>11</w:t>
                  </w:r>
                </w:p>
              </w:tc>
              <w:tc>
                <w:tcPr>
                  <w:tcW w:w="1515" w:type="pct"/>
                  <w:tcBorders>
                    <w:tl2br w:val="nil"/>
                    <w:tr2bl w:val="nil"/>
                  </w:tcBorders>
                  <w:shd w:val="clear" w:color="auto" w:fill="auto"/>
                  <w:noWrap/>
                  <w:vAlign w:val="center"/>
                </w:tcPr>
                <w:p w14:paraId="391EA964">
                  <w:pPr>
                    <w:pStyle w:val="1111"/>
                    <w:bidi w:val="0"/>
                    <w:rPr>
                      <w:rFonts w:hint="eastAsia"/>
                    </w:rPr>
                  </w:pPr>
                  <w:r>
                    <w:rPr>
                      <w:rFonts w:hint="eastAsia"/>
                      <w:lang w:val="en-US" w:eastAsia="zh-CN"/>
                    </w:rPr>
                    <w:t>HW13有机树脂类废物</w:t>
                  </w:r>
                </w:p>
              </w:tc>
              <w:tc>
                <w:tcPr>
                  <w:tcW w:w="887" w:type="pct"/>
                  <w:tcBorders>
                    <w:tl2br w:val="nil"/>
                    <w:tr2bl w:val="nil"/>
                  </w:tcBorders>
                  <w:shd w:val="clear" w:color="auto" w:fill="auto"/>
                  <w:noWrap/>
                  <w:vAlign w:val="center"/>
                </w:tcPr>
                <w:p w14:paraId="2623875C">
                  <w:pPr>
                    <w:pStyle w:val="1111"/>
                    <w:bidi w:val="0"/>
                    <w:rPr>
                      <w:rFonts w:hint="eastAsia"/>
                    </w:rPr>
                  </w:pPr>
                  <w:r>
                    <w:rPr>
                      <w:rFonts w:hint="eastAsia"/>
                      <w:lang w:val="en-US" w:eastAsia="zh-CN"/>
                    </w:rPr>
                    <w:t>固态</w:t>
                  </w:r>
                </w:p>
              </w:tc>
              <w:tc>
                <w:tcPr>
                  <w:tcW w:w="1526" w:type="pct"/>
                  <w:tcBorders>
                    <w:tl2br w:val="nil"/>
                    <w:tr2bl w:val="nil"/>
                  </w:tcBorders>
                  <w:shd w:val="clear" w:color="auto" w:fill="auto"/>
                  <w:noWrap/>
                  <w:vAlign w:val="center"/>
                </w:tcPr>
                <w:p w14:paraId="5E7B8CC5">
                  <w:pPr>
                    <w:pStyle w:val="1111"/>
                    <w:bidi w:val="0"/>
                    <w:rPr>
                      <w:rFonts w:hint="eastAsia"/>
                    </w:rPr>
                  </w:pPr>
                  <w:r>
                    <w:rPr>
                      <w:rFonts w:hint="eastAsia"/>
                      <w:lang w:val="en-US" w:eastAsia="zh-CN"/>
                    </w:rPr>
                    <w:t>氧化物、脂肪族</w:t>
                  </w:r>
                </w:p>
              </w:tc>
              <w:tc>
                <w:tcPr>
                  <w:tcW w:w="626" w:type="pct"/>
                  <w:tcBorders>
                    <w:tl2br w:val="nil"/>
                    <w:tr2bl w:val="nil"/>
                  </w:tcBorders>
                  <w:shd w:val="clear" w:color="auto" w:fill="auto"/>
                  <w:noWrap/>
                  <w:vAlign w:val="center"/>
                </w:tcPr>
                <w:p w14:paraId="30C44A4D">
                  <w:pPr>
                    <w:pStyle w:val="1111"/>
                    <w:bidi w:val="0"/>
                    <w:rPr>
                      <w:rFonts w:hint="eastAsia"/>
                    </w:rPr>
                  </w:pPr>
                  <w:r>
                    <w:rPr>
                      <w:rFonts w:hint="eastAsia"/>
                      <w:lang w:val="en-US" w:eastAsia="zh-CN"/>
                    </w:rPr>
                    <w:t>T</w:t>
                  </w:r>
                </w:p>
              </w:tc>
            </w:tr>
            <w:tr w14:paraId="1FBE3F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4" w:type="pct"/>
                  <w:tcBorders>
                    <w:tl2br w:val="nil"/>
                    <w:tr2bl w:val="nil"/>
                  </w:tcBorders>
                  <w:shd w:val="clear" w:color="auto" w:fill="auto"/>
                  <w:noWrap/>
                  <w:vAlign w:val="center"/>
                </w:tcPr>
                <w:p w14:paraId="11060251">
                  <w:pPr>
                    <w:pStyle w:val="1111"/>
                    <w:bidi w:val="0"/>
                    <w:rPr>
                      <w:rFonts w:hint="eastAsia"/>
                    </w:rPr>
                  </w:pPr>
                  <w:r>
                    <w:rPr>
                      <w:rFonts w:hint="eastAsia"/>
                      <w:lang w:val="en-US" w:eastAsia="zh-CN"/>
                    </w:rPr>
                    <w:t>12</w:t>
                  </w:r>
                </w:p>
              </w:tc>
              <w:tc>
                <w:tcPr>
                  <w:tcW w:w="1515" w:type="pct"/>
                  <w:tcBorders>
                    <w:tl2br w:val="nil"/>
                    <w:tr2bl w:val="nil"/>
                  </w:tcBorders>
                  <w:shd w:val="clear" w:color="auto" w:fill="auto"/>
                  <w:noWrap/>
                  <w:vAlign w:val="center"/>
                </w:tcPr>
                <w:p w14:paraId="76792041">
                  <w:pPr>
                    <w:pStyle w:val="1111"/>
                    <w:bidi w:val="0"/>
                    <w:rPr>
                      <w:rFonts w:hint="eastAsia"/>
                    </w:rPr>
                  </w:pPr>
                  <w:r>
                    <w:rPr>
                      <w:rFonts w:hint="eastAsia"/>
                      <w:lang w:val="en-US" w:eastAsia="zh-CN"/>
                    </w:rPr>
                    <w:t>HW14新化学物质废物</w:t>
                  </w:r>
                </w:p>
              </w:tc>
              <w:tc>
                <w:tcPr>
                  <w:tcW w:w="887" w:type="pct"/>
                  <w:tcBorders>
                    <w:tl2br w:val="nil"/>
                    <w:tr2bl w:val="nil"/>
                  </w:tcBorders>
                  <w:shd w:val="clear" w:color="auto" w:fill="auto"/>
                  <w:noWrap/>
                  <w:vAlign w:val="center"/>
                </w:tcPr>
                <w:p w14:paraId="3FF4E82E">
                  <w:pPr>
                    <w:pStyle w:val="1111"/>
                    <w:bidi w:val="0"/>
                    <w:rPr>
                      <w:rFonts w:hint="eastAsia"/>
                    </w:rPr>
                  </w:pPr>
                  <w:r>
                    <w:rPr>
                      <w:rFonts w:hint="eastAsia"/>
                      <w:lang w:val="en-US" w:eastAsia="zh-CN"/>
                    </w:rPr>
                    <w:t>固态</w:t>
                  </w:r>
                </w:p>
              </w:tc>
              <w:tc>
                <w:tcPr>
                  <w:tcW w:w="1526" w:type="pct"/>
                  <w:tcBorders>
                    <w:tl2br w:val="nil"/>
                    <w:tr2bl w:val="nil"/>
                  </w:tcBorders>
                  <w:shd w:val="clear" w:color="auto" w:fill="auto"/>
                  <w:noWrap/>
                  <w:vAlign w:val="center"/>
                </w:tcPr>
                <w:p w14:paraId="0A22710A">
                  <w:pPr>
                    <w:pStyle w:val="1111"/>
                    <w:bidi w:val="0"/>
                    <w:rPr>
                      <w:rFonts w:hint="eastAsia"/>
                    </w:rPr>
                  </w:pPr>
                  <w:r>
                    <w:rPr>
                      <w:rFonts w:hint="eastAsia"/>
                      <w:lang w:val="en-US" w:eastAsia="zh-CN"/>
                    </w:rPr>
                    <w:t>氧化物、脂肪族</w:t>
                  </w:r>
                </w:p>
              </w:tc>
              <w:tc>
                <w:tcPr>
                  <w:tcW w:w="626" w:type="pct"/>
                  <w:tcBorders>
                    <w:tl2br w:val="nil"/>
                    <w:tr2bl w:val="nil"/>
                  </w:tcBorders>
                  <w:shd w:val="clear" w:color="auto" w:fill="auto"/>
                  <w:noWrap/>
                  <w:vAlign w:val="center"/>
                </w:tcPr>
                <w:p w14:paraId="64EFCD5C">
                  <w:pPr>
                    <w:pStyle w:val="1111"/>
                    <w:bidi w:val="0"/>
                    <w:rPr>
                      <w:rFonts w:hint="eastAsia"/>
                    </w:rPr>
                  </w:pPr>
                  <w:r>
                    <w:rPr>
                      <w:rFonts w:hint="eastAsia"/>
                      <w:lang w:val="en-US" w:eastAsia="zh-CN"/>
                    </w:rPr>
                    <w:t>T/C/I/R</w:t>
                  </w:r>
                </w:p>
              </w:tc>
            </w:tr>
            <w:tr w14:paraId="649260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4" w:type="pct"/>
                  <w:tcBorders>
                    <w:tl2br w:val="nil"/>
                    <w:tr2bl w:val="nil"/>
                  </w:tcBorders>
                  <w:shd w:val="clear" w:color="auto" w:fill="auto"/>
                  <w:noWrap/>
                  <w:vAlign w:val="center"/>
                </w:tcPr>
                <w:p w14:paraId="3E859F5A">
                  <w:pPr>
                    <w:pStyle w:val="1111"/>
                    <w:bidi w:val="0"/>
                    <w:rPr>
                      <w:rFonts w:hint="eastAsia"/>
                    </w:rPr>
                  </w:pPr>
                  <w:r>
                    <w:rPr>
                      <w:rFonts w:hint="eastAsia"/>
                      <w:lang w:val="en-US" w:eastAsia="zh-CN"/>
                    </w:rPr>
                    <w:t>13</w:t>
                  </w:r>
                </w:p>
              </w:tc>
              <w:tc>
                <w:tcPr>
                  <w:tcW w:w="1515" w:type="pct"/>
                  <w:tcBorders>
                    <w:tl2br w:val="nil"/>
                    <w:tr2bl w:val="nil"/>
                  </w:tcBorders>
                  <w:shd w:val="clear" w:color="auto" w:fill="auto"/>
                  <w:noWrap/>
                  <w:vAlign w:val="center"/>
                </w:tcPr>
                <w:p w14:paraId="155702DC">
                  <w:pPr>
                    <w:pStyle w:val="1111"/>
                    <w:bidi w:val="0"/>
                    <w:rPr>
                      <w:rFonts w:hint="eastAsia"/>
                    </w:rPr>
                  </w:pPr>
                  <w:r>
                    <w:rPr>
                      <w:rFonts w:hint="eastAsia"/>
                      <w:lang w:val="en-US" w:eastAsia="zh-CN"/>
                    </w:rPr>
                    <w:t>HW16感光材料废物</w:t>
                  </w:r>
                </w:p>
              </w:tc>
              <w:tc>
                <w:tcPr>
                  <w:tcW w:w="887" w:type="pct"/>
                  <w:tcBorders>
                    <w:tl2br w:val="nil"/>
                    <w:tr2bl w:val="nil"/>
                  </w:tcBorders>
                  <w:shd w:val="clear" w:color="auto" w:fill="auto"/>
                  <w:noWrap/>
                  <w:vAlign w:val="center"/>
                </w:tcPr>
                <w:p w14:paraId="2F889180">
                  <w:pPr>
                    <w:pStyle w:val="1111"/>
                    <w:bidi w:val="0"/>
                    <w:rPr>
                      <w:rFonts w:hint="eastAsia"/>
                    </w:rPr>
                  </w:pPr>
                  <w:r>
                    <w:rPr>
                      <w:rFonts w:hint="eastAsia"/>
                      <w:lang w:val="en-US" w:eastAsia="zh-CN"/>
                    </w:rPr>
                    <w:t>固态</w:t>
                  </w:r>
                </w:p>
              </w:tc>
              <w:tc>
                <w:tcPr>
                  <w:tcW w:w="1526" w:type="pct"/>
                  <w:tcBorders>
                    <w:tl2br w:val="nil"/>
                    <w:tr2bl w:val="nil"/>
                  </w:tcBorders>
                  <w:shd w:val="clear" w:color="auto" w:fill="auto"/>
                  <w:noWrap/>
                  <w:vAlign w:val="center"/>
                </w:tcPr>
                <w:p w14:paraId="031F96B3">
                  <w:pPr>
                    <w:pStyle w:val="1111"/>
                    <w:bidi w:val="0"/>
                    <w:rPr>
                      <w:rFonts w:hint="eastAsia"/>
                    </w:rPr>
                  </w:pPr>
                  <w:r>
                    <w:rPr>
                      <w:rFonts w:hint="eastAsia"/>
                      <w:lang w:val="en-US" w:eastAsia="zh-CN"/>
                    </w:rPr>
                    <w:t>卤化物、杂质等</w:t>
                  </w:r>
                </w:p>
              </w:tc>
              <w:tc>
                <w:tcPr>
                  <w:tcW w:w="626" w:type="pct"/>
                  <w:tcBorders>
                    <w:tl2br w:val="nil"/>
                    <w:tr2bl w:val="nil"/>
                  </w:tcBorders>
                  <w:shd w:val="clear" w:color="auto" w:fill="auto"/>
                  <w:noWrap/>
                  <w:vAlign w:val="center"/>
                </w:tcPr>
                <w:p w14:paraId="09047270">
                  <w:pPr>
                    <w:pStyle w:val="1111"/>
                    <w:bidi w:val="0"/>
                    <w:rPr>
                      <w:rFonts w:hint="eastAsia"/>
                    </w:rPr>
                  </w:pPr>
                  <w:r>
                    <w:rPr>
                      <w:rFonts w:hint="eastAsia"/>
                      <w:lang w:val="en-US" w:eastAsia="zh-CN"/>
                    </w:rPr>
                    <w:t>T</w:t>
                  </w:r>
                </w:p>
              </w:tc>
            </w:tr>
            <w:tr w14:paraId="5C43A9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4" w:type="pct"/>
                  <w:tcBorders>
                    <w:tl2br w:val="nil"/>
                    <w:tr2bl w:val="nil"/>
                  </w:tcBorders>
                  <w:shd w:val="clear" w:color="auto" w:fill="auto"/>
                  <w:noWrap/>
                  <w:vAlign w:val="center"/>
                </w:tcPr>
                <w:p w14:paraId="4B107CB1">
                  <w:pPr>
                    <w:pStyle w:val="1111"/>
                    <w:bidi w:val="0"/>
                    <w:rPr>
                      <w:rFonts w:hint="eastAsia"/>
                    </w:rPr>
                  </w:pPr>
                  <w:r>
                    <w:rPr>
                      <w:rFonts w:hint="eastAsia"/>
                      <w:lang w:val="en-US" w:eastAsia="zh-CN"/>
                    </w:rPr>
                    <w:t>14</w:t>
                  </w:r>
                </w:p>
              </w:tc>
              <w:tc>
                <w:tcPr>
                  <w:tcW w:w="1515" w:type="pct"/>
                  <w:tcBorders>
                    <w:tl2br w:val="nil"/>
                    <w:tr2bl w:val="nil"/>
                  </w:tcBorders>
                  <w:shd w:val="clear" w:color="auto" w:fill="auto"/>
                  <w:noWrap/>
                  <w:vAlign w:val="center"/>
                </w:tcPr>
                <w:p w14:paraId="0D3E107A">
                  <w:pPr>
                    <w:pStyle w:val="1111"/>
                    <w:bidi w:val="0"/>
                    <w:rPr>
                      <w:rFonts w:hint="eastAsia"/>
                    </w:rPr>
                  </w:pPr>
                  <w:r>
                    <w:rPr>
                      <w:rFonts w:hint="eastAsia"/>
                      <w:lang w:val="en-US" w:eastAsia="zh-CN"/>
                    </w:rPr>
                    <w:t>HW17表面处理废物</w:t>
                  </w:r>
                </w:p>
              </w:tc>
              <w:tc>
                <w:tcPr>
                  <w:tcW w:w="887" w:type="pct"/>
                  <w:tcBorders>
                    <w:tl2br w:val="nil"/>
                    <w:tr2bl w:val="nil"/>
                  </w:tcBorders>
                  <w:shd w:val="clear" w:color="auto" w:fill="auto"/>
                  <w:noWrap/>
                  <w:vAlign w:val="center"/>
                </w:tcPr>
                <w:p w14:paraId="03712889">
                  <w:pPr>
                    <w:pStyle w:val="1111"/>
                    <w:bidi w:val="0"/>
                    <w:rPr>
                      <w:rFonts w:hint="eastAsia"/>
                    </w:rPr>
                  </w:pPr>
                  <w:r>
                    <w:rPr>
                      <w:rFonts w:hint="eastAsia"/>
                      <w:lang w:val="en-US" w:eastAsia="zh-CN"/>
                    </w:rPr>
                    <w:t>液态、固态</w:t>
                  </w:r>
                </w:p>
              </w:tc>
              <w:tc>
                <w:tcPr>
                  <w:tcW w:w="1526" w:type="pct"/>
                  <w:tcBorders>
                    <w:tl2br w:val="nil"/>
                    <w:tr2bl w:val="nil"/>
                  </w:tcBorders>
                  <w:shd w:val="clear" w:color="auto" w:fill="auto"/>
                  <w:noWrap/>
                  <w:vAlign w:val="center"/>
                </w:tcPr>
                <w:p w14:paraId="41BD4CA3">
                  <w:pPr>
                    <w:pStyle w:val="1111"/>
                    <w:bidi w:val="0"/>
                    <w:rPr>
                      <w:rFonts w:hint="eastAsia"/>
                    </w:rPr>
                  </w:pPr>
                  <w:r>
                    <w:rPr>
                      <w:rFonts w:hint="eastAsia"/>
                      <w:lang w:val="en-US" w:eastAsia="zh-CN"/>
                    </w:rPr>
                    <w:t>有毒金属及化合物：硝酸、金属锡及其化合物</w:t>
                  </w:r>
                </w:p>
              </w:tc>
              <w:tc>
                <w:tcPr>
                  <w:tcW w:w="626" w:type="pct"/>
                  <w:tcBorders>
                    <w:tl2br w:val="nil"/>
                    <w:tr2bl w:val="nil"/>
                  </w:tcBorders>
                  <w:shd w:val="clear" w:color="auto" w:fill="auto"/>
                  <w:noWrap/>
                  <w:vAlign w:val="center"/>
                </w:tcPr>
                <w:p w14:paraId="058ADB68">
                  <w:pPr>
                    <w:pStyle w:val="1111"/>
                    <w:bidi w:val="0"/>
                    <w:rPr>
                      <w:rFonts w:hint="eastAsia"/>
                    </w:rPr>
                  </w:pPr>
                  <w:r>
                    <w:rPr>
                      <w:rFonts w:hint="eastAsia"/>
                      <w:lang w:val="en-US" w:eastAsia="zh-CN"/>
                    </w:rPr>
                    <w:t>T/C</w:t>
                  </w:r>
                </w:p>
              </w:tc>
            </w:tr>
            <w:tr w14:paraId="4FAABA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4" w:type="pct"/>
                  <w:tcBorders>
                    <w:tl2br w:val="nil"/>
                    <w:tr2bl w:val="nil"/>
                  </w:tcBorders>
                  <w:shd w:val="clear" w:color="auto" w:fill="auto"/>
                  <w:noWrap/>
                  <w:vAlign w:val="center"/>
                </w:tcPr>
                <w:p w14:paraId="4B0648C6">
                  <w:pPr>
                    <w:pStyle w:val="1111"/>
                    <w:bidi w:val="0"/>
                    <w:rPr>
                      <w:rFonts w:hint="eastAsia" w:ascii="Times New Roman" w:hAnsi="Times New Roman" w:eastAsia="宋体" w:cs="Times New Roman"/>
                      <w:kern w:val="0"/>
                      <w:sz w:val="21"/>
                      <w:szCs w:val="20"/>
                      <w:lang w:val="en-US" w:eastAsia="zh-CN" w:bidi="ar-SA"/>
                    </w:rPr>
                  </w:pPr>
                  <w:r>
                    <w:rPr>
                      <w:rFonts w:hint="eastAsia"/>
                      <w:lang w:val="en-US" w:eastAsia="zh-CN"/>
                    </w:rPr>
                    <w:t>15</w:t>
                  </w:r>
                </w:p>
              </w:tc>
              <w:tc>
                <w:tcPr>
                  <w:tcW w:w="1515" w:type="pct"/>
                  <w:tcBorders>
                    <w:tl2br w:val="nil"/>
                    <w:tr2bl w:val="nil"/>
                  </w:tcBorders>
                  <w:shd w:val="clear" w:color="auto" w:fill="auto"/>
                  <w:noWrap/>
                  <w:vAlign w:val="center"/>
                </w:tcPr>
                <w:p w14:paraId="79404772">
                  <w:pPr>
                    <w:pStyle w:val="1111"/>
                    <w:bidi w:val="0"/>
                    <w:rPr>
                      <w:rFonts w:hint="eastAsia"/>
                    </w:rPr>
                  </w:pPr>
                  <w:r>
                    <w:rPr>
                      <w:rFonts w:hint="eastAsia"/>
                      <w:lang w:val="en-US" w:eastAsia="zh-CN"/>
                    </w:rPr>
                    <w:t>HW19含金属羧基化合物废物</w:t>
                  </w:r>
                </w:p>
              </w:tc>
              <w:tc>
                <w:tcPr>
                  <w:tcW w:w="887" w:type="pct"/>
                  <w:tcBorders>
                    <w:tl2br w:val="nil"/>
                    <w:tr2bl w:val="nil"/>
                  </w:tcBorders>
                  <w:shd w:val="clear" w:color="auto" w:fill="auto"/>
                  <w:noWrap/>
                  <w:vAlign w:val="center"/>
                </w:tcPr>
                <w:p w14:paraId="6EEF1032">
                  <w:pPr>
                    <w:pStyle w:val="1111"/>
                    <w:bidi w:val="0"/>
                    <w:rPr>
                      <w:rFonts w:hint="eastAsia"/>
                    </w:rPr>
                  </w:pPr>
                  <w:r>
                    <w:rPr>
                      <w:rFonts w:hint="eastAsia"/>
                      <w:lang w:val="en-US" w:eastAsia="zh-CN"/>
                    </w:rPr>
                    <w:t>固态</w:t>
                  </w:r>
                </w:p>
              </w:tc>
              <w:tc>
                <w:tcPr>
                  <w:tcW w:w="1526" w:type="pct"/>
                  <w:tcBorders>
                    <w:tl2br w:val="nil"/>
                    <w:tr2bl w:val="nil"/>
                  </w:tcBorders>
                  <w:shd w:val="clear" w:color="auto" w:fill="auto"/>
                  <w:noWrap/>
                  <w:vAlign w:val="center"/>
                </w:tcPr>
                <w:p w14:paraId="2E991630">
                  <w:pPr>
                    <w:pStyle w:val="1111"/>
                    <w:bidi w:val="0"/>
                    <w:rPr>
                      <w:rFonts w:hint="eastAsia"/>
                    </w:rPr>
                  </w:pPr>
                  <w:r>
                    <w:rPr>
                      <w:rFonts w:hint="eastAsia"/>
                      <w:lang w:val="en-US" w:eastAsia="zh-CN"/>
                    </w:rPr>
                    <w:t>金属羧基化合物</w:t>
                  </w:r>
                </w:p>
              </w:tc>
              <w:tc>
                <w:tcPr>
                  <w:tcW w:w="626" w:type="pct"/>
                  <w:tcBorders>
                    <w:tl2br w:val="nil"/>
                    <w:tr2bl w:val="nil"/>
                  </w:tcBorders>
                  <w:shd w:val="clear" w:color="auto" w:fill="auto"/>
                  <w:noWrap/>
                  <w:vAlign w:val="center"/>
                </w:tcPr>
                <w:p w14:paraId="6D70648A">
                  <w:pPr>
                    <w:pStyle w:val="1111"/>
                    <w:bidi w:val="0"/>
                    <w:rPr>
                      <w:rFonts w:hint="eastAsia"/>
                    </w:rPr>
                  </w:pPr>
                  <w:r>
                    <w:rPr>
                      <w:rFonts w:hint="eastAsia"/>
                      <w:lang w:val="en-US" w:eastAsia="zh-CN"/>
                    </w:rPr>
                    <w:t>T</w:t>
                  </w:r>
                </w:p>
              </w:tc>
            </w:tr>
            <w:tr w14:paraId="787A4F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4" w:type="pct"/>
                  <w:tcBorders>
                    <w:tl2br w:val="nil"/>
                    <w:tr2bl w:val="nil"/>
                  </w:tcBorders>
                  <w:shd w:val="clear" w:color="auto" w:fill="auto"/>
                  <w:noWrap/>
                  <w:vAlign w:val="center"/>
                </w:tcPr>
                <w:p w14:paraId="50F94798">
                  <w:pPr>
                    <w:pStyle w:val="1111"/>
                    <w:bidi w:val="0"/>
                    <w:rPr>
                      <w:rFonts w:hint="eastAsia" w:ascii="Times New Roman" w:hAnsi="Times New Roman" w:eastAsia="宋体" w:cs="Times New Roman"/>
                      <w:kern w:val="0"/>
                      <w:sz w:val="21"/>
                      <w:szCs w:val="20"/>
                      <w:lang w:val="en-US" w:eastAsia="zh-CN" w:bidi="ar-SA"/>
                    </w:rPr>
                  </w:pPr>
                  <w:r>
                    <w:rPr>
                      <w:rFonts w:hint="eastAsia"/>
                      <w:lang w:val="en-US" w:eastAsia="zh-CN"/>
                    </w:rPr>
                    <w:t>16</w:t>
                  </w:r>
                </w:p>
              </w:tc>
              <w:tc>
                <w:tcPr>
                  <w:tcW w:w="1515" w:type="pct"/>
                  <w:tcBorders>
                    <w:tl2br w:val="nil"/>
                    <w:tr2bl w:val="nil"/>
                  </w:tcBorders>
                  <w:shd w:val="clear" w:color="auto" w:fill="auto"/>
                  <w:noWrap/>
                  <w:vAlign w:val="center"/>
                </w:tcPr>
                <w:p w14:paraId="7E22C6A0">
                  <w:pPr>
                    <w:pStyle w:val="1111"/>
                    <w:bidi w:val="0"/>
                    <w:rPr>
                      <w:rFonts w:hint="eastAsia"/>
                    </w:rPr>
                  </w:pPr>
                  <w:r>
                    <w:rPr>
                      <w:rFonts w:hint="eastAsia"/>
                      <w:lang w:val="en-US" w:eastAsia="zh-CN"/>
                    </w:rPr>
                    <w:t>HW20含铍废物</w:t>
                  </w:r>
                </w:p>
              </w:tc>
              <w:tc>
                <w:tcPr>
                  <w:tcW w:w="887" w:type="pct"/>
                  <w:tcBorders>
                    <w:tl2br w:val="nil"/>
                    <w:tr2bl w:val="nil"/>
                  </w:tcBorders>
                  <w:shd w:val="clear" w:color="auto" w:fill="auto"/>
                  <w:noWrap/>
                  <w:vAlign w:val="center"/>
                </w:tcPr>
                <w:p w14:paraId="3B90B383">
                  <w:pPr>
                    <w:pStyle w:val="1111"/>
                    <w:bidi w:val="0"/>
                    <w:rPr>
                      <w:rFonts w:hint="eastAsia"/>
                    </w:rPr>
                  </w:pPr>
                  <w:r>
                    <w:rPr>
                      <w:rFonts w:hint="eastAsia"/>
                      <w:lang w:val="en-US" w:eastAsia="zh-CN"/>
                    </w:rPr>
                    <w:t>渣固</w:t>
                  </w:r>
                </w:p>
              </w:tc>
              <w:tc>
                <w:tcPr>
                  <w:tcW w:w="1526" w:type="pct"/>
                  <w:tcBorders>
                    <w:tl2br w:val="nil"/>
                    <w:tr2bl w:val="nil"/>
                  </w:tcBorders>
                  <w:shd w:val="clear" w:color="auto" w:fill="auto"/>
                  <w:noWrap/>
                  <w:vAlign w:val="center"/>
                </w:tcPr>
                <w:p w14:paraId="30B5F687">
                  <w:pPr>
                    <w:pStyle w:val="1111"/>
                    <w:bidi w:val="0"/>
                    <w:rPr>
                      <w:rFonts w:hint="eastAsia"/>
                    </w:rPr>
                  </w:pPr>
                  <w:r>
                    <w:rPr>
                      <w:rFonts w:hint="eastAsia"/>
                      <w:lang w:val="en-US" w:eastAsia="zh-CN"/>
                    </w:rPr>
                    <w:t>有毒金属及化合物</w:t>
                  </w:r>
                </w:p>
              </w:tc>
              <w:tc>
                <w:tcPr>
                  <w:tcW w:w="626" w:type="pct"/>
                  <w:tcBorders>
                    <w:tl2br w:val="nil"/>
                    <w:tr2bl w:val="nil"/>
                  </w:tcBorders>
                  <w:shd w:val="clear" w:color="auto" w:fill="auto"/>
                  <w:noWrap/>
                  <w:vAlign w:val="center"/>
                </w:tcPr>
                <w:p w14:paraId="79234352">
                  <w:pPr>
                    <w:pStyle w:val="1111"/>
                    <w:bidi w:val="0"/>
                    <w:rPr>
                      <w:rFonts w:hint="eastAsia"/>
                    </w:rPr>
                  </w:pPr>
                  <w:r>
                    <w:rPr>
                      <w:rFonts w:hint="eastAsia"/>
                      <w:lang w:val="en-US" w:eastAsia="zh-CN"/>
                    </w:rPr>
                    <w:t>T</w:t>
                  </w:r>
                </w:p>
              </w:tc>
            </w:tr>
            <w:tr w14:paraId="5149DC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4" w:type="pct"/>
                  <w:tcBorders>
                    <w:tl2br w:val="nil"/>
                    <w:tr2bl w:val="nil"/>
                  </w:tcBorders>
                  <w:shd w:val="clear" w:color="auto" w:fill="auto"/>
                  <w:noWrap/>
                  <w:vAlign w:val="center"/>
                </w:tcPr>
                <w:p w14:paraId="6B00BD51">
                  <w:pPr>
                    <w:pStyle w:val="1111"/>
                    <w:bidi w:val="0"/>
                    <w:rPr>
                      <w:rFonts w:hint="eastAsia" w:ascii="Times New Roman" w:hAnsi="Times New Roman" w:eastAsia="宋体" w:cs="Times New Roman"/>
                      <w:kern w:val="0"/>
                      <w:sz w:val="21"/>
                      <w:szCs w:val="20"/>
                      <w:lang w:val="en-US" w:eastAsia="zh-CN" w:bidi="ar-SA"/>
                    </w:rPr>
                  </w:pPr>
                  <w:r>
                    <w:rPr>
                      <w:rFonts w:hint="eastAsia"/>
                      <w:lang w:val="en-US" w:eastAsia="zh-CN"/>
                    </w:rPr>
                    <w:t>17</w:t>
                  </w:r>
                </w:p>
              </w:tc>
              <w:tc>
                <w:tcPr>
                  <w:tcW w:w="1515" w:type="pct"/>
                  <w:tcBorders>
                    <w:tl2br w:val="nil"/>
                    <w:tr2bl w:val="nil"/>
                  </w:tcBorders>
                  <w:shd w:val="clear" w:color="auto" w:fill="auto"/>
                  <w:noWrap/>
                  <w:vAlign w:val="center"/>
                </w:tcPr>
                <w:p w14:paraId="560D4266">
                  <w:pPr>
                    <w:pStyle w:val="1111"/>
                    <w:bidi w:val="0"/>
                    <w:rPr>
                      <w:rFonts w:hint="eastAsia"/>
                    </w:rPr>
                  </w:pPr>
                  <w:r>
                    <w:rPr>
                      <w:rFonts w:hint="eastAsia"/>
                      <w:lang w:val="en-US" w:eastAsia="zh-CN"/>
                    </w:rPr>
                    <w:t>HW21含铬废物</w:t>
                  </w:r>
                </w:p>
              </w:tc>
              <w:tc>
                <w:tcPr>
                  <w:tcW w:w="887" w:type="pct"/>
                  <w:tcBorders>
                    <w:tl2br w:val="nil"/>
                    <w:tr2bl w:val="nil"/>
                  </w:tcBorders>
                  <w:shd w:val="clear" w:color="auto" w:fill="auto"/>
                  <w:noWrap/>
                  <w:vAlign w:val="center"/>
                </w:tcPr>
                <w:p w14:paraId="606E142F">
                  <w:pPr>
                    <w:pStyle w:val="1111"/>
                    <w:bidi w:val="0"/>
                    <w:rPr>
                      <w:rFonts w:hint="eastAsia"/>
                    </w:rPr>
                  </w:pPr>
                  <w:r>
                    <w:rPr>
                      <w:rFonts w:hint="eastAsia"/>
                      <w:lang w:val="en-US" w:eastAsia="zh-CN"/>
                    </w:rPr>
                    <w:t>固态</w:t>
                  </w:r>
                </w:p>
              </w:tc>
              <w:tc>
                <w:tcPr>
                  <w:tcW w:w="1526" w:type="pct"/>
                  <w:tcBorders>
                    <w:tl2br w:val="nil"/>
                    <w:tr2bl w:val="nil"/>
                  </w:tcBorders>
                  <w:shd w:val="clear" w:color="auto" w:fill="auto"/>
                  <w:noWrap/>
                  <w:vAlign w:val="center"/>
                </w:tcPr>
                <w:p w14:paraId="74586061">
                  <w:pPr>
                    <w:pStyle w:val="1111"/>
                    <w:bidi w:val="0"/>
                    <w:rPr>
                      <w:rFonts w:hint="eastAsia"/>
                    </w:rPr>
                  </w:pPr>
                  <w:r>
                    <w:rPr>
                      <w:rFonts w:hint="eastAsia"/>
                      <w:lang w:val="en-US" w:eastAsia="zh-CN"/>
                    </w:rPr>
                    <w:t>有毒金属及化合物</w:t>
                  </w:r>
                </w:p>
              </w:tc>
              <w:tc>
                <w:tcPr>
                  <w:tcW w:w="626" w:type="pct"/>
                  <w:tcBorders>
                    <w:tl2br w:val="nil"/>
                    <w:tr2bl w:val="nil"/>
                  </w:tcBorders>
                  <w:shd w:val="clear" w:color="auto" w:fill="auto"/>
                  <w:noWrap/>
                  <w:vAlign w:val="center"/>
                </w:tcPr>
                <w:p w14:paraId="0D4B7733">
                  <w:pPr>
                    <w:pStyle w:val="1111"/>
                    <w:bidi w:val="0"/>
                    <w:rPr>
                      <w:rFonts w:hint="eastAsia"/>
                    </w:rPr>
                  </w:pPr>
                  <w:r>
                    <w:rPr>
                      <w:rFonts w:hint="eastAsia"/>
                      <w:lang w:val="en-US" w:eastAsia="zh-CN"/>
                    </w:rPr>
                    <w:t>T</w:t>
                  </w:r>
                </w:p>
              </w:tc>
            </w:tr>
            <w:tr w14:paraId="2B5522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4" w:type="pct"/>
                  <w:tcBorders>
                    <w:tl2br w:val="nil"/>
                    <w:tr2bl w:val="nil"/>
                  </w:tcBorders>
                  <w:shd w:val="clear" w:color="auto" w:fill="auto"/>
                  <w:noWrap/>
                  <w:vAlign w:val="center"/>
                </w:tcPr>
                <w:p w14:paraId="7FF479C4">
                  <w:pPr>
                    <w:pStyle w:val="1111"/>
                    <w:bidi w:val="0"/>
                    <w:rPr>
                      <w:rFonts w:hint="eastAsia" w:ascii="Times New Roman" w:hAnsi="Times New Roman" w:eastAsia="宋体" w:cs="Times New Roman"/>
                      <w:kern w:val="0"/>
                      <w:sz w:val="21"/>
                      <w:szCs w:val="20"/>
                      <w:lang w:val="en-US" w:eastAsia="zh-CN" w:bidi="ar-SA"/>
                    </w:rPr>
                  </w:pPr>
                  <w:r>
                    <w:rPr>
                      <w:rFonts w:hint="eastAsia"/>
                      <w:lang w:val="en-US" w:eastAsia="zh-CN"/>
                    </w:rPr>
                    <w:t>18</w:t>
                  </w:r>
                </w:p>
              </w:tc>
              <w:tc>
                <w:tcPr>
                  <w:tcW w:w="1515" w:type="pct"/>
                  <w:tcBorders>
                    <w:tl2br w:val="nil"/>
                    <w:tr2bl w:val="nil"/>
                  </w:tcBorders>
                  <w:shd w:val="clear" w:color="auto" w:fill="auto"/>
                  <w:noWrap/>
                  <w:vAlign w:val="center"/>
                </w:tcPr>
                <w:p w14:paraId="3E2C86BF">
                  <w:pPr>
                    <w:pStyle w:val="1111"/>
                    <w:bidi w:val="0"/>
                    <w:rPr>
                      <w:rFonts w:hint="eastAsia"/>
                    </w:rPr>
                  </w:pPr>
                  <w:r>
                    <w:rPr>
                      <w:rFonts w:hint="eastAsia"/>
                      <w:lang w:val="en-US" w:eastAsia="zh-CN"/>
                    </w:rPr>
                    <w:t>HW22含铜废物</w:t>
                  </w:r>
                </w:p>
              </w:tc>
              <w:tc>
                <w:tcPr>
                  <w:tcW w:w="887" w:type="pct"/>
                  <w:tcBorders>
                    <w:tl2br w:val="nil"/>
                    <w:tr2bl w:val="nil"/>
                  </w:tcBorders>
                  <w:shd w:val="clear" w:color="auto" w:fill="auto"/>
                  <w:noWrap/>
                  <w:vAlign w:val="center"/>
                </w:tcPr>
                <w:p w14:paraId="7B392935">
                  <w:pPr>
                    <w:pStyle w:val="1111"/>
                    <w:bidi w:val="0"/>
                    <w:rPr>
                      <w:rFonts w:hint="eastAsia"/>
                    </w:rPr>
                  </w:pPr>
                  <w:r>
                    <w:rPr>
                      <w:rFonts w:hint="eastAsia"/>
                      <w:lang w:val="en-US" w:eastAsia="zh-CN"/>
                    </w:rPr>
                    <w:t>液态、固态</w:t>
                  </w:r>
                </w:p>
              </w:tc>
              <w:tc>
                <w:tcPr>
                  <w:tcW w:w="1526" w:type="pct"/>
                  <w:tcBorders>
                    <w:tl2br w:val="nil"/>
                    <w:tr2bl w:val="nil"/>
                  </w:tcBorders>
                  <w:shd w:val="clear" w:color="auto" w:fill="auto"/>
                  <w:noWrap/>
                  <w:vAlign w:val="center"/>
                </w:tcPr>
                <w:p w14:paraId="6D7777F1">
                  <w:pPr>
                    <w:pStyle w:val="1111"/>
                    <w:bidi w:val="0"/>
                    <w:rPr>
                      <w:rFonts w:hint="eastAsia"/>
                    </w:rPr>
                  </w:pPr>
                  <w:r>
                    <w:rPr>
                      <w:rFonts w:hint="eastAsia"/>
                      <w:lang w:val="en-US" w:eastAsia="zh-CN"/>
                    </w:rPr>
                    <w:t>有毒金属及化合物</w:t>
                  </w:r>
                </w:p>
              </w:tc>
              <w:tc>
                <w:tcPr>
                  <w:tcW w:w="626" w:type="pct"/>
                  <w:tcBorders>
                    <w:tl2br w:val="nil"/>
                    <w:tr2bl w:val="nil"/>
                  </w:tcBorders>
                  <w:shd w:val="clear" w:color="auto" w:fill="auto"/>
                  <w:noWrap/>
                  <w:vAlign w:val="center"/>
                </w:tcPr>
                <w:p w14:paraId="54F1392C">
                  <w:pPr>
                    <w:pStyle w:val="1111"/>
                    <w:bidi w:val="0"/>
                    <w:rPr>
                      <w:rFonts w:hint="eastAsia"/>
                    </w:rPr>
                  </w:pPr>
                  <w:r>
                    <w:rPr>
                      <w:rFonts w:hint="eastAsia"/>
                      <w:lang w:val="en-US" w:eastAsia="zh-CN"/>
                    </w:rPr>
                    <w:t>T</w:t>
                  </w:r>
                </w:p>
              </w:tc>
            </w:tr>
            <w:tr w14:paraId="5D6739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4" w:type="pct"/>
                  <w:tcBorders>
                    <w:tl2br w:val="nil"/>
                    <w:tr2bl w:val="nil"/>
                  </w:tcBorders>
                  <w:shd w:val="clear" w:color="auto" w:fill="auto"/>
                  <w:noWrap/>
                  <w:vAlign w:val="center"/>
                </w:tcPr>
                <w:p w14:paraId="0BEE2345">
                  <w:pPr>
                    <w:pStyle w:val="1111"/>
                    <w:bidi w:val="0"/>
                    <w:rPr>
                      <w:rFonts w:hint="eastAsia" w:ascii="Times New Roman" w:hAnsi="Times New Roman" w:eastAsia="宋体" w:cs="Times New Roman"/>
                      <w:kern w:val="0"/>
                      <w:sz w:val="21"/>
                      <w:szCs w:val="20"/>
                      <w:lang w:val="en-US" w:eastAsia="zh-CN" w:bidi="ar-SA"/>
                    </w:rPr>
                  </w:pPr>
                  <w:r>
                    <w:rPr>
                      <w:rFonts w:hint="eastAsia"/>
                      <w:lang w:val="en-US" w:eastAsia="zh-CN"/>
                    </w:rPr>
                    <w:t>19</w:t>
                  </w:r>
                </w:p>
              </w:tc>
              <w:tc>
                <w:tcPr>
                  <w:tcW w:w="1515" w:type="pct"/>
                  <w:tcBorders>
                    <w:tl2br w:val="nil"/>
                    <w:tr2bl w:val="nil"/>
                  </w:tcBorders>
                  <w:shd w:val="clear" w:color="auto" w:fill="auto"/>
                  <w:noWrap/>
                  <w:vAlign w:val="center"/>
                </w:tcPr>
                <w:p w14:paraId="4B95706B">
                  <w:pPr>
                    <w:pStyle w:val="1111"/>
                    <w:bidi w:val="0"/>
                    <w:rPr>
                      <w:rFonts w:hint="eastAsia"/>
                    </w:rPr>
                  </w:pPr>
                  <w:r>
                    <w:rPr>
                      <w:rFonts w:hint="eastAsia"/>
                      <w:lang w:val="en-US" w:eastAsia="zh-CN"/>
                    </w:rPr>
                    <w:t>HW23含锌废物</w:t>
                  </w:r>
                </w:p>
              </w:tc>
              <w:tc>
                <w:tcPr>
                  <w:tcW w:w="887" w:type="pct"/>
                  <w:tcBorders>
                    <w:tl2br w:val="nil"/>
                    <w:tr2bl w:val="nil"/>
                  </w:tcBorders>
                  <w:shd w:val="clear" w:color="auto" w:fill="auto"/>
                  <w:noWrap/>
                  <w:vAlign w:val="center"/>
                </w:tcPr>
                <w:p w14:paraId="70BB7100">
                  <w:pPr>
                    <w:pStyle w:val="1111"/>
                    <w:bidi w:val="0"/>
                    <w:rPr>
                      <w:rFonts w:hint="eastAsia"/>
                    </w:rPr>
                  </w:pPr>
                  <w:r>
                    <w:rPr>
                      <w:rFonts w:hint="eastAsia"/>
                      <w:lang w:val="en-US" w:eastAsia="zh-CN"/>
                    </w:rPr>
                    <w:t>固态</w:t>
                  </w:r>
                </w:p>
              </w:tc>
              <w:tc>
                <w:tcPr>
                  <w:tcW w:w="1526" w:type="pct"/>
                  <w:tcBorders>
                    <w:tl2br w:val="nil"/>
                    <w:tr2bl w:val="nil"/>
                  </w:tcBorders>
                  <w:shd w:val="clear" w:color="auto" w:fill="auto"/>
                  <w:noWrap/>
                  <w:vAlign w:val="center"/>
                </w:tcPr>
                <w:p w14:paraId="6E580913">
                  <w:pPr>
                    <w:pStyle w:val="1111"/>
                    <w:bidi w:val="0"/>
                    <w:rPr>
                      <w:rFonts w:hint="eastAsia"/>
                    </w:rPr>
                  </w:pPr>
                  <w:r>
                    <w:rPr>
                      <w:rFonts w:hint="eastAsia"/>
                      <w:lang w:val="en-US" w:eastAsia="zh-CN"/>
                    </w:rPr>
                    <w:t>有毒金属及化合物</w:t>
                  </w:r>
                </w:p>
              </w:tc>
              <w:tc>
                <w:tcPr>
                  <w:tcW w:w="626" w:type="pct"/>
                  <w:tcBorders>
                    <w:tl2br w:val="nil"/>
                    <w:tr2bl w:val="nil"/>
                  </w:tcBorders>
                  <w:shd w:val="clear" w:color="auto" w:fill="auto"/>
                  <w:noWrap/>
                  <w:vAlign w:val="center"/>
                </w:tcPr>
                <w:p w14:paraId="09F00D10">
                  <w:pPr>
                    <w:pStyle w:val="1111"/>
                    <w:bidi w:val="0"/>
                    <w:rPr>
                      <w:rFonts w:hint="eastAsia"/>
                    </w:rPr>
                  </w:pPr>
                  <w:r>
                    <w:rPr>
                      <w:rFonts w:hint="eastAsia"/>
                      <w:lang w:val="en-US" w:eastAsia="zh-CN"/>
                    </w:rPr>
                    <w:t>T</w:t>
                  </w:r>
                </w:p>
              </w:tc>
            </w:tr>
            <w:tr w14:paraId="3C8825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4" w:type="pct"/>
                  <w:tcBorders>
                    <w:tl2br w:val="nil"/>
                    <w:tr2bl w:val="nil"/>
                  </w:tcBorders>
                  <w:shd w:val="clear" w:color="auto" w:fill="auto"/>
                  <w:noWrap/>
                  <w:vAlign w:val="center"/>
                </w:tcPr>
                <w:p w14:paraId="36BEEDD3">
                  <w:pPr>
                    <w:pStyle w:val="1111"/>
                    <w:bidi w:val="0"/>
                    <w:rPr>
                      <w:rFonts w:hint="eastAsia" w:ascii="Times New Roman" w:hAnsi="Times New Roman" w:eastAsia="宋体" w:cs="Times New Roman"/>
                      <w:kern w:val="0"/>
                      <w:sz w:val="21"/>
                      <w:szCs w:val="20"/>
                      <w:lang w:val="en-US" w:eastAsia="zh-CN" w:bidi="ar-SA"/>
                    </w:rPr>
                  </w:pPr>
                  <w:r>
                    <w:rPr>
                      <w:rFonts w:hint="eastAsia"/>
                      <w:lang w:val="en-US" w:eastAsia="zh-CN"/>
                    </w:rPr>
                    <w:t>20</w:t>
                  </w:r>
                </w:p>
              </w:tc>
              <w:tc>
                <w:tcPr>
                  <w:tcW w:w="1515" w:type="pct"/>
                  <w:tcBorders>
                    <w:tl2br w:val="nil"/>
                    <w:tr2bl w:val="nil"/>
                  </w:tcBorders>
                  <w:shd w:val="clear" w:color="auto" w:fill="auto"/>
                  <w:noWrap/>
                  <w:vAlign w:val="center"/>
                </w:tcPr>
                <w:p w14:paraId="51861371">
                  <w:pPr>
                    <w:pStyle w:val="1111"/>
                    <w:bidi w:val="0"/>
                    <w:rPr>
                      <w:rFonts w:hint="eastAsia"/>
                    </w:rPr>
                  </w:pPr>
                  <w:r>
                    <w:rPr>
                      <w:rFonts w:hint="eastAsia"/>
                      <w:lang w:val="en-US" w:eastAsia="zh-CN"/>
                    </w:rPr>
                    <w:t>HW24含砷废物</w:t>
                  </w:r>
                </w:p>
              </w:tc>
              <w:tc>
                <w:tcPr>
                  <w:tcW w:w="887" w:type="pct"/>
                  <w:tcBorders>
                    <w:tl2br w:val="nil"/>
                    <w:tr2bl w:val="nil"/>
                  </w:tcBorders>
                  <w:shd w:val="clear" w:color="auto" w:fill="auto"/>
                  <w:noWrap/>
                  <w:vAlign w:val="center"/>
                </w:tcPr>
                <w:p w14:paraId="32F1BEEC">
                  <w:pPr>
                    <w:pStyle w:val="1111"/>
                    <w:bidi w:val="0"/>
                    <w:rPr>
                      <w:rFonts w:hint="eastAsia"/>
                    </w:rPr>
                  </w:pPr>
                  <w:r>
                    <w:rPr>
                      <w:rFonts w:hint="eastAsia"/>
                      <w:lang w:val="en-US" w:eastAsia="zh-CN"/>
                    </w:rPr>
                    <w:t>固态</w:t>
                  </w:r>
                </w:p>
              </w:tc>
              <w:tc>
                <w:tcPr>
                  <w:tcW w:w="1526" w:type="pct"/>
                  <w:tcBorders>
                    <w:tl2br w:val="nil"/>
                    <w:tr2bl w:val="nil"/>
                  </w:tcBorders>
                  <w:shd w:val="clear" w:color="auto" w:fill="auto"/>
                  <w:noWrap/>
                  <w:vAlign w:val="center"/>
                </w:tcPr>
                <w:p w14:paraId="29970F25">
                  <w:pPr>
                    <w:pStyle w:val="1111"/>
                    <w:bidi w:val="0"/>
                    <w:rPr>
                      <w:rFonts w:hint="eastAsia"/>
                    </w:rPr>
                  </w:pPr>
                  <w:r>
                    <w:rPr>
                      <w:rFonts w:hint="eastAsia"/>
                      <w:lang w:val="en-US" w:eastAsia="zh-CN"/>
                    </w:rPr>
                    <w:t>有毒金属及化合物</w:t>
                  </w:r>
                </w:p>
              </w:tc>
              <w:tc>
                <w:tcPr>
                  <w:tcW w:w="626" w:type="pct"/>
                  <w:tcBorders>
                    <w:tl2br w:val="nil"/>
                    <w:tr2bl w:val="nil"/>
                  </w:tcBorders>
                  <w:shd w:val="clear" w:color="auto" w:fill="auto"/>
                  <w:noWrap/>
                  <w:vAlign w:val="center"/>
                </w:tcPr>
                <w:p w14:paraId="6CF0D94E">
                  <w:pPr>
                    <w:pStyle w:val="1111"/>
                    <w:bidi w:val="0"/>
                    <w:rPr>
                      <w:rFonts w:hint="eastAsia"/>
                    </w:rPr>
                  </w:pPr>
                  <w:r>
                    <w:rPr>
                      <w:rFonts w:hint="eastAsia"/>
                      <w:lang w:val="en-US" w:eastAsia="zh-CN"/>
                    </w:rPr>
                    <w:t>T</w:t>
                  </w:r>
                </w:p>
              </w:tc>
            </w:tr>
            <w:tr w14:paraId="0E2B70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4" w:type="pct"/>
                  <w:tcBorders>
                    <w:tl2br w:val="nil"/>
                    <w:tr2bl w:val="nil"/>
                  </w:tcBorders>
                  <w:shd w:val="clear" w:color="auto" w:fill="auto"/>
                  <w:noWrap/>
                  <w:vAlign w:val="center"/>
                </w:tcPr>
                <w:p w14:paraId="642F2663">
                  <w:pPr>
                    <w:pStyle w:val="1111"/>
                    <w:bidi w:val="0"/>
                    <w:rPr>
                      <w:rFonts w:hint="eastAsia" w:ascii="Times New Roman" w:hAnsi="Times New Roman" w:eastAsia="宋体" w:cs="Times New Roman"/>
                      <w:kern w:val="0"/>
                      <w:sz w:val="21"/>
                      <w:szCs w:val="20"/>
                      <w:lang w:val="en-US" w:eastAsia="zh-CN" w:bidi="ar-SA"/>
                    </w:rPr>
                  </w:pPr>
                  <w:r>
                    <w:rPr>
                      <w:rFonts w:hint="eastAsia"/>
                      <w:lang w:val="en-US" w:eastAsia="zh-CN"/>
                    </w:rPr>
                    <w:t>21</w:t>
                  </w:r>
                </w:p>
              </w:tc>
              <w:tc>
                <w:tcPr>
                  <w:tcW w:w="1515" w:type="pct"/>
                  <w:tcBorders>
                    <w:tl2br w:val="nil"/>
                    <w:tr2bl w:val="nil"/>
                  </w:tcBorders>
                  <w:shd w:val="clear" w:color="auto" w:fill="auto"/>
                  <w:noWrap/>
                  <w:vAlign w:val="center"/>
                </w:tcPr>
                <w:p w14:paraId="7F04A55E">
                  <w:pPr>
                    <w:pStyle w:val="1111"/>
                    <w:bidi w:val="0"/>
                    <w:rPr>
                      <w:rFonts w:hint="eastAsia"/>
                    </w:rPr>
                  </w:pPr>
                  <w:r>
                    <w:rPr>
                      <w:rFonts w:hint="eastAsia"/>
                      <w:lang w:val="en-US" w:eastAsia="zh-CN"/>
                    </w:rPr>
                    <w:t>HW25含硒废物</w:t>
                  </w:r>
                </w:p>
              </w:tc>
              <w:tc>
                <w:tcPr>
                  <w:tcW w:w="887" w:type="pct"/>
                  <w:tcBorders>
                    <w:tl2br w:val="nil"/>
                    <w:tr2bl w:val="nil"/>
                  </w:tcBorders>
                  <w:shd w:val="clear" w:color="auto" w:fill="auto"/>
                  <w:noWrap/>
                  <w:vAlign w:val="center"/>
                </w:tcPr>
                <w:p w14:paraId="7F0CEB63">
                  <w:pPr>
                    <w:pStyle w:val="1111"/>
                    <w:bidi w:val="0"/>
                    <w:rPr>
                      <w:rFonts w:hint="eastAsia"/>
                    </w:rPr>
                  </w:pPr>
                  <w:r>
                    <w:rPr>
                      <w:rFonts w:hint="eastAsia"/>
                      <w:lang w:val="en-US" w:eastAsia="zh-CN"/>
                    </w:rPr>
                    <w:t>渣固</w:t>
                  </w:r>
                </w:p>
              </w:tc>
              <w:tc>
                <w:tcPr>
                  <w:tcW w:w="1526" w:type="pct"/>
                  <w:tcBorders>
                    <w:tl2br w:val="nil"/>
                    <w:tr2bl w:val="nil"/>
                  </w:tcBorders>
                  <w:shd w:val="clear" w:color="auto" w:fill="auto"/>
                  <w:noWrap/>
                  <w:vAlign w:val="center"/>
                </w:tcPr>
                <w:p w14:paraId="4027DCF0">
                  <w:pPr>
                    <w:pStyle w:val="1111"/>
                    <w:bidi w:val="0"/>
                    <w:rPr>
                      <w:rFonts w:hint="eastAsia"/>
                    </w:rPr>
                  </w:pPr>
                  <w:r>
                    <w:rPr>
                      <w:rFonts w:hint="eastAsia"/>
                      <w:lang w:val="en-US" w:eastAsia="zh-CN"/>
                    </w:rPr>
                    <w:t>有毒金属及化合物</w:t>
                  </w:r>
                </w:p>
              </w:tc>
              <w:tc>
                <w:tcPr>
                  <w:tcW w:w="626" w:type="pct"/>
                  <w:tcBorders>
                    <w:tl2br w:val="nil"/>
                    <w:tr2bl w:val="nil"/>
                  </w:tcBorders>
                  <w:shd w:val="clear" w:color="auto" w:fill="auto"/>
                  <w:noWrap/>
                  <w:vAlign w:val="center"/>
                </w:tcPr>
                <w:p w14:paraId="7A801AEC">
                  <w:pPr>
                    <w:pStyle w:val="1111"/>
                    <w:bidi w:val="0"/>
                    <w:rPr>
                      <w:rFonts w:hint="eastAsia"/>
                    </w:rPr>
                  </w:pPr>
                  <w:r>
                    <w:rPr>
                      <w:rFonts w:hint="eastAsia"/>
                      <w:lang w:val="en-US" w:eastAsia="zh-CN"/>
                    </w:rPr>
                    <w:t>T</w:t>
                  </w:r>
                </w:p>
              </w:tc>
            </w:tr>
            <w:tr w14:paraId="5CA7FF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4" w:type="pct"/>
                  <w:tcBorders>
                    <w:tl2br w:val="nil"/>
                    <w:tr2bl w:val="nil"/>
                  </w:tcBorders>
                  <w:shd w:val="clear" w:color="auto" w:fill="auto"/>
                  <w:noWrap/>
                  <w:vAlign w:val="center"/>
                </w:tcPr>
                <w:p w14:paraId="378C398C">
                  <w:pPr>
                    <w:pStyle w:val="1111"/>
                    <w:bidi w:val="0"/>
                    <w:rPr>
                      <w:rFonts w:hint="eastAsia" w:ascii="Times New Roman" w:hAnsi="Times New Roman" w:eastAsia="宋体" w:cs="Times New Roman"/>
                      <w:kern w:val="0"/>
                      <w:sz w:val="21"/>
                      <w:szCs w:val="20"/>
                      <w:lang w:val="en-US" w:eastAsia="zh-CN" w:bidi="ar-SA"/>
                    </w:rPr>
                  </w:pPr>
                  <w:r>
                    <w:rPr>
                      <w:rFonts w:hint="eastAsia"/>
                      <w:lang w:val="en-US" w:eastAsia="zh-CN"/>
                    </w:rPr>
                    <w:t>22</w:t>
                  </w:r>
                </w:p>
              </w:tc>
              <w:tc>
                <w:tcPr>
                  <w:tcW w:w="1515" w:type="pct"/>
                  <w:tcBorders>
                    <w:tl2br w:val="nil"/>
                    <w:tr2bl w:val="nil"/>
                  </w:tcBorders>
                  <w:shd w:val="clear" w:color="auto" w:fill="auto"/>
                  <w:noWrap/>
                  <w:vAlign w:val="center"/>
                </w:tcPr>
                <w:p w14:paraId="77C0FFBA">
                  <w:pPr>
                    <w:pStyle w:val="1111"/>
                    <w:bidi w:val="0"/>
                    <w:rPr>
                      <w:rFonts w:hint="eastAsia"/>
                    </w:rPr>
                  </w:pPr>
                  <w:r>
                    <w:rPr>
                      <w:rFonts w:hint="eastAsia"/>
                      <w:lang w:val="en-US" w:eastAsia="zh-CN"/>
                    </w:rPr>
                    <w:t>HW26含镉废物</w:t>
                  </w:r>
                </w:p>
              </w:tc>
              <w:tc>
                <w:tcPr>
                  <w:tcW w:w="887" w:type="pct"/>
                  <w:tcBorders>
                    <w:tl2br w:val="nil"/>
                    <w:tr2bl w:val="nil"/>
                  </w:tcBorders>
                  <w:shd w:val="clear" w:color="auto" w:fill="auto"/>
                  <w:noWrap/>
                  <w:vAlign w:val="center"/>
                </w:tcPr>
                <w:p w14:paraId="421A9618">
                  <w:pPr>
                    <w:pStyle w:val="1111"/>
                    <w:bidi w:val="0"/>
                    <w:rPr>
                      <w:rFonts w:hint="eastAsia"/>
                    </w:rPr>
                  </w:pPr>
                  <w:r>
                    <w:rPr>
                      <w:rFonts w:hint="eastAsia"/>
                      <w:lang w:val="en-US" w:eastAsia="zh-CN"/>
                    </w:rPr>
                    <w:t>渣固</w:t>
                  </w:r>
                </w:p>
              </w:tc>
              <w:tc>
                <w:tcPr>
                  <w:tcW w:w="1526" w:type="pct"/>
                  <w:tcBorders>
                    <w:tl2br w:val="nil"/>
                    <w:tr2bl w:val="nil"/>
                  </w:tcBorders>
                  <w:shd w:val="clear" w:color="auto" w:fill="auto"/>
                  <w:noWrap/>
                  <w:vAlign w:val="center"/>
                </w:tcPr>
                <w:p w14:paraId="65630AFC">
                  <w:pPr>
                    <w:pStyle w:val="1111"/>
                    <w:bidi w:val="0"/>
                    <w:rPr>
                      <w:rFonts w:hint="eastAsia"/>
                    </w:rPr>
                  </w:pPr>
                  <w:r>
                    <w:rPr>
                      <w:rFonts w:hint="eastAsia"/>
                      <w:lang w:val="en-US" w:eastAsia="zh-CN"/>
                    </w:rPr>
                    <w:t>有毒金属及化合物</w:t>
                  </w:r>
                </w:p>
              </w:tc>
              <w:tc>
                <w:tcPr>
                  <w:tcW w:w="626" w:type="pct"/>
                  <w:tcBorders>
                    <w:tl2br w:val="nil"/>
                    <w:tr2bl w:val="nil"/>
                  </w:tcBorders>
                  <w:shd w:val="clear" w:color="auto" w:fill="auto"/>
                  <w:noWrap/>
                  <w:vAlign w:val="center"/>
                </w:tcPr>
                <w:p w14:paraId="3497D6C0">
                  <w:pPr>
                    <w:pStyle w:val="1111"/>
                    <w:bidi w:val="0"/>
                    <w:rPr>
                      <w:rFonts w:hint="eastAsia"/>
                    </w:rPr>
                  </w:pPr>
                  <w:r>
                    <w:rPr>
                      <w:rFonts w:hint="eastAsia"/>
                      <w:lang w:val="en-US" w:eastAsia="zh-CN"/>
                    </w:rPr>
                    <w:t>T</w:t>
                  </w:r>
                </w:p>
              </w:tc>
            </w:tr>
            <w:tr w14:paraId="4E8E92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4" w:type="pct"/>
                  <w:tcBorders>
                    <w:tl2br w:val="nil"/>
                    <w:tr2bl w:val="nil"/>
                  </w:tcBorders>
                  <w:shd w:val="clear" w:color="auto" w:fill="auto"/>
                  <w:noWrap/>
                  <w:vAlign w:val="center"/>
                </w:tcPr>
                <w:p w14:paraId="53EB7E3B">
                  <w:pPr>
                    <w:pStyle w:val="1111"/>
                    <w:bidi w:val="0"/>
                    <w:rPr>
                      <w:rFonts w:hint="eastAsia" w:ascii="Times New Roman" w:hAnsi="Times New Roman" w:eastAsia="宋体" w:cs="Times New Roman"/>
                      <w:kern w:val="0"/>
                      <w:sz w:val="21"/>
                      <w:szCs w:val="20"/>
                      <w:lang w:val="en-US" w:eastAsia="zh-CN" w:bidi="ar-SA"/>
                    </w:rPr>
                  </w:pPr>
                  <w:r>
                    <w:rPr>
                      <w:rFonts w:hint="eastAsia"/>
                      <w:lang w:val="en-US" w:eastAsia="zh-CN"/>
                    </w:rPr>
                    <w:t>23</w:t>
                  </w:r>
                </w:p>
              </w:tc>
              <w:tc>
                <w:tcPr>
                  <w:tcW w:w="1515" w:type="pct"/>
                  <w:tcBorders>
                    <w:tl2br w:val="nil"/>
                    <w:tr2bl w:val="nil"/>
                  </w:tcBorders>
                  <w:shd w:val="clear" w:color="auto" w:fill="auto"/>
                  <w:noWrap/>
                  <w:vAlign w:val="center"/>
                </w:tcPr>
                <w:p w14:paraId="39394E48">
                  <w:pPr>
                    <w:pStyle w:val="1111"/>
                    <w:bidi w:val="0"/>
                    <w:rPr>
                      <w:rFonts w:hint="eastAsia"/>
                    </w:rPr>
                  </w:pPr>
                  <w:r>
                    <w:rPr>
                      <w:rFonts w:hint="eastAsia"/>
                      <w:lang w:val="en-US" w:eastAsia="zh-CN"/>
                    </w:rPr>
                    <w:t>HW27含锑废物</w:t>
                  </w:r>
                </w:p>
              </w:tc>
              <w:tc>
                <w:tcPr>
                  <w:tcW w:w="887" w:type="pct"/>
                  <w:tcBorders>
                    <w:tl2br w:val="nil"/>
                    <w:tr2bl w:val="nil"/>
                  </w:tcBorders>
                  <w:shd w:val="clear" w:color="auto" w:fill="auto"/>
                  <w:noWrap/>
                  <w:vAlign w:val="center"/>
                </w:tcPr>
                <w:p w14:paraId="763ADEC0">
                  <w:pPr>
                    <w:pStyle w:val="1111"/>
                    <w:bidi w:val="0"/>
                    <w:rPr>
                      <w:rFonts w:hint="eastAsia"/>
                    </w:rPr>
                  </w:pPr>
                  <w:r>
                    <w:rPr>
                      <w:rFonts w:hint="eastAsia"/>
                      <w:lang w:val="en-US" w:eastAsia="zh-CN"/>
                    </w:rPr>
                    <w:t>固态</w:t>
                  </w:r>
                </w:p>
              </w:tc>
              <w:tc>
                <w:tcPr>
                  <w:tcW w:w="1526" w:type="pct"/>
                  <w:tcBorders>
                    <w:tl2br w:val="nil"/>
                    <w:tr2bl w:val="nil"/>
                  </w:tcBorders>
                  <w:shd w:val="clear" w:color="auto" w:fill="auto"/>
                  <w:noWrap/>
                  <w:vAlign w:val="center"/>
                </w:tcPr>
                <w:p w14:paraId="053CE35D">
                  <w:pPr>
                    <w:pStyle w:val="1111"/>
                    <w:bidi w:val="0"/>
                    <w:rPr>
                      <w:rFonts w:hint="eastAsia"/>
                    </w:rPr>
                  </w:pPr>
                  <w:r>
                    <w:rPr>
                      <w:rFonts w:hint="eastAsia"/>
                      <w:lang w:val="en-US" w:eastAsia="zh-CN"/>
                    </w:rPr>
                    <w:t>有毒金属及化合物</w:t>
                  </w:r>
                </w:p>
              </w:tc>
              <w:tc>
                <w:tcPr>
                  <w:tcW w:w="626" w:type="pct"/>
                  <w:tcBorders>
                    <w:tl2br w:val="nil"/>
                    <w:tr2bl w:val="nil"/>
                  </w:tcBorders>
                  <w:shd w:val="clear" w:color="auto" w:fill="auto"/>
                  <w:noWrap/>
                  <w:vAlign w:val="center"/>
                </w:tcPr>
                <w:p w14:paraId="44F11536">
                  <w:pPr>
                    <w:pStyle w:val="1111"/>
                    <w:bidi w:val="0"/>
                    <w:rPr>
                      <w:rFonts w:hint="eastAsia"/>
                    </w:rPr>
                  </w:pPr>
                  <w:r>
                    <w:rPr>
                      <w:rFonts w:hint="eastAsia"/>
                      <w:lang w:val="en-US" w:eastAsia="zh-CN"/>
                    </w:rPr>
                    <w:t>T</w:t>
                  </w:r>
                </w:p>
              </w:tc>
            </w:tr>
            <w:tr w14:paraId="0AB628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4" w:type="pct"/>
                  <w:tcBorders>
                    <w:tl2br w:val="nil"/>
                    <w:tr2bl w:val="nil"/>
                  </w:tcBorders>
                  <w:shd w:val="clear" w:color="auto" w:fill="auto"/>
                  <w:noWrap/>
                  <w:vAlign w:val="center"/>
                </w:tcPr>
                <w:p w14:paraId="288BD777">
                  <w:pPr>
                    <w:pStyle w:val="1111"/>
                    <w:bidi w:val="0"/>
                    <w:rPr>
                      <w:rFonts w:hint="eastAsia" w:ascii="Times New Roman" w:hAnsi="Times New Roman" w:eastAsia="宋体" w:cs="Times New Roman"/>
                      <w:kern w:val="0"/>
                      <w:sz w:val="21"/>
                      <w:szCs w:val="20"/>
                      <w:lang w:val="en-US" w:eastAsia="zh-CN" w:bidi="ar-SA"/>
                    </w:rPr>
                  </w:pPr>
                  <w:r>
                    <w:rPr>
                      <w:rFonts w:hint="eastAsia"/>
                      <w:lang w:val="en-US" w:eastAsia="zh-CN"/>
                    </w:rPr>
                    <w:t>24</w:t>
                  </w:r>
                </w:p>
              </w:tc>
              <w:tc>
                <w:tcPr>
                  <w:tcW w:w="1515" w:type="pct"/>
                  <w:tcBorders>
                    <w:tl2br w:val="nil"/>
                    <w:tr2bl w:val="nil"/>
                  </w:tcBorders>
                  <w:shd w:val="clear" w:color="auto" w:fill="auto"/>
                  <w:noWrap/>
                  <w:vAlign w:val="center"/>
                </w:tcPr>
                <w:p w14:paraId="3613591F">
                  <w:pPr>
                    <w:pStyle w:val="1111"/>
                    <w:bidi w:val="0"/>
                    <w:rPr>
                      <w:rFonts w:hint="eastAsia"/>
                    </w:rPr>
                  </w:pPr>
                  <w:r>
                    <w:rPr>
                      <w:rFonts w:hint="eastAsia"/>
                      <w:lang w:val="en-US" w:eastAsia="zh-CN"/>
                    </w:rPr>
                    <w:t>HW28含碲废物</w:t>
                  </w:r>
                </w:p>
              </w:tc>
              <w:tc>
                <w:tcPr>
                  <w:tcW w:w="887" w:type="pct"/>
                  <w:tcBorders>
                    <w:tl2br w:val="nil"/>
                    <w:tr2bl w:val="nil"/>
                  </w:tcBorders>
                  <w:shd w:val="clear" w:color="auto" w:fill="auto"/>
                  <w:noWrap/>
                  <w:vAlign w:val="center"/>
                </w:tcPr>
                <w:p w14:paraId="18BE5585">
                  <w:pPr>
                    <w:pStyle w:val="1111"/>
                    <w:bidi w:val="0"/>
                    <w:rPr>
                      <w:rFonts w:hint="eastAsia"/>
                    </w:rPr>
                  </w:pPr>
                  <w:r>
                    <w:rPr>
                      <w:rFonts w:hint="eastAsia"/>
                      <w:lang w:val="en-US" w:eastAsia="zh-CN"/>
                    </w:rPr>
                    <w:t>渣固</w:t>
                  </w:r>
                </w:p>
              </w:tc>
              <w:tc>
                <w:tcPr>
                  <w:tcW w:w="1526" w:type="pct"/>
                  <w:tcBorders>
                    <w:tl2br w:val="nil"/>
                    <w:tr2bl w:val="nil"/>
                  </w:tcBorders>
                  <w:shd w:val="clear" w:color="auto" w:fill="auto"/>
                  <w:noWrap/>
                  <w:vAlign w:val="center"/>
                </w:tcPr>
                <w:p w14:paraId="710DBC16">
                  <w:pPr>
                    <w:pStyle w:val="1111"/>
                    <w:bidi w:val="0"/>
                    <w:rPr>
                      <w:rFonts w:hint="eastAsia"/>
                    </w:rPr>
                  </w:pPr>
                  <w:r>
                    <w:rPr>
                      <w:rFonts w:hint="eastAsia"/>
                      <w:lang w:val="en-US" w:eastAsia="zh-CN"/>
                    </w:rPr>
                    <w:t>有毒金属及化合物</w:t>
                  </w:r>
                </w:p>
              </w:tc>
              <w:tc>
                <w:tcPr>
                  <w:tcW w:w="626" w:type="pct"/>
                  <w:tcBorders>
                    <w:tl2br w:val="nil"/>
                    <w:tr2bl w:val="nil"/>
                  </w:tcBorders>
                  <w:shd w:val="clear" w:color="auto" w:fill="auto"/>
                  <w:noWrap/>
                  <w:vAlign w:val="center"/>
                </w:tcPr>
                <w:p w14:paraId="076CCD80">
                  <w:pPr>
                    <w:pStyle w:val="1111"/>
                    <w:bidi w:val="0"/>
                    <w:rPr>
                      <w:rFonts w:hint="eastAsia"/>
                    </w:rPr>
                  </w:pPr>
                  <w:r>
                    <w:rPr>
                      <w:rFonts w:hint="eastAsia"/>
                      <w:lang w:val="en-US" w:eastAsia="zh-CN"/>
                    </w:rPr>
                    <w:t>T</w:t>
                  </w:r>
                </w:p>
              </w:tc>
            </w:tr>
            <w:tr w14:paraId="3220F8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4" w:type="pct"/>
                  <w:tcBorders>
                    <w:tl2br w:val="nil"/>
                    <w:tr2bl w:val="nil"/>
                  </w:tcBorders>
                  <w:shd w:val="clear" w:color="auto" w:fill="auto"/>
                  <w:noWrap/>
                  <w:vAlign w:val="center"/>
                </w:tcPr>
                <w:p w14:paraId="44DA2316">
                  <w:pPr>
                    <w:pStyle w:val="1111"/>
                    <w:bidi w:val="0"/>
                    <w:rPr>
                      <w:rFonts w:hint="eastAsia" w:ascii="Times New Roman" w:hAnsi="Times New Roman" w:eastAsia="宋体" w:cs="Times New Roman"/>
                      <w:kern w:val="0"/>
                      <w:sz w:val="21"/>
                      <w:szCs w:val="20"/>
                      <w:lang w:val="en-US" w:eastAsia="zh-CN" w:bidi="ar-SA"/>
                    </w:rPr>
                  </w:pPr>
                  <w:r>
                    <w:rPr>
                      <w:rFonts w:hint="eastAsia"/>
                      <w:lang w:val="en-US" w:eastAsia="zh-CN"/>
                    </w:rPr>
                    <w:t>25</w:t>
                  </w:r>
                </w:p>
              </w:tc>
              <w:tc>
                <w:tcPr>
                  <w:tcW w:w="1515" w:type="pct"/>
                  <w:tcBorders>
                    <w:tl2br w:val="nil"/>
                    <w:tr2bl w:val="nil"/>
                  </w:tcBorders>
                  <w:shd w:val="clear" w:color="auto" w:fill="auto"/>
                  <w:noWrap/>
                  <w:vAlign w:val="center"/>
                </w:tcPr>
                <w:p w14:paraId="0B97A538">
                  <w:pPr>
                    <w:pStyle w:val="1111"/>
                    <w:bidi w:val="0"/>
                    <w:rPr>
                      <w:rFonts w:hint="eastAsia"/>
                    </w:rPr>
                  </w:pPr>
                  <w:r>
                    <w:rPr>
                      <w:rFonts w:hint="eastAsia"/>
                      <w:lang w:val="en-US" w:eastAsia="zh-CN"/>
                    </w:rPr>
                    <w:t>HW29含汞废物</w:t>
                  </w:r>
                </w:p>
              </w:tc>
              <w:tc>
                <w:tcPr>
                  <w:tcW w:w="887" w:type="pct"/>
                  <w:tcBorders>
                    <w:tl2br w:val="nil"/>
                    <w:tr2bl w:val="nil"/>
                  </w:tcBorders>
                  <w:shd w:val="clear" w:color="auto" w:fill="auto"/>
                  <w:noWrap/>
                  <w:vAlign w:val="center"/>
                </w:tcPr>
                <w:p w14:paraId="1F99D000">
                  <w:pPr>
                    <w:pStyle w:val="1111"/>
                    <w:bidi w:val="0"/>
                    <w:rPr>
                      <w:rFonts w:hint="eastAsia"/>
                    </w:rPr>
                  </w:pPr>
                  <w:r>
                    <w:rPr>
                      <w:rFonts w:hint="eastAsia"/>
                      <w:lang w:val="en-US" w:eastAsia="zh-CN"/>
                    </w:rPr>
                    <w:t>固态</w:t>
                  </w:r>
                </w:p>
              </w:tc>
              <w:tc>
                <w:tcPr>
                  <w:tcW w:w="1526" w:type="pct"/>
                  <w:tcBorders>
                    <w:tl2br w:val="nil"/>
                    <w:tr2bl w:val="nil"/>
                  </w:tcBorders>
                  <w:shd w:val="clear" w:color="auto" w:fill="auto"/>
                  <w:noWrap/>
                  <w:vAlign w:val="center"/>
                </w:tcPr>
                <w:p w14:paraId="05C1A5D7">
                  <w:pPr>
                    <w:pStyle w:val="1111"/>
                    <w:bidi w:val="0"/>
                    <w:rPr>
                      <w:rFonts w:hint="eastAsia"/>
                    </w:rPr>
                  </w:pPr>
                  <w:r>
                    <w:rPr>
                      <w:rFonts w:hint="eastAsia"/>
                      <w:lang w:val="en-US" w:eastAsia="zh-CN"/>
                    </w:rPr>
                    <w:t>有毒金属及化合物</w:t>
                  </w:r>
                </w:p>
              </w:tc>
              <w:tc>
                <w:tcPr>
                  <w:tcW w:w="626" w:type="pct"/>
                  <w:tcBorders>
                    <w:tl2br w:val="nil"/>
                    <w:tr2bl w:val="nil"/>
                  </w:tcBorders>
                  <w:shd w:val="clear" w:color="auto" w:fill="auto"/>
                  <w:noWrap/>
                  <w:vAlign w:val="center"/>
                </w:tcPr>
                <w:p w14:paraId="6FDAD468">
                  <w:pPr>
                    <w:pStyle w:val="1111"/>
                    <w:bidi w:val="0"/>
                    <w:rPr>
                      <w:rFonts w:hint="eastAsia"/>
                    </w:rPr>
                  </w:pPr>
                  <w:r>
                    <w:rPr>
                      <w:rFonts w:hint="eastAsia"/>
                      <w:lang w:val="en-US" w:eastAsia="zh-CN"/>
                    </w:rPr>
                    <w:t>T，C</w:t>
                  </w:r>
                </w:p>
              </w:tc>
            </w:tr>
            <w:tr w14:paraId="03C624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4" w:type="pct"/>
                  <w:tcBorders>
                    <w:tl2br w:val="nil"/>
                    <w:tr2bl w:val="nil"/>
                  </w:tcBorders>
                  <w:shd w:val="clear" w:color="auto" w:fill="auto"/>
                  <w:noWrap/>
                  <w:vAlign w:val="center"/>
                </w:tcPr>
                <w:p w14:paraId="7BACAD76">
                  <w:pPr>
                    <w:pStyle w:val="1111"/>
                    <w:bidi w:val="0"/>
                    <w:rPr>
                      <w:rFonts w:hint="eastAsia" w:ascii="Times New Roman" w:hAnsi="Times New Roman" w:eastAsia="宋体" w:cs="Times New Roman"/>
                      <w:kern w:val="0"/>
                      <w:sz w:val="21"/>
                      <w:szCs w:val="20"/>
                      <w:lang w:val="en-US" w:eastAsia="zh-CN" w:bidi="ar-SA"/>
                    </w:rPr>
                  </w:pPr>
                  <w:r>
                    <w:rPr>
                      <w:rFonts w:hint="eastAsia"/>
                      <w:lang w:val="en-US" w:eastAsia="zh-CN"/>
                    </w:rPr>
                    <w:t>26</w:t>
                  </w:r>
                </w:p>
              </w:tc>
              <w:tc>
                <w:tcPr>
                  <w:tcW w:w="1515" w:type="pct"/>
                  <w:tcBorders>
                    <w:tl2br w:val="nil"/>
                    <w:tr2bl w:val="nil"/>
                  </w:tcBorders>
                  <w:shd w:val="clear" w:color="auto" w:fill="auto"/>
                  <w:noWrap/>
                  <w:vAlign w:val="center"/>
                </w:tcPr>
                <w:p w14:paraId="385702A4">
                  <w:pPr>
                    <w:pStyle w:val="1111"/>
                    <w:bidi w:val="0"/>
                    <w:rPr>
                      <w:rFonts w:hint="eastAsia"/>
                    </w:rPr>
                  </w:pPr>
                  <w:r>
                    <w:rPr>
                      <w:rFonts w:hint="eastAsia"/>
                      <w:lang w:val="en-US" w:eastAsia="zh-CN"/>
                    </w:rPr>
                    <w:t>HW30含铊废物</w:t>
                  </w:r>
                </w:p>
              </w:tc>
              <w:tc>
                <w:tcPr>
                  <w:tcW w:w="887" w:type="pct"/>
                  <w:tcBorders>
                    <w:tl2br w:val="nil"/>
                    <w:tr2bl w:val="nil"/>
                  </w:tcBorders>
                  <w:shd w:val="clear" w:color="auto" w:fill="auto"/>
                  <w:noWrap/>
                  <w:vAlign w:val="center"/>
                </w:tcPr>
                <w:p w14:paraId="365E7E4F">
                  <w:pPr>
                    <w:pStyle w:val="1111"/>
                    <w:bidi w:val="0"/>
                    <w:rPr>
                      <w:rFonts w:hint="eastAsia"/>
                    </w:rPr>
                  </w:pPr>
                  <w:r>
                    <w:rPr>
                      <w:rFonts w:hint="eastAsia"/>
                      <w:lang w:val="en-US" w:eastAsia="zh-CN"/>
                    </w:rPr>
                    <w:t>固态</w:t>
                  </w:r>
                </w:p>
              </w:tc>
              <w:tc>
                <w:tcPr>
                  <w:tcW w:w="1526" w:type="pct"/>
                  <w:tcBorders>
                    <w:tl2br w:val="nil"/>
                    <w:tr2bl w:val="nil"/>
                  </w:tcBorders>
                  <w:shd w:val="clear" w:color="auto" w:fill="auto"/>
                  <w:noWrap/>
                  <w:vAlign w:val="center"/>
                </w:tcPr>
                <w:p w14:paraId="78F652B5">
                  <w:pPr>
                    <w:pStyle w:val="1111"/>
                    <w:bidi w:val="0"/>
                    <w:rPr>
                      <w:rFonts w:hint="eastAsia"/>
                    </w:rPr>
                  </w:pPr>
                  <w:r>
                    <w:rPr>
                      <w:rFonts w:hint="eastAsia"/>
                      <w:lang w:val="en-US" w:eastAsia="zh-CN"/>
                    </w:rPr>
                    <w:t>有毒金属及化合物</w:t>
                  </w:r>
                </w:p>
              </w:tc>
              <w:tc>
                <w:tcPr>
                  <w:tcW w:w="626" w:type="pct"/>
                  <w:tcBorders>
                    <w:tl2br w:val="nil"/>
                    <w:tr2bl w:val="nil"/>
                  </w:tcBorders>
                  <w:shd w:val="clear" w:color="auto" w:fill="auto"/>
                  <w:noWrap/>
                  <w:vAlign w:val="center"/>
                </w:tcPr>
                <w:p w14:paraId="1B07B2D3">
                  <w:pPr>
                    <w:pStyle w:val="1111"/>
                    <w:bidi w:val="0"/>
                    <w:rPr>
                      <w:rFonts w:hint="eastAsia"/>
                    </w:rPr>
                  </w:pPr>
                  <w:r>
                    <w:rPr>
                      <w:rFonts w:hint="eastAsia"/>
                      <w:lang w:val="en-US" w:eastAsia="zh-CN"/>
                    </w:rPr>
                    <w:t>T</w:t>
                  </w:r>
                </w:p>
              </w:tc>
            </w:tr>
            <w:tr w14:paraId="0C0685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4" w:type="pct"/>
                  <w:tcBorders>
                    <w:tl2br w:val="nil"/>
                    <w:tr2bl w:val="nil"/>
                  </w:tcBorders>
                  <w:shd w:val="clear" w:color="auto" w:fill="auto"/>
                  <w:noWrap/>
                  <w:vAlign w:val="center"/>
                </w:tcPr>
                <w:p w14:paraId="09CB5033">
                  <w:pPr>
                    <w:pStyle w:val="1111"/>
                    <w:bidi w:val="0"/>
                    <w:rPr>
                      <w:rFonts w:hint="eastAsia" w:ascii="Times New Roman" w:hAnsi="Times New Roman" w:eastAsia="宋体" w:cs="Times New Roman"/>
                      <w:kern w:val="0"/>
                      <w:sz w:val="21"/>
                      <w:szCs w:val="20"/>
                      <w:lang w:val="en-US" w:eastAsia="zh-CN" w:bidi="ar-SA"/>
                    </w:rPr>
                  </w:pPr>
                  <w:r>
                    <w:rPr>
                      <w:rFonts w:hint="eastAsia"/>
                      <w:lang w:val="en-US" w:eastAsia="zh-CN"/>
                    </w:rPr>
                    <w:t>27</w:t>
                  </w:r>
                </w:p>
              </w:tc>
              <w:tc>
                <w:tcPr>
                  <w:tcW w:w="1515" w:type="pct"/>
                  <w:tcBorders>
                    <w:tl2br w:val="nil"/>
                    <w:tr2bl w:val="nil"/>
                  </w:tcBorders>
                  <w:shd w:val="clear" w:color="auto" w:fill="auto"/>
                  <w:noWrap/>
                  <w:vAlign w:val="center"/>
                </w:tcPr>
                <w:p w14:paraId="274DD432">
                  <w:pPr>
                    <w:pStyle w:val="1111"/>
                    <w:bidi w:val="0"/>
                    <w:rPr>
                      <w:rFonts w:hint="eastAsia"/>
                    </w:rPr>
                  </w:pPr>
                  <w:r>
                    <w:rPr>
                      <w:rFonts w:hint="eastAsia"/>
                      <w:lang w:val="en-US" w:eastAsia="zh-CN"/>
                    </w:rPr>
                    <w:t>HW31含铅废物</w:t>
                  </w:r>
                </w:p>
              </w:tc>
              <w:tc>
                <w:tcPr>
                  <w:tcW w:w="887" w:type="pct"/>
                  <w:tcBorders>
                    <w:tl2br w:val="nil"/>
                    <w:tr2bl w:val="nil"/>
                  </w:tcBorders>
                  <w:shd w:val="clear" w:color="auto" w:fill="auto"/>
                  <w:noWrap/>
                  <w:vAlign w:val="center"/>
                </w:tcPr>
                <w:p w14:paraId="1DF05519">
                  <w:pPr>
                    <w:pStyle w:val="1111"/>
                    <w:bidi w:val="0"/>
                    <w:rPr>
                      <w:rFonts w:hint="eastAsia"/>
                    </w:rPr>
                  </w:pPr>
                  <w:r>
                    <w:rPr>
                      <w:rFonts w:hint="eastAsia"/>
                      <w:lang w:val="en-US" w:eastAsia="zh-CN"/>
                    </w:rPr>
                    <w:t>固态</w:t>
                  </w:r>
                </w:p>
              </w:tc>
              <w:tc>
                <w:tcPr>
                  <w:tcW w:w="1526" w:type="pct"/>
                  <w:tcBorders>
                    <w:tl2br w:val="nil"/>
                    <w:tr2bl w:val="nil"/>
                  </w:tcBorders>
                  <w:shd w:val="clear" w:color="auto" w:fill="auto"/>
                  <w:noWrap/>
                  <w:vAlign w:val="center"/>
                </w:tcPr>
                <w:p w14:paraId="09181125">
                  <w:pPr>
                    <w:pStyle w:val="1111"/>
                    <w:bidi w:val="0"/>
                    <w:rPr>
                      <w:rFonts w:hint="eastAsia"/>
                    </w:rPr>
                  </w:pPr>
                  <w:r>
                    <w:rPr>
                      <w:rFonts w:hint="eastAsia"/>
                      <w:lang w:val="en-US" w:eastAsia="zh-CN"/>
                    </w:rPr>
                    <w:t>有毒金属及化合物</w:t>
                  </w:r>
                </w:p>
              </w:tc>
              <w:tc>
                <w:tcPr>
                  <w:tcW w:w="626" w:type="pct"/>
                  <w:tcBorders>
                    <w:tl2br w:val="nil"/>
                    <w:tr2bl w:val="nil"/>
                  </w:tcBorders>
                  <w:shd w:val="clear" w:color="auto" w:fill="auto"/>
                  <w:noWrap/>
                  <w:vAlign w:val="center"/>
                </w:tcPr>
                <w:p w14:paraId="30A87A54">
                  <w:pPr>
                    <w:pStyle w:val="1111"/>
                    <w:bidi w:val="0"/>
                    <w:rPr>
                      <w:rFonts w:hint="eastAsia"/>
                    </w:rPr>
                  </w:pPr>
                  <w:r>
                    <w:rPr>
                      <w:rFonts w:hint="eastAsia"/>
                      <w:lang w:val="en-US" w:eastAsia="zh-CN"/>
                    </w:rPr>
                    <w:t>T，C</w:t>
                  </w:r>
                </w:p>
              </w:tc>
            </w:tr>
            <w:tr w14:paraId="6B7A97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4" w:type="pct"/>
                  <w:tcBorders>
                    <w:tl2br w:val="nil"/>
                    <w:tr2bl w:val="nil"/>
                  </w:tcBorders>
                  <w:shd w:val="clear" w:color="auto" w:fill="auto"/>
                  <w:noWrap/>
                  <w:vAlign w:val="center"/>
                </w:tcPr>
                <w:p w14:paraId="63C0F8A1">
                  <w:pPr>
                    <w:pStyle w:val="1111"/>
                    <w:bidi w:val="0"/>
                    <w:rPr>
                      <w:rFonts w:hint="eastAsia" w:ascii="Times New Roman" w:hAnsi="Times New Roman" w:eastAsia="宋体" w:cs="Times New Roman"/>
                      <w:kern w:val="0"/>
                      <w:sz w:val="21"/>
                      <w:szCs w:val="20"/>
                      <w:lang w:val="en-US" w:eastAsia="zh-CN" w:bidi="ar-SA"/>
                    </w:rPr>
                  </w:pPr>
                  <w:r>
                    <w:rPr>
                      <w:rFonts w:hint="eastAsia"/>
                      <w:lang w:val="en-US" w:eastAsia="zh-CN"/>
                    </w:rPr>
                    <w:t>28</w:t>
                  </w:r>
                </w:p>
              </w:tc>
              <w:tc>
                <w:tcPr>
                  <w:tcW w:w="1515" w:type="pct"/>
                  <w:tcBorders>
                    <w:tl2br w:val="nil"/>
                    <w:tr2bl w:val="nil"/>
                  </w:tcBorders>
                  <w:shd w:val="clear" w:color="auto" w:fill="auto"/>
                  <w:noWrap/>
                  <w:vAlign w:val="center"/>
                </w:tcPr>
                <w:p w14:paraId="214DB53E">
                  <w:pPr>
                    <w:pStyle w:val="1111"/>
                    <w:bidi w:val="0"/>
                    <w:rPr>
                      <w:rFonts w:hint="eastAsia"/>
                    </w:rPr>
                  </w:pPr>
                  <w:r>
                    <w:rPr>
                      <w:rFonts w:hint="eastAsia"/>
                      <w:lang w:val="en-US" w:eastAsia="zh-CN"/>
                    </w:rPr>
                    <w:t>HW32无机氟化物废物</w:t>
                  </w:r>
                </w:p>
              </w:tc>
              <w:tc>
                <w:tcPr>
                  <w:tcW w:w="887" w:type="pct"/>
                  <w:tcBorders>
                    <w:tl2br w:val="nil"/>
                    <w:tr2bl w:val="nil"/>
                  </w:tcBorders>
                  <w:shd w:val="clear" w:color="auto" w:fill="auto"/>
                  <w:noWrap/>
                  <w:vAlign w:val="center"/>
                </w:tcPr>
                <w:p w14:paraId="257F01AD">
                  <w:pPr>
                    <w:pStyle w:val="1111"/>
                    <w:bidi w:val="0"/>
                    <w:rPr>
                      <w:rFonts w:hint="eastAsia"/>
                    </w:rPr>
                  </w:pPr>
                  <w:r>
                    <w:rPr>
                      <w:rFonts w:hint="eastAsia"/>
                      <w:lang w:val="en-US" w:eastAsia="zh-CN"/>
                    </w:rPr>
                    <w:t>液态</w:t>
                  </w:r>
                </w:p>
              </w:tc>
              <w:tc>
                <w:tcPr>
                  <w:tcW w:w="1526" w:type="pct"/>
                  <w:tcBorders>
                    <w:tl2br w:val="nil"/>
                    <w:tr2bl w:val="nil"/>
                  </w:tcBorders>
                  <w:shd w:val="clear" w:color="auto" w:fill="auto"/>
                  <w:noWrap/>
                  <w:vAlign w:val="center"/>
                </w:tcPr>
                <w:p w14:paraId="193C95A0">
                  <w:pPr>
                    <w:pStyle w:val="1111"/>
                    <w:bidi w:val="0"/>
                    <w:rPr>
                      <w:rFonts w:hint="eastAsia"/>
                    </w:rPr>
                  </w:pPr>
                  <w:r>
                    <w:rPr>
                      <w:rFonts w:hint="eastAsia"/>
                      <w:lang w:val="en-US" w:eastAsia="zh-CN"/>
                    </w:rPr>
                    <w:t>氟化物</w:t>
                  </w:r>
                </w:p>
              </w:tc>
              <w:tc>
                <w:tcPr>
                  <w:tcW w:w="626" w:type="pct"/>
                  <w:tcBorders>
                    <w:tl2br w:val="nil"/>
                    <w:tr2bl w:val="nil"/>
                  </w:tcBorders>
                  <w:shd w:val="clear" w:color="auto" w:fill="auto"/>
                  <w:noWrap/>
                  <w:vAlign w:val="center"/>
                </w:tcPr>
                <w:p w14:paraId="564CB21B">
                  <w:pPr>
                    <w:pStyle w:val="1111"/>
                    <w:bidi w:val="0"/>
                    <w:rPr>
                      <w:rFonts w:hint="eastAsia"/>
                    </w:rPr>
                  </w:pPr>
                  <w:r>
                    <w:rPr>
                      <w:rFonts w:hint="eastAsia"/>
                      <w:lang w:val="en-US" w:eastAsia="zh-CN"/>
                    </w:rPr>
                    <w:t>T，C</w:t>
                  </w:r>
                </w:p>
              </w:tc>
            </w:tr>
            <w:tr w14:paraId="4F712C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4" w:type="pct"/>
                  <w:tcBorders>
                    <w:tl2br w:val="nil"/>
                    <w:tr2bl w:val="nil"/>
                  </w:tcBorders>
                  <w:shd w:val="clear" w:color="auto" w:fill="auto"/>
                  <w:noWrap/>
                  <w:vAlign w:val="center"/>
                </w:tcPr>
                <w:p w14:paraId="62A1D066">
                  <w:pPr>
                    <w:pStyle w:val="1111"/>
                    <w:bidi w:val="0"/>
                    <w:rPr>
                      <w:rFonts w:hint="eastAsia" w:ascii="Times New Roman" w:hAnsi="Times New Roman" w:eastAsia="宋体" w:cs="Times New Roman"/>
                      <w:kern w:val="0"/>
                      <w:sz w:val="21"/>
                      <w:szCs w:val="20"/>
                      <w:lang w:val="en-US" w:eastAsia="zh-CN" w:bidi="ar-SA"/>
                    </w:rPr>
                  </w:pPr>
                  <w:r>
                    <w:rPr>
                      <w:rFonts w:hint="eastAsia"/>
                      <w:lang w:val="en-US" w:eastAsia="zh-CN"/>
                    </w:rPr>
                    <w:t>29</w:t>
                  </w:r>
                </w:p>
              </w:tc>
              <w:tc>
                <w:tcPr>
                  <w:tcW w:w="1515" w:type="pct"/>
                  <w:tcBorders>
                    <w:tl2br w:val="nil"/>
                    <w:tr2bl w:val="nil"/>
                  </w:tcBorders>
                  <w:shd w:val="clear" w:color="auto" w:fill="auto"/>
                  <w:noWrap/>
                  <w:vAlign w:val="center"/>
                </w:tcPr>
                <w:p w14:paraId="7393E3E9">
                  <w:pPr>
                    <w:pStyle w:val="1111"/>
                    <w:bidi w:val="0"/>
                    <w:rPr>
                      <w:rFonts w:hint="eastAsia"/>
                    </w:rPr>
                  </w:pPr>
                  <w:r>
                    <w:rPr>
                      <w:rFonts w:hint="eastAsia"/>
                      <w:lang w:val="en-US" w:eastAsia="zh-CN"/>
                    </w:rPr>
                    <w:t>HW33无机氰化物废物</w:t>
                  </w:r>
                </w:p>
              </w:tc>
              <w:tc>
                <w:tcPr>
                  <w:tcW w:w="887" w:type="pct"/>
                  <w:tcBorders>
                    <w:tl2br w:val="nil"/>
                    <w:tr2bl w:val="nil"/>
                  </w:tcBorders>
                  <w:shd w:val="clear" w:color="auto" w:fill="auto"/>
                  <w:noWrap/>
                  <w:vAlign w:val="center"/>
                </w:tcPr>
                <w:p w14:paraId="6FD724D4">
                  <w:pPr>
                    <w:pStyle w:val="1111"/>
                    <w:bidi w:val="0"/>
                    <w:rPr>
                      <w:rFonts w:hint="eastAsia"/>
                    </w:rPr>
                  </w:pPr>
                  <w:r>
                    <w:rPr>
                      <w:rFonts w:hint="eastAsia"/>
                      <w:lang w:val="en-US" w:eastAsia="zh-CN"/>
                    </w:rPr>
                    <w:t>液态、固态</w:t>
                  </w:r>
                </w:p>
              </w:tc>
              <w:tc>
                <w:tcPr>
                  <w:tcW w:w="1526" w:type="pct"/>
                  <w:tcBorders>
                    <w:tl2br w:val="nil"/>
                    <w:tr2bl w:val="nil"/>
                  </w:tcBorders>
                  <w:shd w:val="clear" w:color="auto" w:fill="auto"/>
                  <w:noWrap/>
                  <w:vAlign w:val="center"/>
                </w:tcPr>
                <w:p w14:paraId="29BB6F11">
                  <w:pPr>
                    <w:pStyle w:val="1111"/>
                    <w:bidi w:val="0"/>
                    <w:rPr>
                      <w:rFonts w:hint="eastAsia"/>
                    </w:rPr>
                  </w:pPr>
                  <w:r>
                    <w:rPr>
                      <w:rFonts w:hint="eastAsia"/>
                      <w:lang w:val="en-US" w:eastAsia="zh-CN"/>
                    </w:rPr>
                    <w:t>无机氰化物</w:t>
                  </w:r>
                </w:p>
              </w:tc>
              <w:tc>
                <w:tcPr>
                  <w:tcW w:w="626" w:type="pct"/>
                  <w:tcBorders>
                    <w:tl2br w:val="nil"/>
                    <w:tr2bl w:val="nil"/>
                  </w:tcBorders>
                  <w:shd w:val="clear" w:color="auto" w:fill="auto"/>
                  <w:noWrap/>
                  <w:vAlign w:val="center"/>
                </w:tcPr>
                <w:p w14:paraId="3CEDE6BD">
                  <w:pPr>
                    <w:pStyle w:val="1111"/>
                    <w:bidi w:val="0"/>
                    <w:rPr>
                      <w:rFonts w:hint="eastAsia"/>
                    </w:rPr>
                  </w:pPr>
                  <w:r>
                    <w:rPr>
                      <w:rFonts w:hint="eastAsia"/>
                      <w:lang w:val="en-US" w:eastAsia="zh-CN"/>
                    </w:rPr>
                    <w:t>T，R</w:t>
                  </w:r>
                </w:p>
              </w:tc>
            </w:tr>
            <w:tr w14:paraId="74F8DB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4" w:type="pct"/>
                  <w:tcBorders>
                    <w:tl2br w:val="nil"/>
                    <w:tr2bl w:val="nil"/>
                  </w:tcBorders>
                  <w:shd w:val="clear" w:color="auto" w:fill="auto"/>
                  <w:noWrap/>
                  <w:vAlign w:val="center"/>
                </w:tcPr>
                <w:p w14:paraId="51980007">
                  <w:pPr>
                    <w:pStyle w:val="1111"/>
                    <w:bidi w:val="0"/>
                    <w:rPr>
                      <w:rFonts w:hint="eastAsia" w:ascii="Times New Roman" w:hAnsi="Times New Roman" w:eastAsia="宋体" w:cs="Times New Roman"/>
                      <w:kern w:val="0"/>
                      <w:sz w:val="21"/>
                      <w:szCs w:val="20"/>
                      <w:lang w:val="en-US" w:eastAsia="zh-CN" w:bidi="ar-SA"/>
                    </w:rPr>
                  </w:pPr>
                  <w:r>
                    <w:rPr>
                      <w:rFonts w:hint="eastAsia"/>
                      <w:lang w:val="en-US" w:eastAsia="zh-CN"/>
                    </w:rPr>
                    <w:t>30</w:t>
                  </w:r>
                </w:p>
              </w:tc>
              <w:tc>
                <w:tcPr>
                  <w:tcW w:w="1515" w:type="pct"/>
                  <w:tcBorders>
                    <w:tl2br w:val="nil"/>
                    <w:tr2bl w:val="nil"/>
                  </w:tcBorders>
                  <w:shd w:val="clear" w:color="auto" w:fill="auto"/>
                  <w:noWrap/>
                  <w:vAlign w:val="center"/>
                </w:tcPr>
                <w:p w14:paraId="28DFFF16">
                  <w:pPr>
                    <w:pStyle w:val="1111"/>
                    <w:bidi w:val="0"/>
                    <w:rPr>
                      <w:rFonts w:hint="eastAsia"/>
                    </w:rPr>
                  </w:pPr>
                  <w:r>
                    <w:rPr>
                      <w:rFonts w:hint="eastAsia"/>
                      <w:lang w:val="en-US" w:eastAsia="zh-CN"/>
                    </w:rPr>
                    <w:t>HW34废酸</w:t>
                  </w:r>
                </w:p>
              </w:tc>
              <w:tc>
                <w:tcPr>
                  <w:tcW w:w="887" w:type="pct"/>
                  <w:tcBorders>
                    <w:tl2br w:val="nil"/>
                    <w:tr2bl w:val="nil"/>
                  </w:tcBorders>
                  <w:shd w:val="clear" w:color="auto" w:fill="auto"/>
                  <w:noWrap/>
                  <w:vAlign w:val="center"/>
                </w:tcPr>
                <w:p w14:paraId="34FF10C9">
                  <w:pPr>
                    <w:pStyle w:val="1111"/>
                    <w:bidi w:val="0"/>
                    <w:rPr>
                      <w:rFonts w:hint="eastAsia"/>
                    </w:rPr>
                  </w:pPr>
                  <w:r>
                    <w:rPr>
                      <w:rFonts w:hint="eastAsia"/>
                      <w:lang w:val="en-US" w:eastAsia="zh-CN"/>
                    </w:rPr>
                    <w:t>液态</w:t>
                  </w:r>
                </w:p>
              </w:tc>
              <w:tc>
                <w:tcPr>
                  <w:tcW w:w="1526" w:type="pct"/>
                  <w:tcBorders>
                    <w:tl2br w:val="nil"/>
                    <w:tr2bl w:val="nil"/>
                  </w:tcBorders>
                  <w:shd w:val="clear" w:color="auto" w:fill="auto"/>
                  <w:noWrap/>
                  <w:vAlign w:val="center"/>
                </w:tcPr>
                <w:p w14:paraId="12EB0F8F">
                  <w:pPr>
                    <w:pStyle w:val="1111"/>
                    <w:bidi w:val="0"/>
                    <w:rPr>
                      <w:rFonts w:hint="eastAsia"/>
                    </w:rPr>
                  </w:pPr>
                  <w:r>
                    <w:rPr>
                      <w:rFonts w:hint="eastAsia"/>
                      <w:lang w:val="en-US" w:eastAsia="zh-CN"/>
                    </w:rPr>
                    <w:t>酸、COD</w:t>
                  </w:r>
                </w:p>
              </w:tc>
              <w:tc>
                <w:tcPr>
                  <w:tcW w:w="626" w:type="pct"/>
                  <w:tcBorders>
                    <w:tl2br w:val="nil"/>
                    <w:tr2bl w:val="nil"/>
                  </w:tcBorders>
                  <w:shd w:val="clear" w:color="auto" w:fill="auto"/>
                  <w:noWrap/>
                  <w:vAlign w:val="center"/>
                </w:tcPr>
                <w:p w14:paraId="53F863B2">
                  <w:pPr>
                    <w:pStyle w:val="1111"/>
                    <w:bidi w:val="0"/>
                    <w:rPr>
                      <w:rFonts w:hint="eastAsia"/>
                    </w:rPr>
                  </w:pPr>
                  <w:r>
                    <w:rPr>
                      <w:rFonts w:hint="eastAsia"/>
                      <w:lang w:val="en-US" w:eastAsia="zh-CN"/>
                    </w:rPr>
                    <w:t>C，T</w:t>
                  </w:r>
                </w:p>
              </w:tc>
            </w:tr>
            <w:tr w14:paraId="722E44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4" w:type="pct"/>
                  <w:tcBorders>
                    <w:tl2br w:val="nil"/>
                    <w:tr2bl w:val="nil"/>
                  </w:tcBorders>
                  <w:shd w:val="clear" w:color="auto" w:fill="auto"/>
                  <w:noWrap/>
                  <w:vAlign w:val="center"/>
                </w:tcPr>
                <w:p w14:paraId="77902DA5">
                  <w:pPr>
                    <w:pStyle w:val="1111"/>
                    <w:bidi w:val="0"/>
                    <w:rPr>
                      <w:rFonts w:hint="eastAsia" w:ascii="Times New Roman" w:hAnsi="Times New Roman" w:eastAsia="宋体" w:cs="Times New Roman"/>
                      <w:kern w:val="0"/>
                      <w:sz w:val="21"/>
                      <w:szCs w:val="20"/>
                      <w:lang w:val="en-US" w:eastAsia="zh-CN" w:bidi="ar-SA"/>
                    </w:rPr>
                  </w:pPr>
                  <w:r>
                    <w:rPr>
                      <w:rFonts w:hint="eastAsia"/>
                      <w:lang w:val="en-US" w:eastAsia="zh-CN"/>
                    </w:rPr>
                    <w:t>31</w:t>
                  </w:r>
                </w:p>
              </w:tc>
              <w:tc>
                <w:tcPr>
                  <w:tcW w:w="1515" w:type="pct"/>
                  <w:tcBorders>
                    <w:tl2br w:val="nil"/>
                    <w:tr2bl w:val="nil"/>
                  </w:tcBorders>
                  <w:shd w:val="clear" w:color="auto" w:fill="auto"/>
                  <w:noWrap/>
                  <w:vAlign w:val="center"/>
                </w:tcPr>
                <w:p w14:paraId="72DA2C30">
                  <w:pPr>
                    <w:pStyle w:val="1111"/>
                    <w:bidi w:val="0"/>
                    <w:rPr>
                      <w:rFonts w:hint="eastAsia"/>
                    </w:rPr>
                  </w:pPr>
                  <w:r>
                    <w:rPr>
                      <w:rFonts w:hint="eastAsia"/>
                      <w:lang w:val="en-US" w:eastAsia="zh-CN"/>
                    </w:rPr>
                    <w:t>HW35废碱</w:t>
                  </w:r>
                </w:p>
              </w:tc>
              <w:tc>
                <w:tcPr>
                  <w:tcW w:w="887" w:type="pct"/>
                  <w:tcBorders>
                    <w:tl2br w:val="nil"/>
                    <w:tr2bl w:val="nil"/>
                  </w:tcBorders>
                  <w:shd w:val="clear" w:color="auto" w:fill="auto"/>
                  <w:noWrap/>
                  <w:vAlign w:val="center"/>
                </w:tcPr>
                <w:p w14:paraId="7A19A499">
                  <w:pPr>
                    <w:pStyle w:val="1111"/>
                    <w:bidi w:val="0"/>
                    <w:rPr>
                      <w:rFonts w:hint="eastAsia"/>
                    </w:rPr>
                  </w:pPr>
                  <w:r>
                    <w:rPr>
                      <w:rFonts w:hint="eastAsia"/>
                      <w:lang w:val="en-US" w:eastAsia="zh-CN"/>
                    </w:rPr>
                    <w:t>液态</w:t>
                  </w:r>
                </w:p>
              </w:tc>
              <w:tc>
                <w:tcPr>
                  <w:tcW w:w="1526" w:type="pct"/>
                  <w:tcBorders>
                    <w:tl2br w:val="nil"/>
                    <w:tr2bl w:val="nil"/>
                  </w:tcBorders>
                  <w:shd w:val="clear" w:color="auto" w:fill="auto"/>
                  <w:noWrap/>
                  <w:vAlign w:val="center"/>
                </w:tcPr>
                <w:p w14:paraId="699A5486">
                  <w:pPr>
                    <w:pStyle w:val="1111"/>
                    <w:bidi w:val="0"/>
                    <w:rPr>
                      <w:rFonts w:hint="eastAsia"/>
                    </w:rPr>
                  </w:pPr>
                  <w:r>
                    <w:rPr>
                      <w:rFonts w:hint="eastAsia"/>
                      <w:lang w:val="en-US" w:eastAsia="zh-CN"/>
                    </w:rPr>
                    <w:t>碱、COD</w:t>
                  </w:r>
                </w:p>
              </w:tc>
              <w:tc>
                <w:tcPr>
                  <w:tcW w:w="626" w:type="pct"/>
                  <w:tcBorders>
                    <w:tl2br w:val="nil"/>
                    <w:tr2bl w:val="nil"/>
                  </w:tcBorders>
                  <w:shd w:val="clear" w:color="auto" w:fill="auto"/>
                  <w:noWrap/>
                  <w:vAlign w:val="center"/>
                </w:tcPr>
                <w:p w14:paraId="76D4A72B">
                  <w:pPr>
                    <w:pStyle w:val="1111"/>
                    <w:bidi w:val="0"/>
                    <w:rPr>
                      <w:rFonts w:hint="eastAsia"/>
                    </w:rPr>
                  </w:pPr>
                  <w:r>
                    <w:rPr>
                      <w:rFonts w:hint="eastAsia"/>
                      <w:lang w:val="en-US" w:eastAsia="zh-CN"/>
                    </w:rPr>
                    <w:t>C，T，R</w:t>
                  </w:r>
                </w:p>
              </w:tc>
            </w:tr>
            <w:tr w14:paraId="3F131F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4" w:type="pct"/>
                  <w:tcBorders>
                    <w:tl2br w:val="nil"/>
                    <w:tr2bl w:val="nil"/>
                  </w:tcBorders>
                  <w:shd w:val="clear" w:color="auto" w:fill="auto"/>
                  <w:noWrap/>
                  <w:vAlign w:val="center"/>
                </w:tcPr>
                <w:p w14:paraId="0F17F4C8">
                  <w:pPr>
                    <w:pStyle w:val="1111"/>
                    <w:bidi w:val="0"/>
                    <w:rPr>
                      <w:rFonts w:hint="eastAsia" w:ascii="Times New Roman" w:hAnsi="Times New Roman" w:eastAsia="宋体" w:cs="Times New Roman"/>
                      <w:kern w:val="0"/>
                      <w:sz w:val="21"/>
                      <w:szCs w:val="20"/>
                      <w:lang w:val="en-US" w:eastAsia="zh-CN" w:bidi="ar-SA"/>
                    </w:rPr>
                  </w:pPr>
                  <w:r>
                    <w:rPr>
                      <w:rFonts w:hint="eastAsia"/>
                      <w:lang w:val="en-US" w:eastAsia="zh-CN"/>
                    </w:rPr>
                    <w:t>32</w:t>
                  </w:r>
                </w:p>
              </w:tc>
              <w:tc>
                <w:tcPr>
                  <w:tcW w:w="1515" w:type="pct"/>
                  <w:tcBorders>
                    <w:tl2br w:val="nil"/>
                    <w:tr2bl w:val="nil"/>
                  </w:tcBorders>
                  <w:shd w:val="clear" w:color="auto" w:fill="auto"/>
                  <w:noWrap/>
                  <w:vAlign w:val="center"/>
                </w:tcPr>
                <w:p w14:paraId="0C4D5AC5">
                  <w:pPr>
                    <w:pStyle w:val="1111"/>
                    <w:bidi w:val="0"/>
                    <w:rPr>
                      <w:rFonts w:hint="eastAsia"/>
                    </w:rPr>
                  </w:pPr>
                  <w:r>
                    <w:rPr>
                      <w:rFonts w:hint="eastAsia"/>
                      <w:lang w:val="en-US" w:eastAsia="zh-CN"/>
                    </w:rPr>
                    <w:t>HW36石棉废物</w:t>
                  </w:r>
                </w:p>
              </w:tc>
              <w:tc>
                <w:tcPr>
                  <w:tcW w:w="887" w:type="pct"/>
                  <w:tcBorders>
                    <w:tl2br w:val="nil"/>
                    <w:tr2bl w:val="nil"/>
                  </w:tcBorders>
                  <w:shd w:val="clear" w:color="auto" w:fill="auto"/>
                  <w:noWrap/>
                  <w:vAlign w:val="center"/>
                </w:tcPr>
                <w:p w14:paraId="66FA546D">
                  <w:pPr>
                    <w:pStyle w:val="1111"/>
                    <w:bidi w:val="0"/>
                    <w:rPr>
                      <w:rFonts w:hint="eastAsia"/>
                    </w:rPr>
                  </w:pPr>
                  <w:r>
                    <w:rPr>
                      <w:rFonts w:hint="eastAsia"/>
                      <w:lang w:val="en-US" w:eastAsia="zh-CN"/>
                    </w:rPr>
                    <w:t>固态</w:t>
                  </w:r>
                </w:p>
              </w:tc>
              <w:tc>
                <w:tcPr>
                  <w:tcW w:w="1526" w:type="pct"/>
                  <w:tcBorders>
                    <w:tl2br w:val="nil"/>
                    <w:tr2bl w:val="nil"/>
                  </w:tcBorders>
                  <w:shd w:val="clear" w:color="auto" w:fill="auto"/>
                  <w:noWrap/>
                  <w:vAlign w:val="center"/>
                </w:tcPr>
                <w:p w14:paraId="45322F52">
                  <w:pPr>
                    <w:pStyle w:val="1111"/>
                    <w:bidi w:val="0"/>
                    <w:rPr>
                      <w:rFonts w:hint="eastAsia"/>
                    </w:rPr>
                  </w:pPr>
                  <w:r>
                    <w:rPr>
                      <w:rFonts w:hint="eastAsia"/>
                      <w:lang w:val="en-US" w:eastAsia="zh-CN"/>
                    </w:rPr>
                    <w:t>硅酸盐类等</w:t>
                  </w:r>
                </w:p>
              </w:tc>
              <w:tc>
                <w:tcPr>
                  <w:tcW w:w="626" w:type="pct"/>
                  <w:tcBorders>
                    <w:tl2br w:val="nil"/>
                    <w:tr2bl w:val="nil"/>
                  </w:tcBorders>
                  <w:shd w:val="clear" w:color="auto" w:fill="auto"/>
                  <w:noWrap/>
                  <w:vAlign w:val="center"/>
                </w:tcPr>
                <w:p w14:paraId="245B3FAC">
                  <w:pPr>
                    <w:pStyle w:val="1111"/>
                    <w:bidi w:val="0"/>
                    <w:rPr>
                      <w:rFonts w:hint="eastAsia"/>
                    </w:rPr>
                  </w:pPr>
                  <w:r>
                    <w:rPr>
                      <w:rFonts w:hint="eastAsia"/>
                      <w:lang w:val="en-US" w:eastAsia="zh-CN"/>
                    </w:rPr>
                    <w:t>T</w:t>
                  </w:r>
                </w:p>
              </w:tc>
            </w:tr>
            <w:tr w14:paraId="7B0FCC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4" w:type="pct"/>
                  <w:tcBorders>
                    <w:tl2br w:val="nil"/>
                    <w:tr2bl w:val="nil"/>
                  </w:tcBorders>
                  <w:shd w:val="clear" w:color="auto" w:fill="auto"/>
                  <w:noWrap/>
                  <w:vAlign w:val="center"/>
                </w:tcPr>
                <w:p w14:paraId="116AF74A">
                  <w:pPr>
                    <w:pStyle w:val="1111"/>
                    <w:bidi w:val="0"/>
                    <w:rPr>
                      <w:rFonts w:hint="eastAsia" w:ascii="Times New Roman" w:hAnsi="Times New Roman" w:eastAsia="宋体" w:cs="Times New Roman"/>
                      <w:kern w:val="0"/>
                      <w:sz w:val="21"/>
                      <w:szCs w:val="20"/>
                      <w:lang w:val="en-US" w:eastAsia="zh-CN" w:bidi="ar-SA"/>
                    </w:rPr>
                  </w:pPr>
                  <w:r>
                    <w:rPr>
                      <w:rFonts w:hint="eastAsia"/>
                      <w:lang w:val="en-US" w:eastAsia="zh-CN"/>
                    </w:rPr>
                    <w:t>33</w:t>
                  </w:r>
                </w:p>
              </w:tc>
              <w:tc>
                <w:tcPr>
                  <w:tcW w:w="1515" w:type="pct"/>
                  <w:tcBorders>
                    <w:tl2br w:val="nil"/>
                    <w:tr2bl w:val="nil"/>
                  </w:tcBorders>
                  <w:shd w:val="clear" w:color="auto" w:fill="auto"/>
                  <w:noWrap/>
                  <w:vAlign w:val="center"/>
                </w:tcPr>
                <w:p w14:paraId="3271D236">
                  <w:pPr>
                    <w:pStyle w:val="1111"/>
                    <w:bidi w:val="0"/>
                    <w:rPr>
                      <w:rFonts w:hint="eastAsia"/>
                    </w:rPr>
                  </w:pPr>
                  <w:r>
                    <w:rPr>
                      <w:rFonts w:hint="eastAsia"/>
                      <w:lang w:val="en-US" w:eastAsia="zh-CN"/>
                    </w:rPr>
                    <w:t>HW37有机磷化合物废物</w:t>
                  </w:r>
                </w:p>
              </w:tc>
              <w:tc>
                <w:tcPr>
                  <w:tcW w:w="887" w:type="pct"/>
                  <w:tcBorders>
                    <w:tl2br w:val="nil"/>
                    <w:tr2bl w:val="nil"/>
                  </w:tcBorders>
                  <w:shd w:val="clear" w:color="auto" w:fill="auto"/>
                  <w:noWrap/>
                  <w:vAlign w:val="center"/>
                </w:tcPr>
                <w:p w14:paraId="5E150D58">
                  <w:pPr>
                    <w:pStyle w:val="1111"/>
                    <w:bidi w:val="0"/>
                    <w:rPr>
                      <w:rFonts w:hint="eastAsia"/>
                    </w:rPr>
                  </w:pPr>
                  <w:r>
                    <w:rPr>
                      <w:rFonts w:hint="eastAsia"/>
                      <w:lang w:val="en-US" w:eastAsia="zh-CN"/>
                    </w:rPr>
                    <w:t>固态.</w:t>
                  </w:r>
                </w:p>
              </w:tc>
              <w:tc>
                <w:tcPr>
                  <w:tcW w:w="1526" w:type="pct"/>
                  <w:tcBorders>
                    <w:tl2br w:val="nil"/>
                    <w:tr2bl w:val="nil"/>
                  </w:tcBorders>
                  <w:shd w:val="clear" w:color="auto" w:fill="auto"/>
                  <w:noWrap/>
                  <w:vAlign w:val="center"/>
                </w:tcPr>
                <w:p w14:paraId="17F209CC">
                  <w:pPr>
                    <w:pStyle w:val="1111"/>
                    <w:bidi w:val="0"/>
                    <w:rPr>
                      <w:rFonts w:hint="eastAsia"/>
                    </w:rPr>
                  </w:pPr>
                  <w:r>
                    <w:rPr>
                      <w:rFonts w:hint="eastAsia"/>
                      <w:lang w:val="en-US" w:eastAsia="zh-CN"/>
                    </w:rPr>
                    <w:t>有机磷</w:t>
                  </w:r>
                </w:p>
              </w:tc>
              <w:tc>
                <w:tcPr>
                  <w:tcW w:w="626" w:type="pct"/>
                  <w:tcBorders>
                    <w:tl2br w:val="nil"/>
                    <w:tr2bl w:val="nil"/>
                  </w:tcBorders>
                  <w:shd w:val="clear" w:color="auto" w:fill="auto"/>
                  <w:noWrap/>
                  <w:vAlign w:val="center"/>
                </w:tcPr>
                <w:p w14:paraId="63F68613">
                  <w:pPr>
                    <w:pStyle w:val="1111"/>
                    <w:bidi w:val="0"/>
                    <w:rPr>
                      <w:rFonts w:hint="eastAsia"/>
                    </w:rPr>
                  </w:pPr>
                  <w:r>
                    <w:rPr>
                      <w:rFonts w:hint="eastAsia"/>
                      <w:lang w:val="en-US" w:eastAsia="zh-CN"/>
                    </w:rPr>
                    <w:t>T</w:t>
                  </w:r>
                </w:p>
              </w:tc>
            </w:tr>
            <w:tr w14:paraId="159D34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4" w:type="pct"/>
                  <w:tcBorders>
                    <w:tl2br w:val="nil"/>
                    <w:tr2bl w:val="nil"/>
                  </w:tcBorders>
                  <w:shd w:val="clear" w:color="auto" w:fill="auto"/>
                  <w:noWrap/>
                  <w:vAlign w:val="center"/>
                </w:tcPr>
                <w:p w14:paraId="09975E6F">
                  <w:pPr>
                    <w:pStyle w:val="1111"/>
                    <w:bidi w:val="0"/>
                    <w:rPr>
                      <w:rFonts w:hint="eastAsia" w:ascii="Times New Roman" w:hAnsi="Times New Roman" w:eastAsia="宋体" w:cs="Times New Roman"/>
                      <w:kern w:val="0"/>
                      <w:sz w:val="21"/>
                      <w:szCs w:val="20"/>
                      <w:lang w:val="en-US" w:eastAsia="zh-CN" w:bidi="ar-SA"/>
                    </w:rPr>
                  </w:pPr>
                  <w:r>
                    <w:rPr>
                      <w:rFonts w:hint="eastAsia"/>
                      <w:lang w:val="en-US" w:eastAsia="zh-CN"/>
                    </w:rPr>
                    <w:t>34</w:t>
                  </w:r>
                </w:p>
              </w:tc>
              <w:tc>
                <w:tcPr>
                  <w:tcW w:w="1515" w:type="pct"/>
                  <w:tcBorders>
                    <w:tl2br w:val="nil"/>
                    <w:tr2bl w:val="nil"/>
                  </w:tcBorders>
                  <w:shd w:val="clear" w:color="auto" w:fill="auto"/>
                  <w:noWrap/>
                  <w:vAlign w:val="center"/>
                </w:tcPr>
                <w:p w14:paraId="487E5A52">
                  <w:pPr>
                    <w:pStyle w:val="1111"/>
                    <w:bidi w:val="0"/>
                    <w:rPr>
                      <w:rFonts w:hint="eastAsia"/>
                    </w:rPr>
                  </w:pPr>
                  <w:r>
                    <w:rPr>
                      <w:rFonts w:hint="eastAsia"/>
                      <w:lang w:val="en-US" w:eastAsia="zh-CN"/>
                    </w:rPr>
                    <w:t>HW38有机氰化物废物</w:t>
                  </w:r>
                </w:p>
              </w:tc>
              <w:tc>
                <w:tcPr>
                  <w:tcW w:w="887" w:type="pct"/>
                  <w:tcBorders>
                    <w:tl2br w:val="nil"/>
                    <w:tr2bl w:val="nil"/>
                  </w:tcBorders>
                  <w:shd w:val="clear" w:color="auto" w:fill="auto"/>
                  <w:noWrap/>
                  <w:vAlign w:val="center"/>
                </w:tcPr>
                <w:p w14:paraId="641F2B9E">
                  <w:pPr>
                    <w:pStyle w:val="1111"/>
                    <w:bidi w:val="0"/>
                    <w:rPr>
                      <w:rFonts w:hint="eastAsia"/>
                    </w:rPr>
                  </w:pPr>
                  <w:r>
                    <w:rPr>
                      <w:rFonts w:hint="eastAsia"/>
                      <w:lang w:val="en-US" w:eastAsia="zh-CN"/>
                    </w:rPr>
                    <w:t>渣固</w:t>
                  </w:r>
                </w:p>
              </w:tc>
              <w:tc>
                <w:tcPr>
                  <w:tcW w:w="1526" w:type="pct"/>
                  <w:tcBorders>
                    <w:tl2br w:val="nil"/>
                    <w:tr2bl w:val="nil"/>
                  </w:tcBorders>
                  <w:shd w:val="clear" w:color="auto" w:fill="auto"/>
                  <w:noWrap/>
                  <w:vAlign w:val="center"/>
                </w:tcPr>
                <w:p w14:paraId="44C007C8">
                  <w:pPr>
                    <w:pStyle w:val="1111"/>
                    <w:bidi w:val="0"/>
                    <w:rPr>
                      <w:rFonts w:hint="eastAsia"/>
                    </w:rPr>
                  </w:pPr>
                  <w:r>
                    <w:rPr>
                      <w:rFonts w:hint="eastAsia"/>
                      <w:lang w:val="en-US" w:eastAsia="zh-CN"/>
                    </w:rPr>
                    <w:t>有机氰化物</w:t>
                  </w:r>
                </w:p>
              </w:tc>
              <w:tc>
                <w:tcPr>
                  <w:tcW w:w="626" w:type="pct"/>
                  <w:tcBorders>
                    <w:tl2br w:val="nil"/>
                    <w:tr2bl w:val="nil"/>
                  </w:tcBorders>
                  <w:shd w:val="clear" w:color="auto" w:fill="auto"/>
                  <w:noWrap/>
                  <w:vAlign w:val="center"/>
                </w:tcPr>
                <w:p w14:paraId="21764E9F">
                  <w:pPr>
                    <w:pStyle w:val="1111"/>
                    <w:bidi w:val="0"/>
                    <w:rPr>
                      <w:rFonts w:hint="eastAsia"/>
                    </w:rPr>
                  </w:pPr>
                  <w:r>
                    <w:rPr>
                      <w:rFonts w:hint="eastAsia"/>
                      <w:lang w:val="en-US" w:eastAsia="zh-CN"/>
                    </w:rPr>
                    <w:t>T，R</w:t>
                  </w:r>
                </w:p>
              </w:tc>
            </w:tr>
            <w:tr w14:paraId="045716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4" w:type="pct"/>
                  <w:tcBorders>
                    <w:tl2br w:val="nil"/>
                    <w:tr2bl w:val="nil"/>
                  </w:tcBorders>
                  <w:shd w:val="clear" w:color="auto" w:fill="auto"/>
                  <w:noWrap/>
                  <w:vAlign w:val="center"/>
                </w:tcPr>
                <w:p w14:paraId="0CE782A5">
                  <w:pPr>
                    <w:pStyle w:val="1111"/>
                    <w:bidi w:val="0"/>
                    <w:rPr>
                      <w:rFonts w:hint="eastAsia" w:ascii="Times New Roman" w:hAnsi="Times New Roman" w:eastAsia="宋体" w:cs="Times New Roman"/>
                      <w:kern w:val="0"/>
                      <w:sz w:val="21"/>
                      <w:szCs w:val="20"/>
                      <w:lang w:val="en-US" w:eastAsia="zh-CN" w:bidi="ar-SA"/>
                    </w:rPr>
                  </w:pPr>
                  <w:r>
                    <w:rPr>
                      <w:rFonts w:hint="eastAsia"/>
                      <w:lang w:val="en-US" w:eastAsia="zh-CN"/>
                    </w:rPr>
                    <w:t>35</w:t>
                  </w:r>
                </w:p>
              </w:tc>
              <w:tc>
                <w:tcPr>
                  <w:tcW w:w="1515" w:type="pct"/>
                  <w:tcBorders>
                    <w:tl2br w:val="nil"/>
                    <w:tr2bl w:val="nil"/>
                  </w:tcBorders>
                  <w:shd w:val="clear" w:color="auto" w:fill="auto"/>
                  <w:noWrap/>
                  <w:vAlign w:val="center"/>
                </w:tcPr>
                <w:p w14:paraId="435AE5F2">
                  <w:pPr>
                    <w:pStyle w:val="1111"/>
                    <w:bidi w:val="0"/>
                    <w:rPr>
                      <w:rFonts w:hint="eastAsia"/>
                    </w:rPr>
                  </w:pPr>
                  <w:r>
                    <w:rPr>
                      <w:rFonts w:hint="eastAsia"/>
                      <w:lang w:val="en-US" w:eastAsia="zh-CN"/>
                    </w:rPr>
                    <w:t>HW39含酚废物</w:t>
                  </w:r>
                </w:p>
              </w:tc>
              <w:tc>
                <w:tcPr>
                  <w:tcW w:w="887" w:type="pct"/>
                  <w:tcBorders>
                    <w:tl2br w:val="nil"/>
                    <w:tr2bl w:val="nil"/>
                  </w:tcBorders>
                  <w:shd w:val="clear" w:color="auto" w:fill="auto"/>
                  <w:noWrap/>
                  <w:vAlign w:val="center"/>
                </w:tcPr>
                <w:p w14:paraId="5AC75DD8">
                  <w:pPr>
                    <w:pStyle w:val="1111"/>
                    <w:bidi w:val="0"/>
                    <w:rPr>
                      <w:rFonts w:hint="eastAsia"/>
                    </w:rPr>
                  </w:pPr>
                  <w:r>
                    <w:rPr>
                      <w:rFonts w:hint="eastAsia"/>
                      <w:lang w:val="en-US" w:eastAsia="zh-CN"/>
                    </w:rPr>
                    <w:t>液态</w:t>
                  </w:r>
                </w:p>
              </w:tc>
              <w:tc>
                <w:tcPr>
                  <w:tcW w:w="1526" w:type="pct"/>
                  <w:tcBorders>
                    <w:tl2br w:val="nil"/>
                    <w:tr2bl w:val="nil"/>
                  </w:tcBorders>
                  <w:shd w:val="clear" w:color="auto" w:fill="auto"/>
                  <w:noWrap/>
                  <w:vAlign w:val="center"/>
                </w:tcPr>
                <w:p w14:paraId="70D65056">
                  <w:pPr>
                    <w:pStyle w:val="1111"/>
                    <w:bidi w:val="0"/>
                    <w:rPr>
                      <w:rFonts w:hint="eastAsia"/>
                    </w:rPr>
                  </w:pPr>
                  <w:r>
                    <w:rPr>
                      <w:rFonts w:hint="eastAsia"/>
                      <w:lang w:val="en-US" w:eastAsia="zh-CN"/>
                    </w:rPr>
                    <w:t>酚类</w:t>
                  </w:r>
                </w:p>
              </w:tc>
              <w:tc>
                <w:tcPr>
                  <w:tcW w:w="626" w:type="pct"/>
                  <w:tcBorders>
                    <w:tl2br w:val="nil"/>
                    <w:tr2bl w:val="nil"/>
                  </w:tcBorders>
                  <w:shd w:val="clear" w:color="auto" w:fill="auto"/>
                  <w:noWrap/>
                  <w:vAlign w:val="center"/>
                </w:tcPr>
                <w:p w14:paraId="6A5BA436">
                  <w:pPr>
                    <w:pStyle w:val="1111"/>
                    <w:bidi w:val="0"/>
                    <w:rPr>
                      <w:rFonts w:hint="eastAsia"/>
                    </w:rPr>
                  </w:pPr>
                  <w:r>
                    <w:rPr>
                      <w:rFonts w:hint="eastAsia"/>
                      <w:lang w:val="en-US" w:eastAsia="zh-CN"/>
                    </w:rPr>
                    <w:t>T</w:t>
                  </w:r>
                </w:p>
              </w:tc>
            </w:tr>
            <w:tr w14:paraId="08C8E9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4" w:type="pct"/>
                  <w:tcBorders>
                    <w:tl2br w:val="nil"/>
                    <w:tr2bl w:val="nil"/>
                  </w:tcBorders>
                  <w:shd w:val="clear" w:color="auto" w:fill="auto"/>
                  <w:noWrap/>
                  <w:vAlign w:val="center"/>
                </w:tcPr>
                <w:p w14:paraId="788A9D99">
                  <w:pPr>
                    <w:pStyle w:val="1111"/>
                    <w:bidi w:val="0"/>
                    <w:rPr>
                      <w:rFonts w:hint="eastAsia" w:ascii="Times New Roman" w:hAnsi="Times New Roman" w:eastAsia="宋体" w:cs="Times New Roman"/>
                      <w:kern w:val="0"/>
                      <w:sz w:val="21"/>
                      <w:szCs w:val="20"/>
                      <w:lang w:val="en-US" w:eastAsia="zh-CN" w:bidi="ar-SA"/>
                    </w:rPr>
                  </w:pPr>
                  <w:r>
                    <w:rPr>
                      <w:rFonts w:hint="eastAsia"/>
                      <w:lang w:val="en-US" w:eastAsia="zh-CN"/>
                    </w:rPr>
                    <w:t>36</w:t>
                  </w:r>
                </w:p>
              </w:tc>
              <w:tc>
                <w:tcPr>
                  <w:tcW w:w="1515" w:type="pct"/>
                  <w:tcBorders>
                    <w:tl2br w:val="nil"/>
                    <w:tr2bl w:val="nil"/>
                  </w:tcBorders>
                  <w:shd w:val="clear" w:color="auto" w:fill="auto"/>
                  <w:noWrap/>
                  <w:vAlign w:val="center"/>
                </w:tcPr>
                <w:p w14:paraId="1E551B27">
                  <w:pPr>
                    <w:pStyle w:val="1111"/>
                    <w:bidi w:val="0"/>
                    <w:rPr>
                      <w:rFonts w:hint="eastAsia"/>
                    </w:rPr>
                  </w:pPr>
                  <w:r>
                    <w:rPr>
                      <w:rFonts w:hint="eastAsia"/>
                      <w:lang w:val="en-US" w:eastAsia="zh-CN"/>
                    </w:rPr>
                    <w:t>HW40含醚废物</w:t>
                  </w:r>
                </w:p>
              </w:tc>
              <w:tc>
                <w:tcPr>
                  <w:tcW w:w="887" w:type="pct"/>
                  <w:tcBorders>
                    <w:tl2br w:val="nil"/>
                    <w:tr2bl w:val="nil"/>
                  </w:tcBorders>
                  <w:shd w:val="clear" w:color="auto" w:fill="auto"/>
                  <w:noWrap/>
                  <w:vAlign w:val="center"/>
                </w:tcPr>
                <w:p w14:paraId="0965A7D4">
                  <w:pPr>
                    <w:pStyle w:val="1111"/>
                    <w:bidi w:val="0"/>
                    <w:rPr>
                      <w:rFonts w:hint="eastAsia"/>
                    </w:rPr>
                  </w:pPr>
                  <w:r>
                    <w:rPr>
                      <w:rFonts w:hint="eastAsia"/>
                      <w:lang w:val="en-US" w:eastAsia="zh-CN"/>
                    </w:rPr>
                    <w:t>液态</w:t>
                  </w:r>
                </w:p>
              </w:tc>
              <w:tc>
                <w:tcPr>
                  <w:tcW w:w="1526" w:type="pct"/>
                  <w:tcBorders>
                    <w:tl2br w:val="nil"/>
                    <w:tr2bl w:val="nil"/>
                  </w:tcBorders>
                  <w:shd w:val="clear" w:color="auto" w:fill="auto"/>
                  <w:noWrap/>
                  <w:vAlign w:val="center"/>
                </w:tcPr>
                <w:p w14:paraId="6484ACB3">
                  <w:pPr>
                    <w:pStyle w:val="1111"/>
                    <w:bidi w:val="0"/>
                    <w:rPr>
                      <w:rFonts w:hint="eastAsia"/>
                    </w:rPr>
                  </w:pPr>
                  <w:r>
                    <w:rPr>
                      <w:rFonts w:hint="eastAsia"/>
                      <w:lang w:val="en-US" w:eastAsia="zh-CN"/>
                    </w:rPr>
                    <w:t>醚类</w:t>
                  </w:r>
                </w:p>
              </w:tc>
              <w:tc>
                <w:tcPr>
                  <w:tcW w:w="626" w:type="pct"/>
                  <w:tcBorders>
                    <w:tl2br w:val="nil"/>
                    <w:tr2bl w:val="nil"/>
                  </w:tcBorders>
                  <w:shd w:val="clear" w:color="auto" w:fill="auto"/>
                  <w:noWrap/>
                  <w:vAlign w:val="center"/>
                </w:tcPr>
                <w:p w14:paraId="6D13B411">
                  <w:pPr>
                    <w:pStyle w:val="1111"/>
                    <w:bidi w:val="0"/>
                    <w:rPr>
                      <w:rFonts w:hint="eastAsia"/>
                    </w:rPr>
                  </w:pPr>
                  <w:r>
                    <w:rPr>
                      <w:rFonts w:hint="eastAsia"/>
                      <w:lang w:val="en-US" w:eastAsia="zh-CN"/>
                    </w:rPr>
                    <w:t>T</w:t>
                  </w:r>
                </w:p>
              </w:tc>
            </w:tr>
            <w:tr w14:paraId="32C92D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4" w:type="pct"/>
                  <w:tcBorders>
                    <w:tl2br w:val="nil"/>
                    <w:tr2bl w:val="nil"/>
                  </w:tcBorders>
                  <w:shd w:val="clear" w:color="auto" w:fill="auto"/>
                  <w:noWrap/>
                  <w:vAlign w:val="center"/>
                </w:tcPr>
                <w:p w14:paraId="045BB17E">
                  <w:pPr>
                    <w:pStyle w:val="1111"/>
                    <w:bidi w:val="0"/>
                    <w:rPr>
                      <w:rFonts w:hint="eastAsia" w:ascii="Times New Roman" w:hAnsi="Times New Roman" w:eastAsia="宋体" w:cs="Times New Roman"/>
                      <w:kern w:val="0"/>
                      <w:sz w:val="21"/>
                      <w:szCs w:val="20"/>
                      <w:lang w:val="en-US" w:eastAsia="zh-CN" w:bidi="ar-SA"/>
                    </w:rPr>
                  </w:pPr>
                  <w:r>
                    <w:rPr>
                      <w:rFonts w:hint="eastAsia"/>
                      <w:lang w:val="en-US" w:eastAsia="zh-CN"/>
                    </w:rPr>
                    <w:t>37</w:t>
                  </w:r>
                </w:p>
              </w:tc>
              <w:tc>
                <w:tcPr>
                  <w:tcW w:w="1515" w:type="pct"/>
                  <w:tcBorders>
                    <w:tl2br w:val="nil"/>
                    <w:tr2bl w:val="nil"/>
                  </w:tcBorders>
                  <w:shd w:val="clear" w:color="auto" w:fill="auto"/>
                  <w:noWrap/>
                  <w:vAlign w:val="center"/>
                </w:tcPr>
                <w:p w14:paraId="2BD723CF">
                  <w:pPr>
                    <w:pStyle w:val="1111"/>
                    <w:bidi w:val="0"/>
                    <w:rPr>
                      <w:rFonts w:hint="eastAsia"/>
                    </w:rPr>
                  </w:pPr>
                  <w:r>
                    <w:rPr>
                      <w:rFonts w:hint="eastAsia"/>
                      <w:lang w:val="en-US" w:eastAsia="zh-CN"/>
                    </w:rPr>
                    <w:t>HW45含有机卤化物废物</w:t>
                  </w:r>
                </w:p>
              </w:tc>
              <w:tc>
                <w:tcPr>
                  <w:tcW w:w="887" w:type="pct"/>
                  <w:tcBorders>
                    <w:tl2br w:val="nil"/>
                    <w:tr2bl w:val="nil"/>
                  </w:tcBorders>
                  <w:shd w:val="clear" w:color="auto" w:fill="auto"/>
                  <w:noWrap/>
                  <w:vAlign w:val="center"/>
                </w:tcPr>
                <w:p w14:paraId="7DF65C98">
                  <w:pPr>
                    <w:pStyle w:val="1111"/>
                    <w:bidi w:val="0"/>
                    <w:rPr>
                      <w:rFonts w:hint="eastAsia"/>
                    </w:rPr>
                  </w:pPr>
                  <w:r>
                    <w:rPr>
                      <w:rFonts w:hint="eastAsia"/>
                      <w:lang w:val="en-US" w:eastAsia="zh-CN"/>
                    </w:rPr>
                    <w:t>固态.</w:t>
                  </w:r>
                </w:p>
              </w:tc>
              <w:tc>
                <w:tcPr>
                  <w:tcW w:w="1526" w:type="pct"/>
                  <w:tcBorders>
                    <w:tl2br w:val="nil"/>
                    <w:tr2bl w:val="nil"/>
                  </w:tcBorders>
                  <w:shd w:val="clear" w:color="auto" w:fill="auto"/>
                  <w:noWrap/>
                  <w:vAlign w:val="center"/>
                </w:tcPr>
                <w:p w14:paraId="6ED65DB9">
                  <w:pPr>
                    <w:pStyle w:val="1111"/>
                    <w:bidi w:val="0"/>
                    <w:rPr>
                      <w:rFonts w:hint="eastAsia"/>
                    </w:rPr>
                  </w:pPr>
                  <w:r>
                    <w:rPr>
                      <w:rFonts w:hint="eastAsia"/>
                      <w:lang w:val="en-US" w:eastAsia="zh-CN"/>
                    </w:rPr>
                    <w:t>有机卤化物</w:t>
                  </w:r>
                </w:p>
              </w:tc>
              <w:tc>
                <w:tcPr>
                  <w:tcW w:w="626" w:type="pct"/>
                  <w:tcBorders>
                    <w:tl2br w:val="nil"/>
                    <w:tr2bl w:val="nil"/>
                  </w:tcBorders>
                  <w:shd w:val="clear" w:color="auto" w:fill="auto"/>
                  <w:noWrap/>
                  <w:vAlign w:val="center"/>
                </w:tcPr>
                <w:p w14:paraId="7031497D">
                  <w:pPr>
                    <w:pStyle w:val="1111"/>
                    <w:bidi w:val="0"/>
                    <w:rPr>
                      <w:rFonts w:hint="eastAsia"/>
                    </w:rPr>
                  </w:pPr>
                  <w:r>
                    <w:rPr>
                      <w:rFonts w:hint="eastAsia"/>
                      <w:lang w:val="en-US" w:eastAsia="zh-CN"/>
                    </w:rPr>
                    <w:t>T</w:t>
                  </w:r>
                </w:p>
              </w:tc>
            </w:tr>
            <w:tr w14:paraId="2C78A2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4" w:type="pct"/>
                  <w:tcBorders>
                    <w:tl2br w:val="nil"/>
                    <w:tr2bl w:val="nil"/>
                  </w:tcBorders>
                  <w:shd w:val="clear" w:color="auto" w:fill="auto"/>
                  <w:noWrap/>
                  <w:vAlign w:val="center"/>
                </w:tcPr>
                <w:p w14:paraId="216D36E3">
                  <w:pPr>
                    <w:pStyle w:val="1111"/>
                    <w:bidi w:val="0"/>
                    <w:rPr>
                      <w:rFonts w:hint="eastAsia" w:ascii="Times New Roman" w:hAnsi="Times New Roman" w:eastAsia="宋体" w:cs="Times New Roman"/>
                      <w:kern w:val="0"/>
                      <w:sz w:val="21"/>
                      <w:szCs w:val="20"/>
                      <w:lang w:val="en-US" w:eastAsia="zh-CN" w:bidi="ar-SA"/>
                    </w:rPr>
                  </w:pPr>
                  <w:r>
                    <w:rPr>
                      <w:rFonts w:hint="eastAsia"/>
                      <w:lang w:val="en-US" w:eastAsia="zh-CN"/>
                    </w:rPr>
                    <w:t>38</w:t>
                  </w:r>
                </w:p>
              </w:tc>
              <w:tc>
                <w:tcPr>
                  <w:tcW w:w="1515" w:type="pct"/>
                  <w:tcBorders>
                    <w:tl2br w:val="nil"/>
                    <w:tr2bl w:val="nil"/>
                  </w:tcBorders>
                  <w:shd w:val="clear" w:color="auto" w:fill="auto"/>
                  <w:noWrap/>
                  <w:vAlign w:val="center"/>
                </w:tcPr>
                <w:p w14:paraId="4D3D8272">
                  <w:pPr>
                    <w:pStyle w:val="1111"/>
                    <w:bidi w:val="0"/>
                    <w:rPr>
                      <w:rFonts w:hint="eastAsia"/>
                    </w:rPr>
                  </w:pPr>
                  <w:r>
                    <w:rPr>
                      <w:rFonts w:hint="eastAsia"/>
                      <w:lang w:val="en-US" w:eastAsia="zh-CN"/>
                    </w:rPr>
                    <w:t>HW46含镍废物</w:t>
                  </w:r>
                </w:p>
              </w:tc>
              <w:tc>
                <w:tcPr>
                  <w:tcW w:w="887" w:type="pct"/>
                  <w:tcBorders>
                    <w:tl2br w:val="nil"/>
                    <w:tr2bl w:val="nil"/>
                  </w:tcBorders>
                  <w:shd w:val="clear" w:color="auto" w:fill="auto"/>
                  <w:noWrap/>
                  <w:vAlign w:val="center"/>
                </w:tcPr>
                <w:p w14:paraId="193C9228">
                  <w:pPr>
                    <w:pStyle w:val="1111"/>
                    <w:bidi w:val="0"/>
                    <w:rPr>
                      <w:rFonts w:hint="eastAsia"/>
                    </w:rPr>
                  </w:pPr>
                  <w:r>
                    <w:rPr>
                      <w:rFonts w:hint="eastAsia"/>
                      <w:lang w:val="en-US" w:eastAsia="zh-CN"/>
                    </w:rPr>
                    <w:t>固态</w:t>
                  </w:r>
                </w:p>
              </w:tc>
              <w:tc>
                <w:tcPr>
                  <w:tcW w:w="1526" w:type="pct"/>
                  <w:tcBorders>
                    <w:tl2br w:val="nil"/>
                    <w:tr2bl w:val="nil"/>
                  </w:tcBorders>
                  <w:shd w:val="clear" w:color="auto" w:fill="auto"/>
                  <w:noWrap/>
                  <w:vAlign w:val="center"/>
                </w:tcPr>
                <w:p w14:paraId="522A1A98">
                  <w:pPr>
                    <w:pStyle w:val="1111"/>
                    <w:bidi w:val="0"/>
                    <w:rPr>
                      <w:rFonts w:hint="eastAsia"/>
                    </w:rPr>
                  </w:pPr>
                  <w:r>
                    <w:rPr>
                      <w:rFonts w:hint="eastAsia"/>
                      <w:lang w:val="en-US" w:eastAsia="zh-CN"/>
                    </w:rPr>
                    <w:t>有毒金属及化合物</w:t>
                  </w:r>
                </w:p>
              </w:tc>
              <w:tc>
                <w:tcPr>
                  <w:tcW w:w="626" w:type="pct"/>
                  <w:tcBorders>
                    <w:tl2br w:val="nil"/>
                    <w:tr2bl w:val="nil"/>
                  </w:tcBorders>
                  <w:shd w:val="clear" w:color="auto" w:fill="auto"/>
                  <w:noWrap/>
                  <w:vAlign w:val="center"/>
                </w:tcPr>
                <w:p w14:paraId="158F313E">
                  <w:pPr>
                    <w:pStyle w:val="1111"/>
                    <w:bidi w:val="0"/>
                    <w:rPr>
                      <w:rFonts w:hint="eastAsia"/>
                    </w:rPr>
                  </w:pPr>
                  <w:r>
                    <w:rPr>
                      <w:rFonts w:hint="eastAsia"/>
                      <w:lang w:val="en-US" w:eastAsia="zh-CN"/>
                    </w:rPr>
                    <w:t>T，I</w:t>
                  </w:r>
                </w:p>
              </w:tc>
            </w:tr>
            <w:tr w14:paraId="3F831B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4" w:type="pct"/>
                  <w:tcBorders>
                    <w:tl2br w:val="nil"/>
                    <w:tr2bl w:val="nil"/>
                  </w:tcBorders>
                  <w:shd w:val="clear" w:color="auto" w:fill="auto"/>
                  <w:noWrap/>
                  <w:vAlign w:val="center"/>
                </w:tcPr>
                <w:p w14:paraId="7E465476">
                  <w:pPr>
                    <w:pStyle w:val="1111"/>
                    <w:bidi w:val="0"/>
                    <w:rPr>
                      <w:rFonts w:hint="eastAsia" w:ascii="Times New Roman" w:hAnsi="Times New Roman" w:eastAsia="宋体" w:cs="Times New Roman"/>
                      <w:kern w:val="0"/>
                      <w:sz w:val="21"/>
                      <w:szCs w:val="20"/>
                      <w:lang w:val="en-US" w:eastAsia="zh-CN" w:bidi="ar-SA"/>
                    </w:rPr>
                  </w:pPr>
                  <w:r>
                    <w:rPr>
                      <w:rFonts w:hint="eastAsia"/>
                      <w:lang w:val="en-US" w:eastAsia="zh-CN"/>
                    </w:rPr>
                    <w:t>39</w:t>
                  </w:r>
                </w:p>
              </w:tc>
              <w:tc>
                <w:tcPr>
                  <w:tcW w:w="1515" w:type="pct"/>
                  <w:tcBorders>
                    <w:tl2br w:val="nil"/>
                    <w:tr2bl w:val="nil"/>
                  </w:tcBorders>
                  <w:shd w:val="clear" w:color="auto" w:fill="auto"/>
                  <w:noWrap/>
                  <w:vAlign w:val="center"/>
                </w:tcPr>
                <w:p w14:paraId="4A8F3B06">
                  <w:pPr>
                    <w:pStyle w:val="1111"/>
                    <w:bidi w:val="0"/>
                    <w:rPr>
                      <w:rFonts w:hint="eastAsia"/>
                    </w:rPr>
                  </w:pPr>
                  <w:r>
                    <w:rPr>
                      <w:rFonts w:hint="eastAsia"/>
                      <w:lang w:val="en-US" w:eastAsia="zh-CN"/>
                    </w:rPr>
                    <w:t>HW47含钡废物</w:t>
                  </w:r>
                </w:p>
              </w:tc>
              <w:tc>
                <w:tcPr>
                  <w:tcW w:w="887" w:type="pct"/>
                  <w:tcBorders>
                    <w:tl2br w:val="nil"/>
                    <w:tr2bl w:val="nil"/>
                  </w:tcBorders>
                  <w:shd w:val="clear" w:color="auto" w:fill="auto"/>
                  <w:noWrap/>
                  <w:vAlign w:val="center"/>
                </w:tcPr>
                <w:p w14:paraId="253567C4">
                  <w:pPr>
                    <w:pStyle w:val="1111"/>
                    <w:bidi w:val="0"/>
                    <w:rPr>
                      <w:rFonts w:hint="eastAsia"/>
                    </w:rPr>
                  </w:pPr>
                  <w:r>
                    <w:rPr>
                      <w:rFonts w:hint="eastAsia"/>
                      <w:lang w:val="en-US" w:eastAsia="zh-CN"/>
                    </w:rPr>
                    <w:t>渣固</w:t>
                  </w:r>
                </w:p>
              </w:tc>
              <w:tc>
                <w:tcPr>
                  <w:tcW w:w="1526" w:type="pct"/>
                  <w:tcBorders>
                    <w:tl2br w:val="nil"/>
                    <w:tr2bl w:val="nil"/>
                  </w:tcBorders>
                  <w:shd w:val="clear" w:color="auto" w:fill="auto"/>
                  <w:noWrap/>
                  <w:vAlign w:val="center"/>
                </w:tcPr>
                <w:p w14:paraId="672E9AF0">
                  <w:pPr>
                    <w:pStyle w:val="1111"/>
                    <w:bidi w:val="0"/>
                    <w:rPr>
                      <w:rFonts w:hint="eastAsia"/>
                    </w:rPr>
                  </w:pPr>
                  <w:r>
                    <w:rPr>
                      <w:rFonts w:hint="eastAsia"/>
                      <w:lang w:val="en-US" w:eastAsia="zh-CN"/>
                    </w:rPr>
                    <w:t>重金属</w:t>
                  </w:r>
                </w:p>
              </w:tc>
              <w:tc>
                <w:tcPr>
                  <w:tcW w:w="626" w:type="pct"/>
                  <w:tcBorders>
                    <w:tl2br w:val="nil"/>
                    <w:tr2bl w:val="nil"/>
                  </w:tcBorders>
                  <w:shd w:val="clear" w:color="auto" w:fill="auto"/>
                  <w:noWrap/>
                  <w:vAlign w:val="center"/>
                </w:tcPr>
                <w:p w14:paraId="5BAF9177">
                  <w:pPr>
                    <w:pStyle w:val="1111"/>
                    <w:bidi w:val="0"/>
                    <w:rPr>
                      <w:rFonts w:hint="eastAsia"/>
                    </w:rPr>
                  </w:pPr>
                  <w:r>
                    <w:rPr>
                      <w:rFonts w:hint="eastAsia"/>
                      <w:lang w:val="en-US" w:eastAsia="zh-CN"/>
                    </w:rPr>
                    <w:t>T</w:t>
                  </w:r>
                </w:p>
              </w:tc>
            </w:tr>
            <w:tr w14:paraId="06BED2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4" w:type="pct"/>
                  <w:tcBorders>
                    <w:tl2br w:val="nil"/>
                    <w:tr2bl w:val="nil"/>
                  </w:tcBorders>
                  <w:shd w:val="clear" w:color="auto" w:fill="auto"/>
                  <w:noWrap/>
                  <w:vAlign w:val="center"/>
                </w:tcPr>
                <w:p w14:paraId="16E3C18C">
                  <w:pPr>
                    <w:pStyle w:val="1111"/>
                    <w:bidi w:val="0"/>
                    <w:rPr>
                      <w:rFonts w:hint="eastAsia" w:ascii="Times New Roman" w:hAnsi="Times New Roman" w:eastAsia="宋体" w:cs="Times New Roman"/>
                      <w:kern w:val="0"/>
                      <w:sz w:val="21"/>
                      <w:szCs w:val="20"/>
                      <w:lang w:val="en-US" w:eastAsia="zh-CN" w:bidi="ar-SA"/>
                    </w:rPr>
                  </w:pPr>
                  <w:r>
                    <w:rPr>
                      <w:rFonts w:hint="eastAsia"/>
                      <w:lang w:val="en-US" w:eastAsia="zh-CN"/>
                    </w:rPr>
                    <w:t>40</w:t>
                  </w:r>
                </w:p>
              </w:tc>
              <w:tc>
                <w:tcPr>
                  <w:tcW w:w="1515" w:type="pct"/>
                  <w:tcBorders>
                    <w:tl2br w:val="nil"/>
                    <w:tr2bl w:val="nil"/>
                  </w:tcBorders>
                  <w:shd w:val="clear" w:color="auto" w:fill="auto"/>
                  <w:noWrap/>
                  <w:vAlign w:val="center"/>
                </w:tcPr>
                <w:p w14:paraId="74FD812E">
                  <w:pPr>
                    <w:pStyle w:val="1111"/>
                    <w:bidi w:val="0"/>
                    <w:rPr>
                      <w:rFonts w:hint="eastAsia"/>
                    </w:rPr>
                  </w:pPr>
                  <w:r>
                    <w:rPr>
                      <w:rFonts w:hint="eastAsia"/>
                      <w:lang w:val="en-US" w:eastAsia="zh-CN"/>
                    </w:rPr>
                    <w:t>HW48有色金属采选和冶炼废物</w:t>
                  </w:r>
                </w:p>
              </w:tc>
              <w:tc>
                <w:tcPr>
                  <w:tcW w:w="887" w:type="pct"/>
                  <w:tcBorders>
                    <w:tl2br w:val="nil"/>
                    <w:tr2bl w:val="nil"/>
                  </w:tcBorders>
                  <w:shd w:val="clear" w:color="auto" w:fill="auto"/>
                  <w:noWrap/>
                  <w:vAlign w:val="center"/>
                </w:tcPr>
                <w:p w14:paraId="48764206">
                  <w:pPr>
                    <w:pStyle w:val="1111"/>
                    <w:bidi w:val="0"/>
                    <w:rPr>
                      <w:rFonts w:hint="eastAsia"/>
                    </w:rPr>
                  </w:pPr>
                  <w:r>
                    <w:rPr>
                      <w:rFonts w:hint="eastAsia"/>
                      <w:lang w:val="en-US" w:eastAsia="zh-CN"/>
                    </w:rPr>
                    <w:t>渣固</w:t>
                  </w:r>
                </w:p>
              </w:tc>
              <w:tc>
                <w:tcPr>
                  <w:tcW w:w="1526" w:type="pct"/>
                  <w:tcBorders>
                    <w:tl2br w:val="nil"/>
                    <w:tr2bl w:val="nil"/>
                  </w:tcBorders>
                  <w:shd w:val="clear" w:color="auto" w:fill="auto"/>
                  <w:noWrap/>
                  <w:vAlign w:val="center"/>
                </w:tcPr>
                <w:p w14:paraId="00ED98AF">
                  <w:pPr>
                    <w:pStyle w:val="1111"/>
                    <w:bidi w:val="0"/>
                    <w:rPr>
                      <w:rFonts w:hint="eastAsia"/>
                    </w:rPr>
                  </w:pPr>
                  <w:r>
                    <w:rPr>
                      <w:rFonts w:hint="eastAsia"/>
                      <w:lang w:val="en-US" w:eastAsia="zh-CN"/>
                    </w:rPr>
                    <w:t>金属粉尘</w:t>
                  </w:r>
                </w:p>
              </w:tc>
              <w:tc>
                <w:tcPr>
                  <w:tcW w:w="626" w:type="pct"/>
                  <w:tcBorders>
                    <w:tl2br w:val="nil"/>
                    <w:tr2bl w:val="nil"/>
                  </w:tcBorders>
                  <w:shd w:val="clear" w:color="auto" w:fill="auto"/>
                  <w:noWrap/>
                  <w:vAlign w:val="center"/>
                </w:tcPr>
                <w:p w14:paraId="76074059">
                  <w:pPr>
                    <w:pStyle w:val="1111"/>
                    <w:bidi w:val="0"/>
                    <w:rPr>
                      <w:rFonts w:hint="eastAsia"/>
                    </w:rPr>
                  </w:pPr>
                  <w:r>
                    <w:rPr>
                      <w:rFonts w:hint="eastAsia"/>
                      <w:lang w:val="en-US" w:eastAsia="zh-CN"/>
                    </w:rPr>
                    <w:t>T，R</w:t>
                  </w:r>
                </w:p>
              </w:tc>
            </w:tr>
            <w:tr w14:paraId="1BBDC3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4" w:type="pct"/>
                  <w:tcBorders>
                    <w:tl2br w:val="nil"/>
                    <w:tr2bl w:val="nil"/>
                  </w:tcBorders>
                  <w:shd w:val="clear" w:color="auto" w:fill="auto"/>
                  <w:noWrap/>
                  <w:vAlign w:val="center"/>
                </w:tcPr>
                <w:p w14:paraId="54147081">
                  <w:pPr>
                    <w:pStyle w:val="1111"/>
                    <w:bidi w:val="0"/>
                    <w:rPr>
                      <w:rFonts w:hint="eastAsia" w:ascii="Times New Roman" w:hAnsi="Times New Roman" w:eastAsia="宋体" w:cs="Times New Roman"/>
                      <w:kern w:val="0"/>
                      <w:sz w:val="21"/>
                      <w:szCs w:val="20"/>
                      <w:lang w:val="en-US" w:eastAsia="zh-CN" w:bidi="ar-SA"/>
                    </w:rPr>
                  </w:pPr>
                  <w:r>
                    <w:rPr>
                      <w:rFonts w:hint="eastAsia"/>
                      <w:lang w:val="en-US" w:eastAsia="zh-CN"/>
                    </w:rPr>
                    <w:t>41</w:t>
                  </w:r>
                </w:p>
              </w:tc>
              <w:tc>
                <w:tcPr>
                  <w:tcW w:w="1515" w:type="pct"/>
                  <w:tcBorders>
                    <w:tl2br w:val="nil"/>
                    <w:tr2bl w:val="nil"/>
                  </w:tcBorders>
                  <w:shd w:val="clear" w:color="auto" w:fill="auto"/>
                  <w:noWrap/>
                  <w:vAlign w:val="center"/>
                </w:tcPr>
                <w:p w14:paraId="1243FC2B">
                  <w:pPr>
                    <w:pStyle w:val="1111"/>
                    <w:bidi w:val="0"/>
                    <w:rPr>
                      <w:rFonts w:hint="eastAsia"/>
                    </w:rPr>
                  </w:pPr>
                  <w:r>
                    <w:rPr>
                      <w:rFonts w:hint="eastAsia"/>
                      <w:lang w:val="en-US" w:eastAsia="zh-CN"/>
                    </w:rPr>
                    <w:t>HW49其他废物</w:t>
                  </w:r>
                </w:p>
              </w:tc>
              <w:tc>
                <w:tcPr>
                  <w:tcW w:w="887" w:type="pct"/>
                  <w:tcBorders>
                    <w:tl2br w:val="nil"/>
                    <w:tr2bl w:val="nil"/>
                  </w:tcBorders>
                  <w:shd w:val="clear" w:color="auto" w:fill="auto"/>
                  <w:noWrap/>
                  <w:vAlign w:val="center"/>
                </w:tcPr>
                <w:p w14:paraId="3BCBE16E">
                  <w:pPr>
                    <w:pStyle w:val="1111"/>
                    <w:bidi w:val="0"/>
                    <w:rPr>
                      <w:rFonts w:hint="eastAsia"/>
                    </w:rPr>
                  </w:pPr>
                  <w:r>
                    <w:rPr>
                      <w:rFonts w:hint="eastAsia"/>
                      <w:lang w:val="en-US" w:eastAsia="zh-CN"/>
                    </w:rPr>
                    <w:t>固态</w:t>
                  </w:r>
                </w:p>
              </w:tc>
              <w:tc>
                <w:tcPr>
                  <w:tcW w:w="1526" w:type="pct"/>
                  <w:tcBorders>
                    <w:tl2br w:val="nil"/>
                    <w:tr2bl w:val="nil"/>
                  </w:tcBorders>
                  <w:shd w:val="clear" w:color="auto" w:fill="auto"/>
                  <w:noWrap/>
                  <w:vAlign w:val="center"/>
                </w:tcPr>
                <w:p w14:paraId="4899223B">
                  <w:pPr>
                    <w:pStyle w:val="1111"/>
                    <w:bidi w:val="0"/>
                    <w:rPr>
                      <w:rFonts w:hint="eastAsia"/>
                    </w:rPr>
                  </w:pPr>
                  <w:r>
                    <w:rPr>
                      <w:rFonts w:hint="eastAsia"/>
                      <w:lang w:val="en-US" w:eastAsia="zh-CN"/>
                    </w:rPr>
                    <w:t>有机物、有毒金属及化合物</w:t>
                  </w:r>
                </w:p>
              </w:tc>
              <w:tc>
                <w:tcPr>
                  <w:tcW w:w="626" w:type="pct"/>
                  <w:tcBorders>
                    <w:tl2br w:val="nil"/>
                    <w:tr2bl w:val="nil"/>
                  </w:tcBorders>
                  <w:shd w:val="clear" w:color="auto" w:fill="auto"/>
                  <w:noWrap/>
                  <w:vAlign w:val="center"/>
                </w:tcPr>
                <w:p w14:paraId="27BCB166">
                  <w:pPr>
                    <w:pStyle w:val="1111"/>
                    <w:bidi w:val="0"/>
                    <w:rPr>
                      <w:rFonts w:hint="eastAsia"/>
                    </w:rPr>
                  </w:pPr>
                  <w:r>
                    <w:rPr>
                      <w:rFonts w:hint="eastAsia"/>
                      <w:lang w:val="en-US" w:eastAsia="zh-CN"/>
                    </w:rPr>
                    <w:t>T/C/I/R/In</w:t>
                  </w:r>
                </w:p>
              </w:tc>
            </w:tr>
            <w:tr w14:paraId="0350DB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44" w:type="pct"/>
                  <w:tcBorders>
                    <w:tl2br w:val="nil"/>
                    <w:tr2bl w:val="nil"/>
                  </w:tcBorders>
                  <w:shd w:val="clear" w:color="auto" w:fill="auto"/>
                  <w:noWrap/>
                  <w:vAlign w:val="center"/>
                </w:tcPr>
                <w:p w14:paraId="14C62A74">
                  <w:pPr>
                    <w:pStyle w:val="1111"/>
                    <w:bidi w:val="0"/>
                    <w:rPr>
                      <w:rFonts w:hint="eastAsia" w:ascii="Times New Roman" w:hAnsi="Times New Roman" w:eastAsia="宋体" w:cs="Times New Roman"/>
                      <w:kern w:val="0"/>
                      <w:sz w:val="21"/>
                      <w:szCs w:val="20"/>
                      <w:lang w:val="en-US" w:eastAsia="zh-CN" w:bidi="ar-SA"/>
                    </w:rPr>
                  </w:pPr>
                  <w:r>
                    <w:rPr>
                      <w:rFonts w:hint="eastAsia"/>
                      <w:lang w:val="en-US" w:eastAsia="zh-CN"/>
                    </w:rPr>
                    <w:t>42</w:t>
                  </w:r>
                </w:p>
              </w:tc>
              <w:tc>
                <w:tcPr>
                  <w:tcW w:w="1515" w:type="pct"/>
                  <w:tcBorders>
                    <w:tl2br w:val="nil"/>
                    <w:tr2bl w:val="nil"/>
                  </w:tcBorders>
                  <w:shd w:val="clear" w:color="auto" w:fill="auto"/>
                  <w:noWrap/>
                  <w:vAlign w:val="center"/>
                </w:tcPr>
                <w:p w14:paraId="18D136EA">
                  <w:pPr>
                    <w:pStyle w:val="1111"/>
                    <w:bidi w:val="0"/>
                    <w:rPr>
                      <w:rFonts w:hint="eastAsia"/>
                    </w:rPr>
                  </w:pPr>
                  <w:r>
                    <w:rPr>
                      <w:rFonts w:hint="eastAsia"/>
                      <w:lang w:val="en-US" w:eastAsia="zh-CN"/>
                    </w:rPr>
                    <w:t>HW50废催化剂</w:t>
                  </w:r>
                </w:p>
              </w:tc>
              <w:tc>
                <w:tcPr>
                  <w:tcW w:w="887" w:type="pct"/>
                  <w:tcBorders>
                    <w:tl2br w:val="nil"/>
                    <w:tr2bl w:val="nil"/>
                  </w:tcBorders>
                  <w:shd w:val="clear" w:color="auto" w:fill="auto"/>
                  <w:noWrap/>
                  <w:vAlign w:val="center"/>
                </w:tcPr>
                <w:p w14:paraId="33990AAE">
                  <w:pPr>
                    <w:pStyle w:val="1111"/>
                    <w:bidi w:val="0"/>
                    <w:rPr>
                      <w:rFonts w:hint="eastAsia"/>
                    </w:rPr>
                  </w:pPr>
                  <w:r>
                    <w:rPr>
                      <w:rFonts w:hint="eastAsia"/>
                      <w:lang w:val="en-US" w:eastAsia="zh-CN"/>
                    </w:rPr>
                    <w:t>固态</w:t>
                  </w:r>
                </w:p>
              </w:tc>
              <w:tc>
                <w:tcPr>
                  <w:tcW w:w="1526" w:type="pct"/>
                  <w:tcBorders>
                    <w:tl2br w:val="nil"/>
                    <w:tr2bl w:val="nil"/>
                  </w:tcBorders>
                  <w:shd w:val="clear" w:color="auto" w:fill="auto"/>
                  <w:noWrap/>
                  <w:vAlign w:val="center"/>
                </w:tcPr>
                <w:p w14:paraId="331D6947">
                  <w:pPr>
                    <w:pStyle w:val="1111"/>
                    <w:bidi w:val="0"/>
                    <w:rPr>
                      <w:rFonts w:hint="eastAsia"/>
                    </w:rPr>
                  </w:pPr>
                  <w:r>
                    <w:rPr>
                      <w:rFonts w:hint="eastAsia"/>
                      <w:lang w:val="en-US" w:eastAsia="zh-CN"/>
                    </w:rPr>
                    <w:t>有毒金属及化合物</w:t>
                  </w:r>
                </w:p>
              </w:tc>
              <w:tc>
                <w:tcPr>
                  <w:tcW w:w="626" w:type="pct"/>
                  <w:tcBorders>
                    <w:tl2br w:val="nil"/>
                    <w:tr2bl w:val="nil"/>
                  </w:tcBorders>
                  <w:shd w:val="clear" w:color="auto" w:fill="auto"/>
                  <w:noWrap/>
                  <w:vAlign w:val="center"/>
                </w:tcPr>
                <w:p w14:paraId="332953D1">
                  <w:pPr>
                    <w:pStyle w:val="1111"/>
                    <w:bidi w:val="0"/>
                    <w:rPr>
                      <w:rFonts w:hint="eastAsia"/>
                    </w:rPr>
                  </w:pPr>
                  <w:r>
                    <w:rPr>
                      <w:rFonts w:hint="eastAsia"/>
                      <w:lang w:val="en-US" w:eastAsia="zh-CN"/>
                    </w:rPr>
                    <w:t>T</w:t>
                  </w:r>
                </w:p>
              </w:tc>
            </w:tr>
          </w:tbl>
          <w:p w14:paraId="4246197D">
            <w:pPr>
              <w:pStyle w:val="512"/>
              <w:bidi w:val="0"/>
              <w:rPr>
                <w:rFonts w:hint="default"/>
                <w:lang w:val="en-US" w:eastAsia="zh-CN"/>
              </w:rPr>
            </w:pPr>
            <w:r>
              <w:rPr>
                <w:rFonts w:hint="eastAsia"/>
                <w:lang w:val="en-US" w:eastAsia="zh-CN"/>
              </w:rPr>
              <w:t>根据园区提供的资料数据，中华药港主要危险废物的现状最大产生量见下表。</w:t>
            </w:r>
          </w:p>
          <w:p w14:paraId="0B2EE958">
            <w:pPr>
              <w:pStyle w:val="1111"/>
              <w:bidi w:val="0"/>
              <w:rPr>
                <w:rFonts w:hint="eastAsia"/>
                <w:lang w:val="en-US" w:eastAsia="zh-CN"/>
              </w:rPr>
            </w:pPr>
            <w:r>
              <w:rPr>
                <w:rFonts w:hint="eastAsia"/>
                <w:lang w:val="en-US" w:eastAsia="zh-CN"/>
              </w:rPr>
              <w:t>表2-7 中华药港主要危险废物最大产生量一览表</w:t>
            </w:r>
          </w:p>
          <w:tbl>
            <w:tblPr>
              <w:tblStyle w:val="78"/>
              <w:tblW w:w="79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2"/>
              <w:gridCol w:w="3830"/>
              <w:gridCol w:w="1295"/>
              <w:gridCol w:w="723"/>
              <w:gridCol w:w="723"/>
              <w:gridCol w:w="882"/>
            </w:tblGrid>
            <w:tr w14:paraId="5048AF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Align w:val="center"/>
                </w:tcPr>
                <w:p w14:paraId="072B9E07">
                  <w:pPr>
                    <w:pStyle w:val="1111"/>
                    <w:bidi w:val="0"/>
                    <w:jc w:val="center"/>
                    <w:rPr>
                      <w:rFonts w:hint="eastAsia"/>
                      <w:lang w:val="en-US" w:eastAsia="zh-CN"/>
                    </w:rPr>
                  </w:pPr>
                  <w:r>
                    <w:rPr>
                      <w:rFonts w:hint="eastAsia"/>
                      <w:lang w:val="en-US" w:eastAsia="zh-CN"/>
                    </w:rPr>
                    <w:t>序号</w:t>
                  </w:r>
                </w:p>
              </w:tc>
              <w:tc>
                <w:tcPr>
                  <w:tcW w:w="3830" w:type="dxa"/>
                  <w:vAlign w:val="center"/>
                </w:tcPr>
                <w:p w14:paraId="31B97CC2">
                  <w:pPr>
                    <w:pStyle w:val="1111"/>
                    <w:bidi w:val="0"/>
                    <w:jc w:val="center"/>
                    <w:rPr>
                      <w:rFonts w:hint="eastAsia"/>
                      <w:lang w:val="en-US" w:eastAsia="zh-CN"/>
                    </w:rPr>
                  </w:pPr>
                  <w:r>
                    <w:rPr>
                      <w:rFonts w:hint="eastAsia"/>
                      <w:lang w:val="en-US" w:eastAsia="zh-CN"/>
                    </w:rPr>
                    <w:t>危险废物类别</w:t>
                  </w:r>
                </w:p>
              </w:tc>
              <w:tc>
                <w:tcPr>
                  <w:tcW w:w="1295" w:type="dxa"/>
                  <w:vAlign w:val="center"/>
                </w:tcPr>
                <w:p w14:paraId="4025F713">
                  <w:pPr>
                    <w:pStyle w:val="1111"/>
                    <w:bidi w:val="0"/>
                    <w:jc w:val="center"/>
                    <w:rPr>
                      <w:rFonts w:hint="eastAsia"/>
                      <w:lang w:val="en-US" w:eastAsia="zh-CN"/>
                    </w:rPr>
                  </w:pPr>
                  <w:r>
                    <w:rPr>
                      <w:rFonts w:hint="eastAsia"/>
                      <w:lang w:val="en-US" w:eastAsia="zh-CN"/>
                    </w:rPr>
                    <w:t>年最大产生量（t）</w:t>
                  </w:r>
                </w:p>
              </w:tc>
              <w:tc>
                <w:tcPr>
                  <w:tcW w:w="723" w:type="dxa"/>
                  <w:vAlign w:val="center"/>
                </w:tcPr>
                <w:p w14:paraId="2446E4EB">
                  <w:pPr>
                    <w:pStyle w:val="1111"/>
                    <w:bidi w:val="0"/>
                    <w:jc w:val="center"/>
                    <w:rPr>
                      <w:rFonts w:hint="eastAsia"/>
                      <w:lang w:val="en-US" w:eastAsia="zh-CN"/>
                    </w:rPr>
                  </w:pPr>
                  <w:r>
                    <w:rPr>
                      <w:rFonts w:hint="eastAsia"/>
                      <w:lang w:val="en-US" w:eastAsia="zh-CN"/>
                    </w:rPr>
                    <w:t>包装方式</w:t>
                  </w:r>
                </w:p>
              </w:tc>
              <w:tc>
                <w:tcPr>
                  <w:tcW w:w="723" w:type="dxa"/>
                  <w:vAlign w:val="center"/>
                </w:tcPr>
                <w:p w14:paraId="48ED28B9">
                  <w:pPr>
                    <w:pStyle w:val="1111"/>
                    <w:bidi w:val="0"/>
                    <w:jc w:val="center"/>
                    <w:rPr>
                      <w:rFonts w:hint="eastAsia"/>
                      <w:lang w:val="en-US" w:eastAsia="zh-CN"/>
                    </w:rPr>
                  </w:pPr>
                  <w:r>
                    <w:rPr>
                      <w:rFonts w:hint="eastAsia"/>
                      <w:lang w:val="en-US" w:eastAsia="zh-CN"/>
                    </w:rPr>
                    <w:t>贮存条件</w:t>
                  </w:r>
                </w:p>
              </w:tc>
              <w:tc>
                <w:tcPr>
                  <w:tcW w:w="882" w:type="dxa"/>
                  <w:vAlign w:val="center"/>
                </w:tcPr>
                <w:p w14:paraId="50D8C1D0">
                  <w:pPr>
                    <w:pStyle w:val="1111"/>
                    <w:bidi w:val="0"/>
                    <w:jc w:val="center"/>
                    <w:rPr>
                      <w:rFonts w:hint="eastAsia"/>
                      <w:lang w:val="en-US" w:eastAsia="zh-CN"/>
                    </w:rPr>
                  </w:pPr>
                  <w:r>
                    <w:rPr>
                      <w:rFonts w:hint="eastAsia"/>
                      <w:lang w:val="en-US" w:eastAsia="zh-CN"/>
                    </w:rPr>
                    <w:t>处置去向</w:t>
                  </w:r>
                </w:p>
              </w:tc>
            </w:tr>
            <w:tr w14:paraId="64F40B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72" w:type="dxa"/>
                  <w:vAlign w:val="center"/>
                </w:tcPr>
                <w:p w14:paraId="6A4B1DC2">
                  <w:pPr>
                    <w:pStyle w:val="1111"/>
                    <w:bidi w:val="0"/>
                    <w:jc w:val="center"/>
                    <w:rPr>
                      <w:rFonts w:hint="default"/>
                      <w:lang w:val="en-US" w:eastAsia="zh-CN"/>
                    </w:rPr>
                  </w:pPr>
                  <w:r>
                    <w:rPr>
                      <w:rFonts w:hint="eastAsia"/>
                      <w:lang w:val="en-US" w:eastAsia="zh-CN"/>
                    </w:rPr>
                    <w:t>1</w:t>
                  </w:r>
                </w:p>
              </w:tc>
              <w:tc>
                <w:tcPr>
                  <w:tcW w:w="3830" w:type="dxa"/>
                  <w:vAlign w:val="center"/>
                </w:tcPr>
                <w:p w14:paraId="5DAE4549">
                  <w:pPr>
                    <w:pStyle w:val="1111"/>
                    <w:bidi w:val="0"/>
                    <w:jc w:val="center"/>
                    <w:rPr>
                      <w:rFonts w:hint="default"/>
                      <w:lang w:val="en-US" w:eastAsia="zh-CN"/>
                    </w:rPr>
                  </w:pPr>
                  <w:r>
                    <w:t>HW02医药废物</w:t>
                  </w:r>
                </w:p>
              </w:tc>
              <w:tc>
                <w:tcPr>
                  <w:tcW w:w="1295" w:type="dxa"/>
                  <w:vAlign w:val="center"/>
                </w:tcPr>
                <w:p w14:paraId="0721C2F2">
                  <w:pPr>
                    <w:pStyle w:val="1111"/>
                    <w:bidi w:val="0"/>
                    <w:jc w:val="center"/>
                    <w:rPr>
                      <w:rFonts w:hint="default"/>
                      <w:lang w:val="en-US" w:eastAsia="zh-CN"/>
                    </w:rPr>
                  </w:pPr>
                  <w:r>
                    <w:rPr>
                      <w:rFonts w:hint="eastAsia"/>
                      <w:lang w:val="en-US" w:eastAsia="zh-CN"/>
                    </w:rPr>
                    <w:t>7</w:t>
                  </w:r>
                </w:p>
              </w:tc>
              <w:tc>
                <w:tcPr>
                  <w:tcW w:w="723" w:type="dxa"/>
                  <w:vMerge w:val="restart"/>
                  <w:vAlign w:val="center"/>
                </w:tcPr>
                <w:p w14:paraId="642ECF5A">
                  <w:pPr>
                    <w:pStyle w:val="1111"/>
                    <w:bidi w:val="0"/>
                    <w:jc w:val="center"/>
                    <w:rPr>
                      <w:rFonts w:hint="eastAsia"/>
                      <w:lang w:val="en-US" w:eastAsia="zh-CN"/>
                    </w:rPr>
                  </w:pPr>
                  <w:r>
                    <w:rPr>
                      <w:rFonts w:hint="eastAsia"/>
                      <w:lang w:val="en-US" w:eastAsia="zh-CN"/>
                    </w:rPr>
                    <w:t>吨袋、吨桶等</w:t>
                  </w:r>
                </w:p>
              </w:tc>
              <w:tc>
                <w:tcPr>
                  <w:tcW w:w="723" w:type="dxa"/>
                  <w:vMerge w:val="restart"/>
                  <w:vAlign w:val="center"/>
                </w:tcPr>
                <w:p w14:paraId="1D44819B">
                  <w:pPr>
                    <w:pStyle w:val="1111"/>
                    <w:bidi w:val="0"/>
                    <w:jc w:val="center"/>
                    <w:rPr>
                      <w:rFonts w:hint="eastAsia"/>
                      <w:lang w:val="en-US" w:eastAsia="zh-CN"/>
                    </w:rPr>
                  </w:pPr>
                  <w:r>
                    <w:rPr>
                      <w:rFonts w:hint="eastAsia"/>
                      <w:lang w:val="en-US" w:eastAsia="zh-CN"/>
                    </w:rPr>
                    <w:t>常温、微负压</w:t>
                  </w:r>
                </w:p>
              </w:tc>
              <w:tc>
                <w:tcPr>
                  <w:tcW w:w="882" w:type="dxa"/>
                  <w:vMerge w:val="restart"/>
                  <w:vAlign w:val="center"/>
                </w:tcPr>
                <w:p w14:paraId="3AE37375">
                  <w:pPr>
                    <w:pStyle w:val="1111"/>
                    <w:bidi w:val="0"/>
                    <w:jc w:val="center"/>
                    <w:rPr>
                      <w:rFonts w:hint="eastAsia"/>
                      <w:lang w:val="en-US" w:eastAsia="zh-CN"/>
                    </w:rPr>
                  </w:pPr>
                  <w:r>
                    <w:rPr>
                      <w:rFonts w:hint="eastAsia"/>
                      <w:lang w:val="en-US" w:eastAsia="zh-CN"/>
                    </w:rPr>
                    <w:t>有资质单位接收处置</w:t>
                  </w:r>
                </w:p>
              </w:tc>
            </w:tr>
            <w:tr w14:paraId="181B8B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Align w:val="center"/>
                </w:tcPr>
                <w:p w14:paraId="6F9B42FC">
                  <w:pPr>
                    <w:pStyle w:val="1111"/>
                    <w:bidi w:val="0"/>
                    <w:jc w:val="center"/>
                    <w:rPr>
                      <w:rFonts w:hint="default"/>
                      <w:lang w:val="en-US" w:eastAsia="zh-CN"/>
                    </w:rPr>
                  </w:pPr>
                  <w:r>
                    <w:rPr>
                      <w:rFonts w:hint="eastAsia"/>
                      <w:lang w:val="en-US" w:eastAsia="zh-CN"/>
                    </w:rPr>
                    <w:t>2</w:t>
                  </w:r>
                </w:p>
              </w:tc>
              <w:tc>
                <w:tcPr>
                  <w:tcW w:w="3830" w:type="dxa"/>
                  <w:vAlign w:val="center"/>
                </w:tcPr>
                <w:p w14:paraId="0AB87212">
                  <w:pPr>
                    <w:pStyle w:val="1111"/>
                    <w:bidi w:val="0"/>
                    <w:jc w:val="center"/>
                    <w:rPr>
                      <w:rFonts w:hint="default"/>
                      <w:lang w:val="en-US" w:eastAsia="zh-CN"/>
                    </w:rPr>
                  </w:pPr>
                  <w:r>
                    <w:t>HW03废药物药品</w:t>
                  </w:r>
                </w:p>
              </w:tc>
              <w:tc>
                <w:tcPr>
                  <w:tcW w:w="1295" w:type="dxa"/>
                  <w:vAlign w:val="center"/>
                </w:tcPr>
                <w:p w14:paraId="1046D839">
                  <w:pPr>
                    <w:pStyle w:val="1111"/>
                    <w:bidi w:val="0"/>
                    <w:jc w:val="center"/>
                    <w:rPr>
                      <w:rFonts w:hint="default"/>
                      <w:lang w:val="en-US" w:eastAsia="zh-CN"/>
                    </w:rPr>
                  </w:pPr>
                  <w:r>
                    <w:rPr>
                      <w:rFonts w:hint="eastAsia"/>
                      <w:lang w:val="en-US" w:eastAsia="zh-CN"/>
                    </w:rPr>
                    <w:t>2</w:t>
                  </w:r>
                </w:p>
              </w:tc>
              <w:tc>
                <w:tcPr>
                  <w:tcW w:w="723" w:type="dxa"/>
                  <w:vMerge w:val="continue"/>
                  <w:vAlign w:val="center"/>
                </w:tcPr>
                <w:p w14:paraId="2773D67F">
                  <w:pPr>
                    <w:pStyle w:val="1111"/>
                    <w:bidi w:val="0"/>
                    <w:jc w:val="center"/>
                    <w:rPr>
                      <w:rFonts w:hint="eastAsia"/>
                      <w:lang w:val="en-US" w:eastAsia="zh-CN"/>
                    </w:rPr>
                  </w:pPr>
                </w:p>
              </w:tc>
              <w:tc>
                <w:tcPr>
                  <w:tcW w:w="723" w:type="dxa"/>
                  <w:vMerge w:val="continue"/>
                  <w:vAlign w:val="center"/>
                </w:tcPr>
                <w:p w14:paraId="135FA392">
                  <w:pPr>
                    <w:pStyle w:val="1111"/>
                    <w:bidi w:val="0"/>
                    <w:jc w:val="center"/>
                    <w:rPr>
                      <w:rFonts w:hint="eastAsia"/>
                      <w:lang w:val="en-US" w:eastAsia="zh-CN"/>
                    </w:rPr>
                  </w:pPr>
                </w:p>
              </w:tc>
              <w:tc>
                <w:tcPr>
                  <w:tcW w:w="882" w:type="dxa"/>
                  <w:vMerge w:val="continue"/>
                  <w:vAlign w:val="center"/>
                </w:tcPr>
                <w:p w14:paraId="7D88ED4C">
                  <w:pPr>
                    <w:pStyle w:val="1111"/>
                    <w:bidi w:val="0"/>
                    <w:jc w:val="center"/>
                    <w:rPr>
                      <w:rFonts w:hint="eastAsia"/>
                      <w:lang w:val="en-US" w:eastAsia="zh-CN"/>
                    </w:rPr>
                  </w:pPr>
                </w:p>
              </w:tc>
            </w:tr>
            <w:tr w14:paraId="556361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vAlign w:val="center"/>
                </w:tcPr>
                <w:p w14:paraId="082FCF50">
                  <w:pPr>
                    <w:pStyle w:val="1111"/>
                    <w:bidi w:val="0"/>
                    <w:jc w:val="center"/>
                    <w:rPr>
                      <w:rFonts w:hint="default"/>
                      <w:lang w:val="en-US" w:eastAsia="zh-CN"/>
                    </w:rPr>
                  </w:pPr>
                  <w:r>
                    <w:rPr>
                      <w:rFonts w:hint="eastAsia"/>
                      <w:lang w:val="en-US" w:eastAsia="zh-CN"/>
                    </w:rPr>
                    <w:t>3</w:t>
                  </w:r>
                </w:p>
              </w:tc>
              <w:tc>
                <w:tcPr>
                  <w:tcW w:w="3830" w:type="dxa"/>
                  <w:vAlign w:val="center"/>
                </w:tcPr>
                <w:p w14:paraId="482695D9">
                  <w:pPr>
                    <w:pStyle w:val="1111"/>
                    <w:bidi w:val="0"/>
                    <w:jc w:val="center"/>
                    <w:rPr>
                      <w:rFonts w:hint="default"/>
                      <w:lang w:val="en-US" w:eastAsia="zh-CN"/>
                    </w:rPr>
                  </w:pPr>
                  <w:r>
                    <w:t>HW06废有机溶剂与含有机溶剂废物</w:t>
                  </w:r>
                </w:p>
              </w:tc>
              <w:tc>
                <w:tcPr>
                  <w:tcW w:w="1295" w:type="dxa"/>
                  <w:vAlign w:val="center"/>
                </w:tcPr>
                <w:p w14:paraId="71647707">
                  <w:pPr>
                    <w:pStyle w:val="1111"/>
                    <w:bidi w:val="0"/>
                    <w:jc w:val="center"/>
                    <w:rPr>
                      <w:rFonts w:hint="default"/>
                      <w:lang w:val="en-US" w:eastAsia="zh-CN"/>
                    </w:rPr>
                  </w:pPr>
                  <w:r>
                    <w:rPr>
                      <w:rFonts w:hint="eastAsia"/>
                      <w:lang w:val="en-US" w:eastAsia="zh-CN"/>
                    </w:rPr>
                    <w:t>20</w:t>
                  </w:r>
                </w:p>
              </w:tc>
              <w:tc>
                <w:tcPr>
                  <w:tcW w:w="723" w:type="dxa"/>
                  <w:vMerge w:val="continue"/>
                  <w:vAlign w:val="center"/>
                </w:tcPr>
                <w:p w14:paraId="4A2F9CE7">
                  <w:pPr>
                    <w:pStyle w:val="1111"/>
                    <w:bidi w:val="0"/>
                    <w:jc w:val="center"/>
                    <w:rPr>
                      <w:rFonts w:hint="eastAsia"/>
                      <w:lang w:val="en-US" w:eastAsia="zh-CN"/>
                    </w:rPr>
                  </w:pPr>
                </w:p>
              </w:tc>
              <w:tc>
                <w:tcPr>
                  <w:tcW w:w="723" w:type="dxa"/>
                  <w:vMerge w:val="continue"/>
                  <w:vAlign w:val="center"/>
                </w:tcPr>
                <w:p w14:paraId="5C6B9249">
                  <w:pPr>
                    <w:pStyle w:val="1111"/>
                    <w:bidi w:val="0"/>
                    <w:jc w:val="center"/>
                    <w:rPr>
                      <w:rFonts w:hint="eastAsia"/>
                      <w:lang w:val="en-US" w:eastAsia="zh-CN"/>
                    </w:rPr>
                  </w:pPr>
                </w:p>
              </w:tc>
              <w:tc>
                <w:tcPr>
                  <w:tcW w:w="882" w:type="dxa"/>
                  <w:vMerge w:val="continue"/>
                  <w:vAlign w:val="center"/>
                </w:tcPr>
                <w:p w14:paraId="41C14485">
                  <w:pPr>
                    <w:pStyle w:val="1111"/>
                    <w:bidi w:val="0"/>
                    <w:jc w:val="center"/>
                    <w:rPr>
                      <w:rFonts w:hint="eastAsia"/>
                      <w:lang w:val="en-US" w:eastAsia="zh-CN"/>
                    </w:rPr>
                  </w:pPr>
                </w:p>
              </w:tc>
            </w:tr>
            <w:tr w14:paraId="4A8081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shd w:val="clear" w:color="auto" w:fill="auto"/>
                  <w:vAlign w:val="center"/>
                </w:tcPr>
                <w:p w14:paraId="4B6BDC73">
                  <w:pPr>
                    <w:pStyle w:val="1111"/>
                    <w:bidi w:val="0"/>
                    <w:jc w:val="center"/>
                    <w:rPr>
                      <w:rFonts w:hint="eastAsia" w:ascii="Times New Roman" w:hAnsi="Times New Roman" w:eastAsia="宋体" w:cs="Times New Roman"/>
                      <w:kern w:val="0"/>
                      <w:sz w:val="21"/>
                      <w:szCs w:val="20"/>
                      <w:lang w:val="en-US" w:eastAsia="zh-CN" w:bidi="ar-SA"/>
                    </w:rPr>
                  </w:pPr>
                  <w:r>
                    <w:rPr>
                      <w:rFonts w:hint="eastAsia"/>
                      <w:lang w:val="en-US" w:eastAsia="zh-CN"/>
                    </w:rPr>
                    <w:t>4</w:t>
                  </w:r>
                </w:p>
              </w:tc>
              <w:tc>
                <w:tcPr>
                  <w:tcW w:w="3830" w:type="dxa"/>
                  <w:vAlign w:val="center"/>
                </w:tcPr>
                <w:p w14:paraId="19DCEE53">
                  <w:pPr>
                    <w:pStyle w:val="1111"/>
                    <w:bidi w:val="0"/>
                    <w:jc w:val="center"/>
                    <w:rPr>
                      <w:rFonts w:hint="eastAsia"/>
                      <w:lang w:val="en-US" w:eastAsia="zh-CN"/>
                    </w:rPr>
                  </w:pPr>
                  <w:r>
                    <w:rPr>
                      <w:rFonts w:hint="eastAsia"/>
                      <w:lang w:val="en-US" w:eastAsia="zh-CN"/>
                    </w:rPr>
                    <w:t>HW08废矿物油与含矿物油废物</w:t>
                  </w:r>
                </w:p>
              </w:tc>
              <w:tc>
                <w:tcPr>
                  <w:tcW w:w="1295" w:type="dxa"/>
                  <w:vAlign w:val="center"/>
                </w:tcPr>
                <w:p w14:paraId="049F40DA">
                  <w:pPr>
                    <w:pStyle w:val="1111"/>
                    <w:bidi w:val="0"/>
                    <w:jc w:val="center"/>
                    <w:rPr>
                      <w:rFonts w:hint="default"/>
                      <w:lang w:val="en-US" w:eastAsia="zh-CN"/>
                    </w:rPr>
                  </w:pPr>
                  <w:r>
                    <w:rPr>
                      <w:rFonts w:hint="eastAsia"/>
                      <w:lang w:val="en-US" w:eastAsia="zh-CN"/>
                    </w:rPr>
                    <w:t>1</w:t>
                  </w:r>
                </w:p>
              </w:tc>
              <w:tc>
                <w:tcPr>
                  <w:tcW w:w="723" w:type="dxa"/>
                  <w:vMerge w:val="continue"/>
                  <w:vAlign w:val="center"/>
                </w:tcPr>
                <w:p w14:paraId="4E3E8FC4">
                  <w:pPr>
                    <w:pStyle w:val="1111"/>
                    <w:bidi w:val="0"/>
                    <w:jc w:val="center"/>
                    <w:rPr>
                      <w:rFonts w:hint="eastAsia"/>
                      <w:lang w:val="en-US" w:eastAsia="zh-CN"/>
                    </w:rPr>
                  </w:pPr>
                </w:p>
              </w:tc>
              <w:tc>
                <w:tcPr>
                  <w:tcW w:w="723" w:type="dxa"/>
                  <w:vMerge w:val="continue"/>
                  <w:vAlign w:val="center"/>
                </w:tcPr>
                <w:p w14:paraId="0D3C8775">
                  <w:pPr>
                    <w:pStyle w:val="1111"/>
                    <w:bidi w:val="0"/>
                    <w:jc w:val="center"/>
                    <w:rPr>
                      <w:rFonts w:hint="eastAsia"/>
                      <w:lang w:val="en-US" w:eastAsia="zh-CN"/>
                    </w:rPr>
                  </w:pPr>
                </w:p>
              </w:tc>
              <w:tc>
                <w:tcPr>
                  <w:tcW w:w="882" w:type="dxa"/>
                  <w:vMerge w:val="continue"/>
                  <w:vAlign w:val="center"/>
                </w:tcPr>
                <w:p w14:paraId="7FB717D7">
                  <w:pPr>
                    <w:pStyle w:val="1111"/>
                    <w:bidi w:val="0"/>
                    <w:jc w:val="center"/>
                    <w:rPr>
                      <w:rFonts w:hint="eastAsia"/>
                      <w:lang w:val="en-US" w:eastAsia="zh-CN"/>
                    </w:rPr>
                  </w:pPr>
                </w:p>
              </w:tc>
            </w:tr>
            <w:tr w14:paraId="52C8BB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shd w:val="clear" w:color="auto" w:fill="auto"/>
                  <w:vAlign w:val="center"/>
                </w:tcPr>
                <w:p w14:paraId="17090A16">
                  <w:pPr>
                    <w:pStyle w:val="1111"/>
                    <w:bidi w:val="0"/>
                    <w:jc w:val="center"/>
                    <w:rPr>
                      <w:rFonts w:hint="default"/>
                      <w:lang w:val="en-US" w:eastAsia="zh-CN"/>
                    </w:rPr>
                  </w:pPr>
                  <w:r>
                    <w:rPr>
                      <w:rFonts w:hint="eastAsia"/>
                      <w:lang w:val="en-US" w:eastAsia="zh-CN"/>
                    </w:rPr>
                    <w:t>5</w:t>
                  </w:r>
                </w:p>
              </w:tc>
              <w:tc>
                <w:tcPr>
                  <w:tcW w:w="3830" w:type="dxa"/>
                  <w:vAlign w:val="center"/>
                </w:tcPr>
                <w:p w14:paraId="62E77A1A">
                  <w:pPr>
                    <w:pStyle w:val="1111"/>
                    <w:bidi w:val="0"/>
                    <w:jc w:val="center"/>
                    <w:rPr>
                      <w:rFonts w:hint="eastAsia"/>
                      <w:lang w:val="en-US" w:eastAsia="zh-CN"/>
                    </w:rPr>
                  </w:pPr>
                  <w:r>
                    <w:rPr>
                      <w:rFonts w:hint="eastAsia"/>
                    </w:rPr>
                    <w:t>HW09油/水、烃/水混合物或乳化液</w:t>
                  </w:r>
                </w:p>
              </w:tc>
              <w:tc>
                <w:tcPr>
                  <w:tcW w:w="1295" w:type="dxa"/>
                  <w:vAlign w:val="center"/>
                </w:tcPr>
                <w:p w14:paraId="7F07D188">
                  <w:pPr>
                    <w:pStyle w:val="1111"/>
                    <w:bidi w:val="0"/>
                    <w:jc w:val="center"/>
                    <w:rPr>
                      <w:rFonts w:hint="default"/>
                      <w:lang w:val="en-US" w:eastAsia="zh-CN"/>
                    </w:rPr>
                  </w:pPr>
                  <w:r>
                    <w:rPr>
                      <w:rFonts w:hint="eastAsia"/>
                      <w:lang w:val="en-US" w:eastAsia="zh-CN"/>
                    </w:rPr>
                    <w:t>4</w:t>
                  </w:r>
                </w:p>
              </w:tc>
              <w:tc>
                <w:tcPr>
                  <w:tcW w:w="723" w:type="dxa"/>
                  <w:vMerge w:val="continue"/>
                  <w:vAlign w:val="center"/>
                </w:tcPr>
                <w:p w14:paraId="01B21436">
                  <w:pPr>
                    <w:pStyle w:val="1111"/>
                    <w:bidi w:val="0"/>
                    <w:jc w:val="center"/>
                    <w:rPr>
                      <w:rFonts w:hint="eastAsia"/>
                      <w:lang w:val="en-US" w:eastAsia="zh-CN"/>
                    </w:rPr>
                  </w:pPr>
                </w:p>
              </w:tc>
              <w:tc>
                <w:tcPr>
                  <w:tcW w:w="723" w:type="dxa"/>
                  <w:vMerge w:val="continue"/>
                  <w:vAlign w:val="center"/>
                </w:tcPr>
                <w:p w14:paraId="68458934">
                  <w:pPr>
                    <w:pStyle w:val="1111"/>
                    <w:bidi w:val="0"/>
                    <w:jc w:val="center"/>
                    <w:rPr>
                      <w:rFonts w:hint="eastAsia"/>
                      <w:lang w:val="en-US" w:eastAsia="zh-CN"/>
                    </w:rPr>
                  </w:pPr>
                </w:p>
              </w:tc>
              <w:tc>
                <w:tcPr>
                  <w:tcW w:w="882" w:type="dxa"/>
                  <w:vMerge w:val="continue"/>
                  <w:vAlign w:val="center"/>
                </w:tcPr>
                <w:p w14:paraId="1CC58B9D">
                  <w:pPr>
                    <w:pStyle w:val="1111"/>
                    <w:bidi w:val="0"/>
                    <w:jc w:val="center"/>
                    <w:rPr>
                      <w:rFonts w:hint="eastAsia"/>
                      <w:lang w:val="en-US" w:eastAsia="zh-CN"/>
                    </w:rPr>
                  </w:pPr>
                </w:p>
              </w:tc>
            </w:tr>
            <w:tr w14:paraId="162E86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shd w:val="clear" w:color="auto" w:fill="auto"/>
                  <w:vAlign w:val="center"/>
                </w:tcPr>
                <w:p w14:paraId="64DF55BC">
                  <w:pPr>
                    <w:pStyle w:val="1111"/>
                    <w:bidi w:val="0"/>
                    <w:jc w:val="center"/>
                    <w:rPr>
                      <w:rFonts w:hint="default"/>
                      <w:lang w:val="en-US" w:eastAsia="zh-CN"/>
                    </w:rPr>
                  </w:pPr>
                  <w:r>
                    <w:rPr>
                      <w:rFonts w:hint="eastAsia"/>
                      <w:lang w:val="en-US" w:eastAsia="zh-CN"/>
                    </w:rPr>
                    <w:t>6</w:t>
                  </w:r>
                </w:p>
              </w:tc>
              <w:tc>
                <w:tcPr>
                  <w:tcW w:w="3830" w:type="dxa"/>
                  <w:vAlign w:val="center"/>
                </w:tcPr>
                <w:p w14:paraId="3B8D9076">
                  <w:pPr>
                    <w:pStyle w:val="1111"/>
                    <w:bidi w:val="0"/>
                    <w:jc w:val="center"/>
                    <w:rPr>
                      <w:rFonts w:hint="eastAsia"/>
                      <w:lang w:val="en-US" w:eastAsia="zh-CN"/>
                    </w:rPr>
                  </w:pPr>
                  <w:r>
                    <w:rPr>
                      <w:rFonts w:hint="eastAsia"/>
                    </w:rPr>
                    <w:t>HW12染料、涂料废物</w:t>
                  </w:r>
                </w:p>
              </w:tc>
              <w:tc>
                <w:tcPr>
                  <w:tcW w:w="1295" w:type="dxa"/>
                  <w:vAlign w:val="center"/>
                </w:tcPr>
                <w:p w14:paraId="5BC9BFFB">
                  <w:pPr>
                    <w:pStyle w:val="1111"/>
                    <w:bidi w:val="0"/>
                    <w:jc w:val="center"/>
                    <w:rPr>
                      <w:rFonts w:hint="default"/>
                      <w:lang w:val="en-US" w:eastAsia="zh-CN"/>
                    </w:rPr>
                  </w:pPr>
                  <w:r>
                    <w:rPr>
                      <w:rFonts w:hint="eastAsia"/>
                      <w:lang w:val="en-US" w:eastAsia="zh-CN"/>
                    </w:rPr>
                    <w:t>4</w:t>
                  </w:r>
                </w:p>
              </w:tc>
              <w:tc>
                <w:tcPr>
                  <w:tcW w:w="723" w:type="dxa"/>
                  <w:vMerge w:val="continue"/>
                  <w:vAlign w:val="center"/>
                </w:tcPr>
                <w:p w14:paraId="0A49A39A">
                  <w:pPr>
                    <w:pStyle w:val="1111"/>
                    <w:bidi w:val="0"/>
                    <w:jc w:val="center"/>
                    <w:rPr>
                      <w:rFonts w:hint="eastAsia"/>
                      <w:lang w:val="en-US" w:eastAsia="zh-CN"/>
                    </w:rPr>
                  </w:pPr>
                </w:p>
              </w:tc>
              <w:tc>
                <w:tcPr>
                  <w:tcW w:w="723" w:type="dxa"/>
                  <w:vMerge w:val="continue"/>
                  <w:vAlign w:val="center"/>
                </w:tcPr>
                <w:p w14:paraId="19EC2103">
                  <w:pPr>
                    <w:pStyle w:val="1111"/>
                    <w:bidi w:val="0"/>
                    <w:jc w:val="center"/>
                    <w:rPr>
                      <w:rFonts w:hint="eastAsia"/>
                      <w:lang w:val="en-US" w:eastAsia="zh-CN"/>
                    </w:rPr>
                  </w:pPr>
                </w:p>
              </w:tc>
              <w:tc>
                <w:tcPr>
                  <w:tcW w:w="882" w:type="dxa"/>
                  <w:vMerge w:val="continue"/>
                  <w:vAlign w:val="center"/>
                </w:tcPr>
                <w:p w14:paraId="390C7669">
                  <w:pPr>
                    <w:pStyle w:val="1111"/>
                    <w:bidi w:val="0"/>
                    <w:jc w:val="center"/>
                    <w:rPr>
                      <w:rFonts w:hint="eastAsia"/>
                      <w:lang w:val="en-US" w:eastAsia="zh-CN"/>
                    </w:rPr>
                  </w:pPr>
                </w:p>
              </w:tc>
            </w:tr>
            <w:tr w14:paraId="361B41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shd w:val="clear" w:color="auto" w:fill="auto"/>
                  <w:vAlign w:val="center"/>
                </w:tcPr>
                <w:p w14:paraId="5D54B32D">
                  <w:pPr>
                    <w:pStyle w:val="1111"/>
                    <w:bidi w:val="0"/>
                    <w:jc w:val="center"/>
                    <w:rPr>
                      <w:rFonts w:hint="default"/>
                      <w:lang w:val="en-US" w:eastAsia="zh-CN"/>
                    </w:rPr>
                  </w:pPr>
                  <w:r>
                    <w:rPr>
                      <w:rFonts w:hint="eastAsia"/>
                      <w:lang w:val="en-US" w:eastAsia="zh-CN"/>
                    </w:rPr>
                    <w:t>7</w:t>
                  </w:r>
                </w:p>
              </w:tc>
              <w:tc>
                <w:tcPr>
                  <w:tcW w:w="3830" w:type="dxa"/>
                  <w:shd w:val="clear" w:color="auto" w:fill="auto"/>
                  <w:vAlign w:val="center"/>
                </w:tcPr>
                <w:p w14:paraId="5FE2F46A">
                  <w:pPr>
                    <w:pStyle w:val="1111"/>
                    <w:rPr>
                      <w:rFonts w:hint="eastAsia" w:ascii="Times New Roman" w:hAnsi="Times New Roman" w:eastAsia="宋体" w:cs="Times New Roman"/>
                      <w:kern w:val="0"/>
                      <w:sz w:val="21"/>
                      <w:szCs w:val="20"/>
                      <w:lang w:val="en-US" w:eastAsia="zh-CN" w:bidi="ar-SA"/>
                    </w:rPr>
                  </w:pPr>
                  <w:r>
                    <w:rPr>
                      <w:rFonts w:hint="eastAsia"/>
                    </w:rPr>
                    <w:t>HW13有机树脂类废物</w:t>
                  </w:r>
                </w:p>
              </w:tc>
              <w:tc>
                <w:tcPr>
                  <w:tcW w:w="1295" w:type="dxa"/>
                  <w:vAlign w:val="center"/>
                </w:tcPr>
                <w:p w14:paraId="6CF55C1E">
                  <w:pPr>
                    <w:pStyle w:val="1111"/>
                    <w:bidi w:val="0"/>
                    <w:jc w:val="center"/>
                    <w:rPr>
                      <w:rFonts w:hint="default"/>
                      <w:lang w:val="en-US" w:eastAsia="zh-CN"/>
                    </w:rPr>
                  </w:pPr>
                  <w:r>
                    <w:rPr>
                      <w:rFonts w:hint="eastAsia"/>
                      <w:lang w:val="en-US" w:eastAsia="zh-CN"/>
                    </w:rPr>
                    <w:t>6</w:t>
                  </w:r>
                </w:p>
              </w:tc>
              <w:tc>
                <w:tcPr>
                  <w:tcW w:w="723" w:type="dxa"/>
                  <w:vMerge w:val="continue"/>
                  <w:vAlign w:val="center"/>
                </w:tcPr>
                <w:p w14:paraId="1D760130">
                  <w:pPr>
                    <w:pStyle w:val="1111"/>
                    <w:bidi w:val="0"/>
                    <w:jc w:val="center"/>
                    <w:rPr>
                      <w:rFonts w:hint="eastAsia"/>
                      <w:lang w:val="en-US" w:eastAsia="zh-CN"/>
                    </w:rPr>
                  </w:pPr>
                </w:p>
              </w:tc>
              <w:tc>
                <w:tcPr>
                  <w:tcW w:w="723" w:type="dxa"/>
                  <w:vMerge w:val="continue"/>
                  <w:vAlign w:val="center"/>
                </w:tcPr>
                <w:p w14:paraId="0093552B">
                  <w:pPr>
                    <w:pStyle w:val="1111"/>
                    <w:bidi w:val="0"/>
                    <w:jc w:val="center"/>
                    <w:rPr>
                      <w:rFonts w:hint="eastAsia"/>
                      <w:lang w:val="en-US" w:eastAsia="zh-CN"/>
                    </w:rPr>
                  </w:pPr>
                </w:p>
              </w:tc>
              <w:tc>
                <w:tcPr>
                  <w:tcW w:w="882" w:type="dxa"/>
                  <w:vMerge w:val="continue"/>
                  <w:vAlign w:val="center"/>
                </w:tcPr>
                <w:p w14:paraId="3FA63C8F">
                  <w:pPr>
                    <w:pStyle w:val="1111"/>
                    <w:bidi w:val="0"/>
                    <w:jc w:val="center"/>
                    <w:rPr>
                      <w:rFonts w:hint="eastAsia"/>
                      <w:lang w:val="en-US" w:eastAsia="zh-CN"/>
                    </w:rPr>
                  </w:pPr>
                </w:p>
              </w:tc>
            </w:tr>
            <w:tr w14:paraId="6D7318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shd w:val="clear" w:color="auto" w:fill="auto"/>
                  <w:vAlign w:val="center"/>
                </w:tcPr>
                <w:p w14:paraId="2BA928F5">
                  <w:pPr>
                    <w:pStyle w:val="1111"/>
                    <w:bidi w:val="0"/>
                    <w:jc w:val="center"/>
                    <w:rPr>
                      <w:rFonts w:hint="default" w:ascii="Times New Roman" w:hAnsi="Times New Roman" w:eastAsia="宋体" w:cs="Times New Roman"/>
                      <w:kern w:val="0"/>
                      <w:sz w:val="21"/>
                      <w:szCs w:val="20"/>
                      <w:lang w:val="en-US" w:eastAsia="zh-CN" w:bidi="ar-SA"/>
                    </w:rPr>
                  </w:pPr>
                  <w:r>
                    <w:rPr>
                      <w:rFonts w:hint="eastAsia"/>
                      <w:lang w:val="en-US" w:eastAsia="zh-CN"/>
                    </w:rPr>
                    <w:t>8</w:t>
                  </w:r>
                </w:p>
              </w:tc>
              <w:tc>
                <w:tcPr>
                  <w:tcW w:w="3830" w:type="dxa"/>
                  <w:vAlign w:val="center"/>
                </w:tcPr>
                <w:p w14:paraId="3CC6184F">
                  <w:pPr>
                    <w:pStyle w:val="1111"/>
                    <w:bidi w:val="0"/>
                    <w:jc w:val="center"/>
                    <w:rPr>
                      <w:rFonts w:hint="default"/>
                      <w:lang w:val="en-US" w:eastAsia="zh-CN"/>
                    </w:rPr>
                  </w:pPr>
                  <w:r>
                    <w:t>HW29含汞废物</w:t>
                  </w:r>
                </w:p>
              </w:tc>
              <w:tc>
                <w:tcPr>
                  <w:tcW w:w="1295" w:type="dxa"/>
                  <w:vAlign w:val="center"/>
                </w:tcPr>
                <w:p w14:paraId="7179851A">
                  <w:pPr>
                    <w:pStyle w:val="1111"/>
                    <w:bidi w:val="0"/>
                    <w:jc w:val="center"/>
                    <w:rPr>
                      <w:rFonts w:hint="default"/>
                      <w:lang w:val="en-US" w:eastAsia="zh-CN"/>
                    </w:rPr>
                  </w:pPr>
                  <w:r>
                    <w:rPr>
                      <w:rFonts w:hint="eastAsia"/>
                      <w:lang w:val="en-US" w:eastAsia="zh-CN"/>
                    </w:rPr>
                    <w:t>0.1</w:t>
                  </w:r>
                </w:p>
              </w:tc>
              <w:tc>
                <w:tcPr>
                  <w:tcW w:w="723" w:type="dxa"/>
                  <w:vMerge w:val="continue"/>
                  <w:vAlign w:val="center"/>
                </w:tcPr>
                <w:p w14:paraId="6C46906F">
                  <w:pPr>
                    <w:pStyle w:val="1111"/>
                    <w:bidi w:val="0"/>
                    <w:jc w:val="center"/>
                    <w:rPr>
                      <w:rFonts w:hint="eastAsia"/>
                      <w:lang w:val="en-US" w:eastAsia="zh-CN"/>
                    </w:rPr>
                  </w:pPr>
                </w:p>
              </w:tc>
              <w:tc>
                <w:tcPr>
                  <w:tcW w:w="723" w:type="dxa"/>
                  <w:vMerge w:val="continue"/>
                  <w:vAlign w:val="center"/>
                </w:tcPr>
                <w:p w14:paraId="111C96A8">
                  <w:pPr>
                    <w:pStyle w:val="1111"/>
                    <w:bidi w:val="0"/>
                    <w:jc w:val="center"/>
                    <w:rPr>
                      <w:rFonts w:hint="eastAsia"/>
                      <w:lang w:val="en-US" w:eastAsia="zh-CN"/>
                    </w:rPr>
                  </w:pPr>
                </w:p>
              </w:tc>
              <w:tc>
                <w:tcPr>
                  <w:tcW w:w="882" w:type="dxa"/>
                  <w:vMerge w:val="continue"/>
                  <w:vAlign w:val="center"/>
                </w:tcPr>
                <w:p w14:paraId="55E1A0D6">
                  <w:pPr>
                    <w:pStyle w:val="1111"/>
                    <w:bidi w:val="0"/>
                    <w:jc w:val="center"/>
                    <w:rPr>
                      <w:rFonts w:hint="eastAsia"/>
                      <w:lang w:val="en-US" w:eastAsia="zh-CN"/>
                    </w:rPr>
                  </w:pPr>
                </w:p>
              </w:tc>
            </w:tr>
            <w:tr w14:paraId="153702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 w:type="dxa"/>
                  <w:shd w:val="clear" w:color="auto" w:fill="auto"/>
                  <w:vAlign w:val="center"/>
                </w:tcPr>
                <w:p w14:paraId="711D27E2">
                  <w:pPr>
                    <w:pStyle w:val="1111"/>
                    <w:bidi w:val="0"/>
                    <w:jc w:val="center"/>
                    <w:rPr>
                      <w:rFonts w:hint="default" w:ascii="Times New Roman" w:hAnsi="Times New Roman" w:eastAsia="宋体" w:cs="Times New Roman"/>
                      <w:kern w:val="0"/>
                      <w:sz w:val="21"/>
                      <w:szCs w:val="20"/>
                      <w:lang w:val="en-US" w:eastAsia="zh-CN" w:bidi="ar-SA"/>
                    </w:rPr>
                  </w:pPr>
                  <w:r>
                    <w:rPr>
                      <w:rFonts w:hint="eastAsia"/>
                      <w:lang w:val="en-US" w:eastAsia="zh-CN"/>
                    </w:rPr>
                    <w:t>9</w:t>
                  </w:r>
                </w:p>
              </w:tc>
              <w:tc>
                <w:tcPr>
                  <w:tcW w:w="3830" w:type="dxa"/>
                  <w:vAlign w:val="center"/>
                </w:tcPr>
                <w:p w14:paraId="0E09D9B2">
                  <w:pPr>
                    <w:bidi w:val="0"/>
                    <w:jc w:val="center"/>
                    <w:rPr>
                      <w:rFonts w:hint="default" w:ascii="Times New Roman" w:hAnsi="Times New Roman" w:eastAsia="宋体" w:cs="Times New Roman"/>
                      <w:kern w:val="2"/>
                      <w:sz w:val="21"/>
                      <w:szCs w:val="24"/>
                      <w:lang w:val="en-US" w:eastAsia="zh-CN" w:bidi="ar-SA"/>
                    </w:rPr>
                  </w:pPr>
                  <w:r>
                    <w:t>HW49其它废物</w:t>
                  </w:r>
                </w:p>
              </w:tc>
              <w:tc>
                <w:tcPr>
                  <w:tcW w:w="1295" w:type="dxa"/>
                  <w:vAlign w:val="center"/>
                </w:tcPr>
                <w:p w14:paraId="7DE6FB04">
                  <w:pPr>
                    <w:pStyle w:val="1111"/>
                    <w:bidi w:val="0"/>
                    <w:jc w:val="center"/>
                    <w:rPr>
                      <w:rFonts w:hint="default"/>
                      <w:lang w:val="en-US" w:eastAsia="zh-CN"/>
                    </w:rPr>
                  </w:pPr>
                  <w:r>
                    <w:rPr>
                      <w:rFonts w:hint="eastAsia"/>
                      <w:lang w:val="en-US" w:eastAsia="zh-CN"/>
                    </w:rPr>
                    <w:t>92.9</w:t>
                  </w:r>
                </w:p>
              </w:tc>
              <w:tc>
                <w:tcPr>
                  <w:tcW w:w="723" w:type="dxa"/>
                  <w:vMerge w:val="continue"/>
                  <w:vAlign w:val="center"/>
                </w:tcPr>
                <w:p w14:paraId="0B649700">
                  <w:pPr>
                    <w:pStyle w:val="1111"/>
                    <w:bidi w:val="0"/>
                    <w:jc w:val="center"/>
                    <w:rPr>
                      <w:rFonts w:hint="eastAsia"/>
                      <w:lang w:val="en-US" w:eastAsia="zh-CN"/>
                    </w:rPr>
                  </w:pPr>
                </w:p>
              </w:tc>
              <w:tc>
                <w:tcPr>
                  <w:tcW w:w="723" w:type="dxa"/>
                  <w:vMerge w:val="continue"/>
                  <w:vAlign w:val="center"/>
                </w:tcPr>
                <w:p w14:paraId="7C67C027">
                  <w:pPr>
                    <w:pStyle w:val="1111"/>
                    <w:bidi w:val="0"/>
                    <w:jc w:val="center"/>
                    <w:rPr>
                      <w:rFonts w:hint="eastAsia"/>
                      <w:lang w:val="en-US" w:eastAsia="zh-CN"/>
                    </w:rPr>
                  </w:pPr>
                </w:p>
              </w:tc>
              <w:tc>
                <w:tcPr>
                  <w:tcW w:w="882" w:type="dxa"/>
                  <w:vMerge w:val="continue"/>
                  <w:vAlign w:val="center"/>
                </w:tcPr>
                <w:p w14:paraId="395639A5">
                  <w:pPr>
                    <w:pStyle w:val="1111"/>
                    <w:bidi w:val="0"/>
                    <w:jc w:val="center"/>
                    <w:rPr>
                      <w:rFonts w:hint="eastAsia"/>
                      <w:lang w:val="en-US" w:eastAsia="zh-CN"/>
                    </w:rPr>
                  </w:pPr>
                </w:p>
              </w:tc>
            </w:tr>
            <w:tr w14:paraId="1D8F52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02" w:type="dxa"/>
                  <w:gridSpan w:val="2"/>
                  <w:vAlign w:val="center"/>
                </w:tcPr>
                <w:p w14:paraId="1EE315F3">
                  <w:pPr>
                    <w:pStyle w:val="1111"/>
                    <w:bidi w:val="0"/>
                    <w:jc w:val="center"/>
                    <w:rPr>
                      <w:rFonts w:hint="eastAsia" w:cs="Times New Roman"/>
                      <w:kern w:val="0"/>
                      <w:sz w:val="21"/>
                      <w:szCs w:val="20"/>
                      <w:lang w:val="en-US" w:eastAsia="zh-CN" w:bidi="ar-SA"/>
                    </w:rPr>
                  </w:pPr>
                  <w:r>
                    <w:rPr>
                      <w:rFonts w:hint="eastAsia" w:cs="Times New Roman"/>
                      <w:kern w:val="0"/>
                      <w:sz w:val="21"/>
                      <w:szCs w:val="20"/>
                      <w:lang w:val="en-US" w:eastAsia="zh-CN" w:bidi="ar-SA"/>
                    </w:rPr>
                    <w:t>合计</w:t>
                  </w:r>
                </w:p>
              </w:tc>
              <w:tc>
                <w:tcPr>
                  <w:tcW w:w="1295" w:type="dxa"/>
                  <w:vAlign w:val="center"/>
                </w:tcPr>
                <w:p w14:paraId="01AE5FC7">
                  <w:pPr>
                    <w:pStyle w:val="1111"/>
                    <w:bidi w:val="0"/>
                    <w:jc w:val="center"/>
                    <w:rPr>
                      <w:rFonts w:hint="default"/>
                      <w:lang w:val="en-US" w:eastAsia="zh-CN"/>
                    </w:rPr>
                  </w:pPr>
                  <w:r>
                    <w:rPr>
                      <w:rFonts w:hint="eastAsia"/>
                      <w:lang w:val="en-US" w:eastAsia="zh-CN"/>
                    </w:rPr>
                    <w:t>137</w:t>
                  </w:r>
                </w:p>
              </w:tc>
              <w:tc>
                <w:tcPr>
                  <w:tcW w:w="723" w:type="dxa"/>
                  <w:vAlign w:val="center"/>
                </w:tcPr>
                <w:p w14:paraId="56D27522">
                  <w:pPr>
                    <w:pStyle w:val="1111"/>
                    <w:bidi w:val="0"/>
                    <w:jc w:val="center"/>
                    <w:rPr>
                      <w:rFonts w:hint="default"/>
                      <w:lang w:val="en-US" w:eastAsia="zh-CN"/>
                    </w:rPr>
                  </w:pPr>
                  <w:r>
                    <w:rPr>
                      <w:rFonts w:hint="eastAsia"/>
                      <w:lang w:val="en-US" w:eastAsia="zh-CN"/>
                    </w:rPr>
                    <w:t>/</w:t>
                  </w:r>
                </w:p>
              </w:tc>
              <w:tc>
                <w:tcPr>
                  <w:tcW w:w="723" w:type="dxa"/>
                  <w:vAlign w:val="center"/>
                </w:tcPr>
                <w:p w14:paraId="111A7279">
                  <w:pPr>
                    <w:pStyle w:val="1111"/>
                    <w:bidi w:val="0"/>
                    <w:jc w:val="center"/>
                    <w:rPr>
                      <w:rFonts w:hint="default"/>
                      <w:lang w:val="en-US" w:eastAsia="zh-CN"/>
                    </w:rPr>
                  </w:pPr>
                  <w:r>
                    <w:rPr>
                      <w:rFonts w:hint="eastAsia"/>
                      <w:lang w:val="en-US" w:eastAsia="zh-CN"/>
                    </w:rPr>
                    <w:t>/</w:t>
                  </w:r>
                </w:p>
              </w:tc>
              <w:tc>
                <w:tcPr>
                  <w:tcW w:w="882" w:type="dxa"/>
                  <w:vAlign w:val="center"/>
                </w:tcPr>
                <w:p w14:paraId="44F2EDA9">
                  <w:pPr>
                    <w:pStyle w:val="1111"/>
                    <w:bidi w:val="0"/>
                    <w:jc w:val="center"/>
                    <w:rPr>
                      <w:rFonts w:hint="default"/>
                      <w:lang w:val="en-US" w:eastAsia="zh-CN"/>
                    </w:rPr>
                  </w:pPr>
                  <w:r>
                    <w:rPr>
                      <w:rFonts w:hint="eastAsia"/>
                      <w:lang w:val="en-US" w:eastAsia="zh-CN"/>
                    </w:rPr>
                    <w:t>/</w:t>
                  </w:r>
                </w:p>
              </w:tc>
            </w:tr>
          </w:tbl>
          <w:p w14:paraId="7263BF67">
            <w:pPr>
              <w:pStyle w:val="512"/>
              <w:numPr>
                <w:ilvl w:val="0"/>
                <w:numId w:val="0"/>
              </w:numPr>
              <w:ind w:left="0" w:leftChars="0" w:firstLine="544" w:firstLineChars="200"/>
              <w:rPr>
                <w:rFonts w:hint="default" w:ascii="Times New Roman" w:hAnsi="Times New Roman" w:eastAsia="宋体" w:cs="Times New Roman"/>
                <w:spacing w:val="16"/>
                <w:kern w:val="0"/>
                <w:sz w:val="24"/>
                <w:szCs w:val="20"/>
                <w:lang w:val="en-US" w:eastAsia="zh-CN" w:bidi="ar-SA"/>
              </w:rPr>
            </w:pPr>
            <w:r>
              <w:rPr>
                <w:rFonts w:hint="eastAsia" w:cs="Times New Roman"/>
                <w:spacing w:val="16"/>
                <w:kern w:val="0"/>
                <w:sz w:val="24"/>
                <w:szCs w:val="20"/>
                <w:lang w:val="en-US" w:eastAsia="zh-CN" w:bidi="ar-SA"/>
              </w:rPr>
              <w:t>本项目最大存储能力为438.48t/a，大于中华药港主要危险废物最大产生量，能满足中华药港的危险废物贮存需求。</w:t>
            </w:r>
          </w:p>
          <w:p w14:paraId="06A3CC8D">
            <w:pPr>
              <w:pStyle w:val="512"/>
              <w:numPr>
                <w:ilvl w:val="0"/>
                <w:numId w:val="0"/>
              </w:numPr>
              <w:ind w:left="0" w:leftChars="0" w:firstLine="544" w:firstLineChars="200"/>
              <w:rPr>
                <w:rFonts w:hint="eastAsia"/>
                <w:lang w:eastAsia="zh-CN"/>
              </w:rPr>
            </w:pPr>
            <w:r>
              <w:rPr>
                <w:rFonts w:hint="eastAsia" w:ascii="Times New Roman" w:hAnsi="Times New Roman" w:eastAsia="宋体" w:cs="Times New Roman"/>
                <w:spacing w:val="16"/>
                <w:kern w:val="0"/>
                <w:sz w:val="24"/>
                <w:szCs w:val="20"/>
                <w:lang w:val="en-US" w:eastAsia="zh-CN" w:bidi="ar-SA"/>
              </w:rPr>
              <w:t>4、</w:t>
            </w:r>
            <w:r>
              <w:rPr>
                <w:rFonts w:hint="eastAsia"/>
                <w:lang w:eastAsia="zh-CN"/>
              </w:rPr>
              <w:t>主要生产设备</w:t>
            </w:r>
          </w:p>
          <w:p w14:paraId="44123547">
            <w:pPr>
              <w:pStyle w:val="1111"/>
              <w:bidi w:val="0"/>
              <w:rPr>
                <w:rFonts w:hint="eastAsia"/>
                <w:lang w:val="en-US" w:eastAsia="zh-CN"/>
              </w:rPr>
            </w:pPr>
            <w:r>
              <w:rPr>
                <w:rFonts w:hint="eastAsia"/>
                <w:lang w:val="en-US" w:eastAsia="zh-CN"/>
              </w:rPr>
              <w:t>表2-8 项目主要生产设备一览表</w:t>
            </w:r>
          </w:p>
          <w:tbl>
            <w:tblPr>
              <w:tblStyle w:val="7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8"/>
              <w:gridCol w:w="2507"/>
              <w:gridCol w:w="1515"/>
              <w:gridCol w:w="3062"/>
            </w:tblGrid>
            <w:tr w14:paraId="4E2D2A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9" w:type="pct"/>
                  <w:vAlign w:val="center"/>
                </w:tcPr>
                <w:p w14:paraId="0C5270E7">
                  <w:pPr>
                    <w:pStyle w:val="1111"/>
                    <w:bidi w:val="0"/>
                    <w:jc w:val="center"/>
                    <w:rPr>
                      <w:rFonts w:hint="eastAsia"/>
                      <w:vertAlign w:val="baseline"/>
                      <w:lang w:val="en-US" w:eastAsia="zh-CN"/>
                    </w:rPr>
                  </w:pPr>
                  <w:r>
                    <w:rPr>
                      <w:rFonts w:hint="eastAsia"/>
                      <w:vertAlign w:val="baseline"/>
                      <w:lang w:val="en-US" w:eastAsia="zh-CN"/>
                    </w:rPr>
                    <w:t>序号</w:t>
                  </w:r>
                </w:p>
              </w:tc>
              <w:tc>
                <w:tcPr>
                  <w:tcW w:w="1582" w:type="pct"/>
                  <w:vAlign w:val="center"/>
                </w:tcPr>
                <w:p w14:paraId="46D6917A">
                  <w:pPr>
                    <w:pStyle w:val="1111"/>
                    <w:bidi w:val="0"/>
                    <w:jc w:val="center"/>
                    <w:rPr>
                      <w:rFonts w:hint="eastAsia"/>
                      <w:vertAlign w:val="baseline"/>
                      <w:lang w:val="en-US" w:eastAsia="zh-CN"/>
                    </w:rPr>
                  </w:pPr>
                  <w:r>
                    <w:rPr>
                      <w:rFonts w:hint="eastAsia"/>
                      <w:vertAlign w:val="baseline"/>
                      <w:lang w:val="en-US" w:eastAsia="zh-CN"/>
                    </w:rPr>
                    <w:t>名称</w:t>
                  </w:r>
                </w:p>
              </w:tc>
              <w:tc>
                <w:tcPr>
                  <w:tcW w:w="956" w:type="pct"/>
                  <w:vAlign w:val="center"/>
                </w:tcPr>
                <w:p w14:paraId="7976B619">
                  <w:pPr>
                    <w:pStyle w:val="1111"/>
                    <w:bidi w:val="0"/>
                    <w:jc w:val="center"/>
                    <w:rPr>
                      <w:rFonts w:hint="eastAsia"/>
                      <w:vertAlign w:val="baseline"/>
                      <w:lang w:val="en-US" w:eastAsia="zh-CN"/>
                    </w:rPr>
                  </w:pPr>
                  <w:r>
                    <w:rPr>
                      <w:rFonts w:hint="eastAsia"/>
                      <w:vertAlign w:val="baseline"/>
                      <w:lang w:val="en-US" w:eastAsia="zh-CN"/>
                    </w:rPr>
                    <w:t>数量</w:t>
                  </w:r>
                </w:p>
              </w:tc>
              <w:tc>
                <w:tcPr>
                  <w:tcW w:w="1931" w:type="pct"/>
                  <w:vAlign w:val="center"/>
                </w:tcPr>
                <w:p w14:paraId="551DFDAD">
                  <w:pPr>
                    <w:pStyle w:val="1111"/>
                    <w:bidi w:val="0"/>
                    <w:jc w:val="center"/>
                    <w:rPr>
                      <w:rFonts w:hint="eastAsia"/>
                      <w:vertAlign w:val="baseline"/>
                      <w:lang w:val="en-US" w:eastAsia="zh-CN"/>
                    </w:rPr>
                  </w:pPr>
                  <w:r>
                    <w:rPr>
                      <w:rFonts w:hint="eastAsia"/>
                      <w:vertAlign w:val="baseline"/>
                      <w:lang w:val="en-US" w:eastAsia="zh-CN"/>
                    </w:rPr>
                    <w:t>备注</w:t>
                  </w:r>
                </w:p>
              </w:tc>
            </w:tr>
            <w:tr w14:paraId="2C9F8B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9" w:type="pct"/>
                  <w:vAlign w:val="center"/>
                </w:tcPr>
                <w:p w14:paraId="268B7381">
                  <w:pPr>
                    <w:pStyle w:val="1111"/>
                    <w:bidi w:val="0"/>
                    <w:jc w:val="center"/>
                    <w:rPr>
                      <w:rFonts w:hint="default"/>
                      <w:vertAlign w:val="baseline"/>
                      <w:lang w:val="en-US" w:eastAsia="zh-CN"/>
                    </w:rPr>
                  </w:pPr>
                  <w:r>
                    <w:rPr>
                      <w:rFonts w:hint="eastAsia"/>
                      <w:vertAlign w:val="baseline"/>
                      <w:lang w:val="en-US" w:eastAsia="zh-CN"/>
                    </w:rPr>
                    <w:t>1</w:t>
                  </w:r>
                </w:p>
              </w:tc>
              <w:tc>
                <w:tcPr>
                  <w:tcW w:w="1582" w:type="pct"/>
                  <w:shd w:val="clear" w:color="auto" w:fill="auto"/>
                  <w:vAlign w:val="center"/>
                </w:tcPr>
                <w:p w14:paraId="3F5549A4">
                  <w:pPr>
                    <w:pStyle w:val="147"/>
                    <w:kinsoku w:val="0"/>
                    <w:overflowPunct w:val="0"/>
                    <w:spacing w:line="320" w:lineRule="exact"/>
                    <w:jc w:val="center"/>
                    <w:rPr>
                      <w:rFonts w:hint="eastAsia" w:ascii="Times New Roman" w:hAnsi="Times New Roman" w:eastAsia="宋体" w:cs="Times New Roman"/>
                      <w:b/>
                      <w:bCs/>
                      <w:color w:val="000000"/>
                      <w:kern w:val="0"/>
                      <w:sz w:val="21"/>
                      <w:szCs w:val="21"/>
                      <w:lang w:val="en-US" w:eastAsia="zh-CN" w:bidi="ar-SA"/>
                    </w:rPr>
                  </w:pPr>
                  <w:r>
                    <w:rPr>
                      <w:rFonts w:hint="eastAsia" w:ascii="Times New Roman" w:hAnsi="Times New Roman"/>
                      <w:color w:val="000000"/>
                      <w:sz w:val="21"/>
                      <w:szCs w:val="21"/>
                      <w:lang w:eastAsia="zh-CN"/>
                    </w:rPr>
                    <w:t>叉车</w:t>
                  </w:r>
                </w:p>
              </w:tc>
              <w:tc>
                <w:tcPr>
                  <w:tcW w:w="956" w:type="pct"/>
                  <w:shd w:val="clear" w:color="auto" w:fill="auto"/>
                  <w:vAlign w:val="center"/>
                </w:tcPr>
                <w:p w14:paraId="11293507">
                  <w:pPr>
                    <w:pStyle w:val="147"/>
                    <w:kinsoku w:val="0"/>
                    <w:overflowPunct w:val="0"/>
                    <w:spacing w:line="320" w:lineRule="exact"/>
                    <w:jc w:val="center"/>
                    <w:rPr>
                      <w:rFonts w:hint="eastAsia" w:ascii="Times New Roman" w:hAnsi="Times New Roman" w:eastAsia="宋体" w:cs="Times New Roman"/>
                      <w:b/>
                      <w:bCs/>
                      <w:color w:val="000000"/>
                      <w:kern w:val="0"/>
                      <w:sz w:val="21"/>
                      <w:szCs w:val="21"/>
                      <w:lang w:val="en-US" w:eastAsia="zh-CN" w:bidi="ar-SA"/>
                    </w:rPr>
                  </w:pPr>
                  <w:r>
                    <w:rPr>
                      <w:rFonts w:hint="eastAsia" w:ascii="Times New Roman" w:hAnsi="Times New Roman"/>
                      <w:color w:val="000000"/>
                      <w:sz w:val="21"/>
                      <w:szCs w:val="21"/>
                      <w:lang w:val="en-US" w:eastAsia="zh-CN"/>
                    </w:rPr>
                    <w:t>1辆</w:t>
                  </w:r>
                </w:p>
              </w:tc>
              <w:tc>
                <w:tcPr>
                  <w:tcW w:w="1931" w:type="pct"/>
                  <w:shd w:val="clear" w:color="auto" w:fill="auto"/>
                  <w:vAlign w:val="center"/>
                </w:tcPr>
                <w:p w14:paraId="3683979C">
                  <w:pPr>
                    <w:pStyle w:val="147"/>
                    <w:kinsoku w:val="0"/>
                    <w:overflowPunct w:val="0"/>
                    <w:spacing w:line="320" w:lineRule="exact"/>
                    <w:jc w:val="center"/>
                    <w:rPr>
                      <w:rFonts w:hint="default" w:ascii="Times New Roman" w:hAnsi="Times New Roman" w:eastAsia="宋体" w:cs="Times New Roman"/>
                      <w:b/>
                      <w:bCs/>
                      <w:color w:val="000000"/>
                      <w:kern w:val="0"/>
                      <w:sz w:val="21"/>
                      <w:szCs w:val="21"/>
                      <w:lang w:val="en-US" w:eastAsia="zh-CN" w:bidi="ar-SA"/>
                    </w:rPr>
                  </w:pPr>
                  <w:r>
                    <w:rPr>
                      <w:rFonts w:hint="eastAsia" w:ascii="Times New Roman" w:hAnsi="Times New Roman"/>
                      <w:color w:val="000000"/>
                      <w:sz w:val="21"/>
                      <w:szCs w:val="21"/>
                      <w:lang w:val="en-US" w:eastAsia="zh-CN"/>
                    </w:rPr>
                    <w:t>/</w:t>
                  </w:r>
                </w:p>
              </w:tc>
            </w:tr>
            <w:tr w14:paraId="4CD378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9" w:type="pct"/>
                  <w:vAlign w:val="center"/>
                </w:tcPr>
                <w:p w14:paraId="0DADC7CF">
                  <w:pPr>
                    <w:pStyle w:val="1111"/>
                    <w:bidi w:val="0"/>
                    <w:jc w:val="center"/>
                    <w:rPr>
                      <w:rFonts w:hint="default"/>
                      <w:vertAlign w:val="baseline"/>
                      <w:lang w:val="en-US" w:eastAsia="zh-CN"/>
                    </w:rPr>
                  </w:pPr>
                  <w:r>
                    <w:rPr>
                      <w:rFonts w:hint="eastAsia"/>
                      <w:vertAlign w:val="baseline"/>
                      <w:lang w:val="en-US" w:eastAsia="zh-CN"/>
                    </w:rPr>
                    <w:t>2</w:t>
                  </w:r>
                </w:p>
              </w:tc>
              <w:tc>
                <w:tcPr>
                  <w:tcW w:w="1582" w:type="pct"/>
                  <w:shd w:val="clear" w:color="auto" w:fill="auto"/>
                  <w:vAlign w:val="center"/>
                </w:tcPr>
                <w:p w14:paraId="7A0D43E6">
                  <w:pPr>
                    <w:pStyle w:val="147"/>
                    <w:kinsoku w:val="0"/>
                    <w:overflowPunct w:val="0"/>
                    <w:spacing w:line="320" w:lineRule="exact"/>
                    <w:jc w:val="center"/>
                    <w:rPr>
                      <w:rFonts w:hint="eastAsia" w:ascii="Times New Roman" w:hAnsi="Times New Roman" w:eastAsia="宋体" w:cs="Times New Roman"/>
                      <w:b/>
                      <w:bCs/>
                      <w:color w:val="000000"/>
                      <w:kern w:val="0"/>
                      <w:sz w:val="21"/>
                      <w:szCs w:val="21"/>
                      <w:lang w:val="en-US" w:eastAsia="zh-CN" w:bidi="ar-SA"/>
                    </w:rPr>
                  </w:pPr>
                  <w:r>
                    <w:rPr>
                      <w:rFonts w:hint="eastAsia" w:ascii="Times New Roman" w:hAnsi="Times New Roman"/>
                      <w:color w:val="000000"/>
                      <w:sz w:val="21"/>
                      <w:szCs w:val="21"/>
                      <w:lang w:eastAsia="zh-CN"/>
                    </w:rPr>
                    <w:t>电子秤</w:t>
                  </w:r>
                </w:p>
              </w:tc>
              <w:tc>
                <w:tcPr>
                  <w:tcW w:w="956" w:type="pct"/>
                  <w:shd w:val="clear" w:color="auto" w:fill="auto"/>
                  <w:vAlign w:val="center"/>
                </w:tcPr>
                <w:p w14:paraId="068EC2F1">
                  <w:pPr>
                    <w:pStyle w:val="147"/>
                    <w:kinsoku w:val="0"/>
                    <w:overflowPunct w:val="0"/>
                    <w:spacing w:line="320" w:lineRule="exact"/>
                    <w:jc w:val="center"/>
                    <w:rPr>
                      <w:rFonts w:hint="eastAsia" w:ascii="Times New Roman" w:hAnsi="Times New Roman" w:eastAsia="宋体" w:cs="Times New Roman"/>
                      <w:b/>
                      <w:bCs/>
                      <w:color w:val="000000"/>
                      <w:kern w:val="0"/>
                      <w:sz w:val="21"/>
                      <w:szCs w:val="21"/>
                      <w:lang w:val="en-US" w:eastAsia="zh-CN" w:bidi="ar-SA"/>
                    </w:rPr>
                  </w:pPr>
                  <w:r>
                    <w:rPr>
                      <w:rFonts w:hint="eastAsia" w:ascii="Times New Roman" w:hAnsi="Times New Roman"/>
                      <w:color w:val="000000"/>
                      <w:sz w:val="21"/>
                      <w:szCs w:val="21"/>
                      <w:lang w:val="en-US" w:eastAsia="zh-CN"/>
                    </w:rPr>
                    <w:t>2台</w:t>
                  </w:r>
                </w:p>
              </w:tc>
              <w:tc>
                <w:tcPr>
                  <w:tcW w:w="1931" w:type="pct"/>
                  <w:shd w:val="clear" w:color="auto" w:fill="auto"/>
                  <w:vAlign w:val="center"/>
                </w:tcPr>
                <w:p w14:paraId="7091C995">
                  <w:pPr>
                    <w:pStyle w:val="147"/>
                    <w:kinsoku w:val="0"/>
                    <w:overflowPunct w:val="0"/>
                    <w:spacing w:line="320" w:lineRule="exact"/>
                    <w:jc w:val="center"/>
                    <w:rPr>
                      <w:rFonts w:hint="default" w:ascii="Times New Roman" w:hAnsi="Times New Roman" w:eastAsia="宋体" w:cs="Times New Roman"/>
                      <w:b/>
                      <w:bCs/>
                      <w:color w:val="000000"/>
                      <w:kern w:val="0"/>
                      <w:sz w:val="21"/>
                      <w:szCs w:val="21"/>
                      <w:lang w:val="en-US" w:eastAsia="zh-CN" w:bidi="ar-SA"/>
                    </w:rPr>
                  </w:pPr>
                  <w:r>
                    <w:rPr>
                      <w:rFonts w:hint="eastAsia" w:ascii="Times New Roman" w:hAnsi="Times New Roman"/>
                      <w:color w:val="000000"/>
                      <w:sz w:val="21"/>
                      <w:szCs w:val="21"/>
                      <w:lang w:val="en-US" w:eastAsia="zh-CN"/>
                    </w:rPr>
                    <w:t>/</w:t>
                  </w:r>
                </w:p>
              </w:tc>
            </w:tr>
            <w:tr w14:paraId="17D246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9" w:type="pct"/>
                  <w:vAlign w:val="center"/>
                </w:tcPr>
                <w:p w14:paraId="48717884">
                  <w:pPr>
                    <w:pStyle w:val="1111"/>
                    <w:bidi w:val="0"/>
                    <w:jc w:val="center"/>
                    <w:rPr>
                      <w:rFonts w:hint="default"/>
                      <w:vertAlign w:val="baseline"/>
                      <w:lang w:val="en-US" w:eastAsia="zh-CN"/>
                    </w:rPr>
                  </w:pPr>
                  <w:r>
                    <w:rPr>
                      <w:rFonts w:hint="eastAsia"/>
                      <w:vertAlign w:val="baseline"/>
                      <w:lang w:val="en-US" w:eastAsia="zh-CN"/>
                    </w:rPr>
                    <w:t>3</w:t>
                  </w:r>
                </w:p>
              </w:tc>
              <w:tc>
                <w:tcPr>
                  <w:tcW w:w="1582" w:type="pct"/>
                  <w:shd w:val="clear" w:color="auto" w:fill="auto"/>
                  <w:vAlign w:val="center"/>
                </w:tcPr>
                <w:p w14:paraId="65EC908F">
                  <w:pPr>
                    <w:pStyle w:val="147"/>
                    <w:kinsoku w:val="0"/>
                    <w:overflowPunct w:val="0"/>
                    <w:spacing w:line="320" w:lineRule="exact"/>
                    <w:jc w:val="center"/>
                    <w:rPr>
                      <w:rFonts w:hint="eastAsia" w:ascii="Times New Roman" w:hAnsi="Times New Roman" w:eastAsia="宋体" w:cs="Times New Roman"/>
                      <w:b/>
                      <w:bCs/>
                      <w:color w:val="000000"/>
                      <w:kern w:val="0"/>
                      <w:sz w:val="21"/>
                      <w:szCs w:val="21"/>
                      <w:lang w:val="en-US" w:eastAsia="zh-CN" w:bidi="ar-SA"/>
                    </w:rPr>
                  </w:pPr>
                  <w:r>
                    <w:rPr>
                      <w:rFonts w:hint="eastAsia" w:ascii="Times New Roman" w:hAnsi="Times New Roman"/>
                      <w:color w:val="000000"/>
                      <w:sz w:val="21"/>
                      <w:szCs w:val="21"/>
                      <w:lang w:eastAsia="zh-CN"/>
                    </w:rPr>
                    <w:t>视频监控设备</w:t>
                  </w:r>
                </w:p>
              </w:tc>
              <w:tc>
                <w:tcPr>
                  <w:tcW w:w="956" w:type="pct"/>
                  <w:shd w:val="clear" w:color="auto" w:fill="auto"/>
                  <w:vAlign w:val="center"/>
                </w:tcPr>
                <w:p w14:paraId="32366A5C">
                  <w:pPr>
                    <w:pStyle w:val="147"/>
                    <w:kinsoku w:val="0"/>
                    <w:overflowPunct w:val="0"/>
                    <w:spacing w:line="320" w:lineRule="exact"/>
                    <w:jc w:val="center"/>
                    <w:rPr>
                      <w:rFonts w:hint="default" w:ascii="Times New Roman" w:hAnsi="Times New Roman" w:eastAsia="宋体" w:cs="Times New Roman"/>
                      <w:b/>
                      <w:bCs/>
                      <w:color w:val="000000"/>
                      <w:kern w:val="0"/>
                      <w:sz w:val="21"/>
                      <w:szCs w:val="21"/>
                      <w:lang w:val="en-US" w:eastAsia="zh-CN" w:bidi="ar-SA"/>
                    </w:rPr>
                  </w:pPr>
                  <w:r>
                    <w:rPr>
                      <w:rFonts w:hint="eastAsia" w:ascii="Times New Roman" w:hAnsi="Times New Roman"/>
                      <w:color w:val="000000"/>
                      <w:sz w:val="21"/>
                      <w:szCs w:val="21"/>
                      <w:lang w:val="en-US" w:eastAsia="zh-CN"/>
                    </w:rPr>
                    <w:t>9套</w:t>
                  </w:r>
                </w:p>
              </w:tc>
              <w:tc>
                <w:tcPr>
                  <w:tcW w:w="1931" w:type="pct"/>
                  <w:shd w:val="clear" w:color="auto" w:fill="auto"/>
                  <w:vAlign w:val="center"/>
                </w:tcPr>
                <w:p w14:paraId="4529C1D4">
                  <w:pPr>
                    <w:pStyle w:val="147"/>
                    <w:kinsoku w:val="0"/>
                    <w:overflowPunct w:val="0"/>
                    <w:spacing w:line="320" w:lineRule="exact"/>
                    <w:jc w:val="center"/>
                    <w:rPr>
                      <w:rFonts w:hint="eastAsia" w:ascii="Times New Roman" w:hAnsi="Times New Roman" w:eastAsia="宋体" w:cs="Times New Roman"/>
                      <w:b/>
                      <w:bCs/>
                      <w:color w:val="000000"/>
                      <w:kern w:val="0"/>
                      <w:sz w:val="21"/>
                      <w:szCs w:val="21"/>
                      <w:lang w:val="en-US" w:eastAsia="zh-CN" w:bidi="ar-SA"/>
                    </w:rPr>
                  </w:pPr>
                  <w:r>
                    <w:rPr>
                      <w:rFonts w:hint="eastAsia" w:ascii="Times New Roman" w:hAnsi="Times New Roman"/>
                      <w:color w:val="000000"/>
                      <w:sz w:val="21"/>
                      <w:szCs w:val="21"/>
                      <w:lang w:val="en-US" w:eastAsia="zh-CN"/>
                    </w:rPr>
                    <w:t>/</w:t>
                  </w:r>
                </w:p>
              </w:tc>
            </w:tr>
            <w:tr w14:paraId="70E8A8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9" w:type="pct"/>
                  <w:vAlign w:val="center"/>
                </w:tcPr>
                <w:p w14:paraId="69A35B3C">
                  <w:pPr>
                    <w:pStyle w:val="1111"/>
                    <w:bidi w:val="0"/>
                    <w:jc w:val="center"/>
                    <w:rPr>
                      <w:rFonts w:hint="default"/>
                      <w:vertAlign w:val="baseline"/>
                      <w:lang w:val="en-US" w:eastAsia="zh-CN"/>
                    </w:rPr>
                  </w:pPr>
                  <w:r>
                    <w:rPr>
                      <w:rFonts w:hint="eastAsia"/>
                      <w:vertAlign w:val="baseline"/>
                      <w:lang w:val="en-US" w:eastAsia="zh-CN"/>
                    </w:rPr>
                    <w:t>4</w:t>
                  </w:r>
                </w:p>
              </w:tc>
              <w:tc>
                <w:tcPr>
                  <w:tcW w:w="1582" w:type="pct"/>
                  <w:vAlign w:val="center"/>
                </w:tcPr>
                <w:p w14:paraId="5342C590">
                  <w:pPr>
                    <w:pStyle w:val="1111"/>
                    <w:bidi w:val="0"/>
                    <w:jc w:val="center"/>
                    <w:rPr>
                      <w:rFonts w:hint="eastAsia"/>
                      <w:vertAlign w:val="baseline"/>
                      <w:lang w:val="en-US" w:eastAsia="zh-CN"/>
                    </w:rPr>
                  </w:pPr>
                  <w:r>
                    <w:rPr>
                      <w:rFonts w:hint="eastAsia"/>
                      <w:vertAlign w:val="baseline"/>
                      <w:lang w:val="en-US" w:eastAsia="zh-CN"/>
                    </w:rPr>
                    <w:t>废气治理设施</w:t>
                  </w:r>
                </w:p>
              </w:tc>
              <w:tc>
                <w:tcPr>
                  <w:tcW w:w="956" w:type="pct"/>
                  <w:vAlign w:val="center"/>
                </w:tcPr>
                <w:p w14:paraId="76A625A2">
                  <w:pPr>
                    <w:pStyle w:val="1111"/>
                    <w:bidi w:val="0"/>
                    <w:jc w:val="center"/>
                    <w:rPr>
                      <w:rFonts w:hint="default"/>
                      <w:vertAlign w:val="baseline"/>
                      <w:lang w:val="en-US" w:eastAsia="zh-CN"/>
                    </w:rPr>
                  </w:pPr>
                  <w:r>
                    <w:rPr>
                      <w:rFonts w:hint="eastAsia"/>
                      <w:vertAlign w:val="baseline"/>
                      <w:lang w:val="en-US" w:eastAsia="zh-CN"/>
                    </w:rPr>
                    <w:t>3套</w:t>
                  </w:r>
                </w:p>
              </w:tc>
              <w:tc>
                <w:tcPr>
                  <w:tcW w:w="1931" w:type="pct"/>
                  <w:vAlign w:val="center"/>
                </w:tcPr>
                <w:p w14:paraId="475F523F">
                  <w:pPr>
                    <w:pStyle w:val="1111"/>
                    <w:bidi w:val="0"/>
                    <w:jc w:val="center"/>
                    <w:rPr>
                      <w:rFonts w:hint="default"/>
                      <w:vertAlign w:val="baseline"/>
                      <w:lang w:val="en-US" w:eastAsia="zh-CN"/>
                    </w:rPr>
                  </w:pPr>
                  <w:r>
                    <w:rPr>
                      <w:rFonts w:hint="eastAsia"/>
                      <w:vertAlign w:val="baseline"/>
                      <w:lang w:val="en-US" w:eastAsia="zh-CN"/>
                    </w:rPr>
                    <w:t>一级碱喷淋+一级活性炭</w:t>
                  </w:r>
                </w:p>
              </w:tc>
            </w:tr>
          </w:tbl>
          <w:p w14:paraId="23C4C49D">
            <w:pPr>
              <w:pStyle w:val="512"/>
              <w:numPr>
                <w:ilvl w:val="0"/>
                <w:numId w:val="0"/>
              </w:numPr>
              <w:bidi w:val="0"/>
              <w:ind w:left="0" w:leftChars="0" w:firstLine="544" w:firstLineChars="200"/>
              <w:rPr>
                <w:rFonts w:hint="eastAsia"/>
                <w:lang w:val="en-US" w:eastAsia="zh-CN"/>
              </w:rPr>
            </w:pPr>
            <w:r>
              <w:rPr>
                <w:rFonts w:hint="eastAsia" w:ascii="Times New Roman" w:hAnsi="Times New Roman" w:eastAsia="宋体" w:cs="Times New Roman"/>
                <w:spacing w:val="16"/>
                <w:kern w:val="0"/>
                <w:sz w:val="24"/>
                <w:szCs w:val="20"/>
                <w:lang w:val="en-US" w:eastAsia="zh-CN" w:bidi="ar-SA"/>
              </w:rPr>
              <w:t>5、</w:t>
            </w:r>
            <w:r>
              <w:rPr>
                <w:rFonts w:hint="eastAsia"/>
                <w:lang w:val="en-US" w:eastAsia="zh-CN"/>
              </w:rPr>
              <w:t>主要原辅材料</w:t>
            </w:r>
          </w:p>
          <w:p w14:paraId="66F0896F">
            <w:pPr>
              <w:pStyle w:val="1111"/>
              <w:bidi w:val="0"/>
              <w:rPr>
                <w:rFonts w:hint="eastAsia"/>
                <w:lang w:val="en-US" w:eastAsia="zh-CN"/>
              </w:rPr>
            </w:pPr>
            <w:r>
              <w:rPr>
                <w:rFonts w:hint="eastAsia"/>
                <w:lang w:val="en-US" w:eastAsia="zh-CN"/>
              </w:rPr>
              <w:t>表2-9 项目主要原辅材料一览表</w:t>
            </w:r>
          </w:p>
          <w:tbl>
            <w:tblPr>
              <w:tblStyle w:val="78"/>
              <w:tblW w:w="783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3"/>
              <w:gridCol w:w="2010"/>
              <w:gridCol w:w="1215"/>
              <w:gridCol w:w="1485"/>
              <w:gridCol w:w="2454"/>
            </w:tblGrid>
            <w:tr w14:paraId="0064E4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dxa"/>
                  <w:vAlign w:val="center"/>
                </w:tcPr>
                <w:p w14:paraId="5CAB0AB0">
                  <w:pPr>
                    <w:pStyle w:val="1111"/>
                    <w:bidi w:val="0"/>
                    <w:jc w:val="center"/>
                    <w:rPr>
                      <w:rFonts w:hint="eastAsia"/>
                      <w:vertAlign w:val="baseline"/>
                      <w:lang w:val="en-US" w:eastAsia="zh-CN"/>
                    </w:rPr>
                  </w:pPr>
                  <w:r>
                    <w:rPr>
                      <w:rFonts w:hint="eastAsia"/>
                      <w:vertAlign w:val="baseline"/>
                      <w:lang w:val="en-US" w:eastAsia="zh-CN"/>
                    </w:rPr>
                    <w:t>序号</w:t>
                  </w:r>
                </w:p>
              </w:tc>
              <w:tc>
                <w:tcPr>
                  <w:tcW w:w="2010" w:type="dxa"/>
                  <w:vAlign w:val="center"/>
                </w:tcPr>
                <w:p w14:paraId="768EF602">
                  <w:pPr>
                    <w:pStyle w:val="1111"/>
                    <w:bidi w:val="0"/>
                    <w:jc w:val="center"/>
                    <w:rPr>
                      <w:rFonts w:hint="eastAsia"/>
                      <w:vertAlign w:val="baseline"/>
                      <w:lang w:val="en-US" w:eastAsia="zh-CN"/>
                    </w:rPr>
                  </w:pPr>
                  <w:r>
                    <w:rPr>
                      <w:rFonts w:hint="eastAsia"/>
                      <w:vertAlign w:val="baseline"/>
                      <w:lang w:val="en-US" w:eastAsia="zh-CN"/>
                    </w:rPr>
                    <w:t>名称</w:t>
                  </w:r>
                </w:p>
              </w:tc>
              <w:tc>
                <w:tcPr>
                  <w:tcW w:w="1215" w:type="dxa"/>
                  <w:vAlign w:val="center"/>
                </w:tcPr>
                <w:p w14:paraId="59A2C6E2">
                  <w:pPr>
                    <w:pStyle w:val="1111"/>
                    <w:bidi w:val="0"/>
                    <w:jc w:val="center"/>
                    <w:rPr>
                      <w:rFonts w:hint="eastAsia"/>
                      <w:vertAlign w:val="baseline"/>
                      <w:lang w:val="en-US" w:eastAsia="zh-CN"/>
                    </w:rPr>
                  </w:pPr>
                  <w:r>
                    <w:rPr>
                      <w:rFonts w:hint="eastAsia"/>
                      <w:vertAlign w:val="baseline"/>
                      <w:lang w:val="en-US" w:eastAsia="zh-CN"/>
                    </w:rPr>
                    <w:t>用量</w:t>
                  </w:r>
                </w:p>
              </w:tc>
              <w:tc>
                <w:tcPr>
                  <w:tcW w:w="1485" w:type="dxa"/>
                  <w:shd w:val="clear" w:color="auto" w:fill="auto"/>
                  <w:vAlign w:val="center"/>
                </w:tcPr>
                <w:p w14:paraId="16BC772A">
                  <w:pPr>
                    <w:pStyle w:val="1111"/>
                    <w:bidi w:val="0"/>
                    <w:jc w:val="center"/>
                    <w:rPr>
                      <w:rFonts w:hint="eastAsia" w:ascii="Times New Roman" w:hAnsi="Times New Roman" w:eastAsia="宋体" w:cs="Times New Roman"/>
                      <w:kern w:val="0"/>
                      <w:sz w:val="21"/>
                      <w:szCs w:val="20"/>
                      <w:vertAlign w:val="baseline"/>
                      <w:lang w:val="en-US" w:eastAsia="zh-CN" w:bidi="ar-SA"/>
                    </w:rPr>
                  </w:pPr>
                  <w:r>
                    <w:rPr>
                      <w:rFonts w:hint="eastAsia"/>
                      <w:vertAlign w:val="baseline"/>
                      <w:lang w:val="en-US" w:eastAsia="zh-CN"/>
                    </w:rPr>
                    <w:t>规格</w:t>
                  </w:r>
                </w:p>
              </w:tc>
              <w:tc>
                <w:tcPr>
                  <w:tcW w:w="2454" w:type="dxa"/>
                  <w:vAlign w:val="center"/>
                </w:tcPr>
                <w:p w14:paraId="2A83B324">
                  <w:pPr>
                    <w:pStyle w:val="1111"/>
                    <w:bidi w:val="0"/>
                    <w:jc w:val="center"/>
                    <w:rPr>
                      <w:rFonts w:hint="eastAsia"/>
                      <w:vertAlign w:val="baseline"/>
                      <w:lang w:val="en-US" w:eastAsia="zh-CN"/>
                    </w:rPr>
                  </w:pPr>
                  <w:r>
                    <w:rPr>
                      <w:rFonts w:hint="eastAsia"/>
                      <w:vertAlign w:val="baseline"/>
                      <w:lang w:val="en-US" w:eastAsia="zh-CN"/>
                    </w:rPr>
                    <w:t>备注</w:t>
                  </w:r>
                </w:p>
              </w:tc>
            </w:tr>
            <w:tr w14:paraId="5C2261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dxa"/>
                  <w:vAlign w:val="center"/>
                </w:tcPr>
                <w:p w14:paraId="5CA0AE02">
                  <w:pPr>
                    <w:pStyle w:val="1111"/>
                    <w:bidi w:val="0"/>
                    <w:jc w:val="center"/>
                    <w:rPr>
                      <w:rFonts w:hint="default"/>
                      <w:vertAlign w:val="baseline"/>
                      <w:lang w:val="en-US" w:eastAsia="zh-CN"/>
                    </w:rPr>
                  </w:pPr>
                  <w:r>
                    <w:rPr>
                      <w:rFonts w:hint="eastAsia"/>
                      <w:vertAlign w:val="baseline"/>
                      <w:lang w:val="en-US" w:eastAsia="zh-CN"/>
                    </w:rPr>
                    <w:t>1</w:t>
                  </w:r>
                </w:p>
              </w:tc>
              <w:tc>
                <w:tcPr>
                  <w:tcW w:w="2010" w:type="dxa"/>
                  <w:shd w:val="clear" w:color="auto" w:fill="auto"/>
                  <w:vAlign w:val="center"/>
                </w:tcPr>
                <w:p w14:paraId="322AF16F">
                  <w:pPr>
                    <w:pStyle w:val="147"/>
                    <w:kinsoku w:val="0"/>
                    <w:overflowPunct w:val="0"/>
                    <w:spacing w:line="320" w:lineRule="exact"/>
                    <w:jc w:val="center"/>
                    <w:rPr>
                      <w:rFonts w:hint="eastAsia" w:ascii="Times New Roman" w:hAnsi="Times New Roman" w:eastAsia="宋体" w:cs="Times New Roman"/>
                      <w:b/>
                      <w:bCs/>
                      <w:color w:val="000000"/>
                      <w:kern w:val="0"/>
                      <w:sz w:val="21"/>
                      <w:szCs w:val="21"/>
                      <w:lang w:val="en-US" w:eastAsia="zh-CN" w:bidi="ar-SA"/>
                    </w:rPr>
                  </w:pPr>
                  <w:r>
                    <w:rPr>
                      <w:rFonts w:ascii="Times New Roman" w:hAnsi="Times New Roman"/>
                      <w:color w:val="000000"/>
                      <w:sz w:val="21"/>
                      <w:szCs w:val="21"/>
                      <w:lang w:eastAsia="zh-CN"/>
                    </w:rPr>
                    <w:t>危险废物专用桶</w:t>
                  </w:r>
                </w:p>
              </w:tc>
              <w:tc>
                <w:tcPr>
                  <w:tcW w:w="1215" w:type="dxa"/>
                  <w:shd w:val="clear" w:color="auto" w:fill="auto"/>
                  <w:vAlign w:val="center"/>
                </w:tcPr>
                <w:p w14:paraId="05237939">
                  <w:pPr>
                    <w:pStyle w:val="147"/>
                    <w:kinsoku w:val="0"/>
                    <w:overflowPunct w:val="0"/>
                    <w:spacing w:line="320" w:lineRule="exact"/>
                    <w:jc w:val="center"/>
                    <w:rPr>
                      <w:rFonts w:hint="eastAsia" w:ascii="Times New Roman" w:hAnsi="Times New Roman" w:eastAsia="宋体" w:cs="Times New Roman"/>
                      <w:b/>
                      <w:bCs/>
                      <w:color w:val="000000"/>
                      <w:kern w:val="0"/>
                      <w:sz w:val="21"/>
                      <w:szCs w:val="21"/>
                      <w:lang w:val="en-US" w:eastAsia="zh-CN" w:bidi="ar-SA"/>
                    </w:rPr>
                  </w:pPr>
                  <w:r>
                    <w:rPr>
                      <w:rFonts w:ascii="Times New Roman" w:hAnsi="Times New Roman"/>
                      <w:color w:val="000000"/>
                      <w:sz w:val="21"/>
                      <w:szCs w:val="21"/>
                      <w:lang w:eastAsia="zh-CN"/>
                    </w:rPr>
                    <w:t>若干</w:t>
                  </w:r>
                </w:p>
              </w:tc>
              <w:tc>
                <w:tcPr>
                  <w:tcW w:w="1485" w:type="dxa"/>
                  <w:shd w:val="clear" w:color="auto" w:fill="auto"/>
                  <w:vAlign w:val="center"/>
                </w:tcPr>
                <w:p w14:paraId="0BCAA89C">
                  <w:pPr>
                    <w:pStyle w:val="147"/>
                    <w:kinsoku w:val="0"/>
                    <w:overflowPunct w:val="0"/>
                    <w:spacing w:line="320" w:lineRule="exact"/>
                    <w:jc w:val="center"/>
                    <w:rPr>
                      <w:rFonts w:hint="eastAsia" w:ascii="Times New Roman" w:hAnsi="Times New Roman" w:eastAsia="宋体" w:cs="Times New Roman"/>
                      <w:b/>
                      <w:bCs/>
                      <w:color w:val="000000"/>
                      <w:kern w:val="0"/>
                      <w:sz w:val="21"/>
                      <w:szCs w:val="21"/>
                      <w:lang w:val="en-US" w:eastAsia="zh-CN" w:bidi="ar-SA"/>
                    </w:rPr>
                  </w:pPr>
                  <w:r>
                    <w:rPr>
                      <w:rFonts w:ascii="Times New Roman" w:hAnsi="Times New Roman"/>
                      <w:color w:val="000000"/>
                      <w:sz w:val="21"/>
                      <w:szCs w:val="21"/>
                      <w:lang w:eastAsia="zh-CN"/>
                    </w:rPr>
                    <w:t>200L塑料桶</w:t>
                  </w:r>
                </w:p>
              </w:tc>
              <w:tc>
                <w:tcPr>
                  <w:tcW w:w="2454" w:type="dxa"/>
                  <w:shd w:val="clear" w:color="auto" w:fill="auto"/>
                  <w:vAlign w:val="center"/>
                </w:tcPr>
                <w:p w14:paraId="4530D706">
                  <w:pPr>
                    <w:pStyle w:val="147"/>
                    <w:kinsoku w:val="0"/>
                    <w:overflowPunct w:val="0"/>
                    <w:spacing w:line="320" w:lineRule="exact"/>
                    <w:jc w:val="center"/>
                    <w:rPr>
                      <w:rFonts w:hint="eastAsia" w:ascii="Times New Roman" w:hAnsi="Times New Roman" w:eastAsia="宋体" w:cs="Times New Roman"/>
                      <w:b/>
                      <w:bCs/>
                      <w:color w:val="000000"/>
                      <w:kern w:val="0"/>
                      <w:sz w:val="21"/>
                      <w:szCs w:val="21"/>
                      <w:lang w:val="en-US" w:eastAsia="zh-CN" w:bidi="ar-SA"/>
                    </w:rPr>
                  </w:pPr>
                  <w:r>
                    <w:rPr>
                      <w:rFonts w:hint="eastAsia" w:ascii="Times New Roman" w:hAnsi="Times New Roman"/>
                      <w:color w:val="000000"/>
                      <w:sz w:val="21"/>
                      <w:szCs w:val="21"/>
                      <w:lang w:eastAsia="zh-CN"/>
                    </w:rPr>
                    <w:t>破损时更换，</w:t>
                  </w:r>
                  <w:r>
                    <w:rPr>
                      <w:rFonts w:ascii="Times New Roman" w:hAnsi="Times New Roman"/>
                      <w:color w:val="000000"/>
                      <w:sz w:val="21"/>
                      <w:szCs w:val="21"/>
                      <w:lang w:eastAsia="zh-CN"/>
                    </w:rPr>
                    <w:t>各类危险废物专桶专用，不混用</w:t>
                  </w:r>
                </w:p>
              </w:tc>
            </w:tr>
            <w:tr w14:paraId="3C1669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dxa"/>
                  <w:vAlign w:val="center"/>
                </w:tcPr>
                <w:p w14:paraId="7A1EE551">
                  <w:pPr>
                    <w:pStyle w:val="1111"/>
                    <w:bidi w:val="0"/>
                    <w:jc w:val="center"/>
                    <w:rPr>
                      <w:rFonts w:hint="default"/>
                      <w:vertAlign w:val="baseline"/>
                      <w:lang w:val="en-US" w:eastAsia="zh-CN"/>
                    </w:rPr>
                  </w:pPr>
                  <w:r>
                    <w:rPr>
                      <w:rFonts w:hint="eastAsia"/>
                      <w:vertAlign w:val="baseline"/>
                      <w:lang w:val="en-US" w:eastAsia="zh-CN"/>
                    </w:rPr>
                    <w:t>2</w:t>
                  </w:r>
                </w:p>
              </w:tc>
              <w:tc>
                <w:tcPr>
                  <w:tcW w:w="2010" w:type="dxa"/>
                  <w:shd w:val="clear" w:color="auto" w:fill="auto"/>
                  <w:vAlign w:val="center"/>
                </w:tcPr>
                <w:p w14:paraId="4FFADA55">
                  <w:pPr>
                    <w:pStyle w:val="147"/>
                    <w:kinsoku w:val="0"/>
                    <w:overflowPunct w:val="0"/>
                    <w:spacing w:line="320" w:lineRule="exact"/>
                    <w:jc w:val="center"/>
                    <w:rPr>
                      <w:rFonts w:hint="eastAsia" w:ascii="Times New Roman" w:hAnsi="Times New Roman" w:eastAsia="宋体" w:cs="Times New Roman"/>
                      <w:b/>
                      <w:bCs/>
                      <w:color w:val="000000"/>
                      <w:kern w:val="0"/>
                      <w:sz w:val="21"/>
                      <w:szCs w:val="21"/>
                      <w:lang w:val="en-US" w:eastAsia="zh-CN" w:bidi="ar-SA"/>
                    </w:rPr>
                  </w:pPr>
                  <w:r>
                    <w:rPr>
                      <w:rFonts w:ascii="Times New Roman" w:hAnsi="Times New Roman"/>
                      <w:color w:val="000000"/>
                      <w:sz w:val="21"/>
                      <w:szCs w:val="21"/>
                      <w:lang w:eastAsia="zh-CN"/>
                    </w:rPr>
                    <w:t>危险废物专用桶</w:t>
                  </w:r>
                </w:p>
              </w:tc>
              <w:tc>
                <w:tcPr>
                  <w:tcW w:w="1215" w:type="dxa"/>
                  <w:shd w:val="clear" w:color="auto" w:fill="auto"/>
                  <w:vAlign w:val="center"/>
                </w:tcPr>
                <w:p w14:paraId="0E42D96B">
                  <w:pPr>
                    <w:pStyle w:val="147"/>
                    <w:kinsoku w:val="0"/>
                    <w:overflowPunct w:val="0"/>
                    <w:spacing w:line="320" w:lineRule="exact"/>
                    <w:jc w:val="center"/>
                    <w:rPr>
                      <w:rFonts w:hint="eastAsia" w:ascii="Times New Roman" w:hAnsi="Times New Roman" w:eastAsia="宋体" w:cs="Times New Roman"/>
                      <w:b/>
                      <w:bCs/>
                      <w:color w:val="000000"/>
                      <w:kern w:val="0"/>
                      <w:sz w:val="21"/>
                      <w:szCs w:val="21"/>
                      <w:lang w:val="en-US" w:eastAsia="zh-CN" w:bidi="ar-SA"/>
                    </w:rPr>
                  </w:pPr>
                  <w:r>
                    <w:rPr>
                      <w:rFonts w:ascii="Times New Roman" w:hAnsi="Times New Roman"/>
                      <w:color w:val="000000"/>
                      <w:sz w:val="21"/>
                      <w:szCs w:val="21"/>
                      <w:lang w:eastAsia="zh-CN"/>
                    </w:rPr>
                    <w:t>若干</w:t>
                  </w:r>
                </w:p>
              </w:tc>
              <w:tc>
                <w:tcPr>
                  <w:tcW w:w="1485" w:type="dxa"/>
                  <w:shd w:val="clear" w:color="auto" w:fill="auto"/>
                  <w:vAlign w:val="center"/>
                </w:tcPr>
                <w:p w14:paraId="231331FE">
                  <w:pPr>
                    <w:pStyle w:val="147"/>
                    <w:kinsoku w:val="0"/>
                    <w:overflowPunct w:val="0"/>
                    <w:spacing w:line="320" w:lineRule="exact"/>
                    <w:jc w:val="center"/>
                    <w:rPr>
                      <w:rFonts w:hint="eastAsia" w:ascii="Times New Roman" w:hAnsi="Times New Roman" w:eastAsia="宋体" w:cs="Times New Roman"/>
                      <w:b/>
                      <w:bCs/>
                      <w:color w:val="000000"/>
                      <w:kern w:val="0"/>
                      <w:sz w:val="21"/>
                      <w:szCs w:val="21"/>
                      <w:lang w:val="en-US" w:eastAsia="zh-CN" w:bidi="ar-SA"/>
                    </w:rPr>
                  </w:pPr>
                  <w:r>
                    <w:rPr>
                      <w:rFonts w:ascii="Times New Roman" w:hAnsi="Times New Roman"/>
                      <w:color w:val="000000"/>
                      <w:sz w:val="21"/>
                      <w:szCs w:val="21"/>
                      <w:lang w:eastAsia="zh-CN"/>
                    </w:rPr>
                    <w:t>200L铁桶</w:t>
                  </w:r>
                </w:p>
              </w:tc>
              <w:tc>
                <w:tcPr>
                  <w:tcW w:w="2454" w:type="dxa"/>
                  <w:shd w:val="clear" w:color="auto" w:fill="auto"/>
                  <w:vAlign w:val="center"/>
                </w:tcPr>
                <w:p w14:paraId="4344A23B">
                  <w:pPr>
                    <w:pStyle w:val="147"/>
                    <w:kinsoku w:val="0"/>
                    <w:overflowPunct w:val="0"/>
                    <w:spacing w:line="320" w:lineRule="exact"/>
                    <w:jc w:val="center"/>
                    <w:rPr>
                      <w:rFonts w:hint="eastAsia" w:ascii="Times New Roman" w:hAnsi="Times New Roman" w:eastAsia="宋体" w:cs="Times New Roman"/>
                      <w:b/>
                      <w:bCs/>
                      <w:color w:val="000000"/>
                      <w:kern w:val="0"/>
                      <w:sz w:val="21"/>
                      <w:szCs w:val="21"/>
                      <w:lang w:val="en-US" w:eastAsia="zh-CN" w:bidi="ar-SA"/>
                    </w:rPr>
                  </w:pPr>
                  <w:r>
                    <w:rPr>
                      <w:rFonts w:hint="eastAsia" w:ascii="Times New Roman" w:hAnsi="Times New Roman"/>
                      <w:color w:val="000000"/>
                      <w:sz w:val="21"/>
                      <w:szCs w:val="21"/>
                      <w:lang w:eastAsia="zh-CN"/>
                    </w:rPr>
                    <w:t>破损时更换，</w:t>
                  </w:r>
                  <w:r>
                    <w:rPr>
                      <w:rFonts w:ascii="Times New Roman" w:hAnsi="Times New Roman"/>
                      <w:color w:val="000000"/>
                      <w:sz w:val="21"/>
                      <w:szCs w:val="21"/>
                      <w:lang w:eastAsia="zh-CN"/>
                    </w:rPr>
                    <w:t>各类危险废物专桶专用，不混用</w:t>
                  </w:r>
                </w:p>
              </w:tc>
            </w:tr>
            <w:tr w14:paraId="23B333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dxa"/>
                  <w:vAlign w:val="center"/>
                </w:tcPr>
                <w:p w14:paraId="0BB6B495">
                  <w:pPr>
                    <w:pStyle w:val="1111"/>
                    <w:bidi w:val="0"/>
                    <w:jc w:val="center"/>
                    <w:rPr>
                      <w:rFonts w:hint="default"/>
                      <w:vertAlign w:val="baseline"/>
                      <w:lang w:val="en-US" w:eastAsia="zh-CN"/>
                    </w:rPr>
                  </w:pPr>
                  <w:r>
                    <w:rPr>
                      <w:rFonts w:hint="eastAsia"/>
                      <w:vertAlign w:val="baseline"/>
                      <w:lang w:val="en-US" w:eastAsia="zh-CN"/>
                    </w:rPr>
                    <w:t>3</w:t>
                  </w:r>
                </w:p>
              </w:tc>
              <w:tc>
                <w:tcPr>
                  <w:tcW w:w="2010" w:type="dxa"/>
                  <w:shd w:val="clear" w:color="auto" w:fill="auto"/>
                  <w:vAlign w:val="center"/>
                </w:tcPr>
                <w:p w14:paraId="6D330B48">
                  <w:pPr>
                    <w:pStyle w:val="147"/>
                    <w:kinsoku w:val="0"/>
                    <w:overflowPunct w:val="0"/>
                    <w:spacing w:line="320" w:lineRule="exact"/>
                    <w:jc w:val="center"/>
                    <w:rPr>
                      <w:rFonts w:hint="eastAsia" w:ascii="Times New Roman" w:hAnsi="Times New Roman" w:eastAsia="宋体" w:cs="Times New Roman"/>
                      <w:b/>
                      <w:bCs/>
                      <w:color w:val="000000"/>
                      <w:kern w:val="0"/>
                      <w:sz w:val="21"/>
                      <w:szCs w:val="21"/>
                      <w:lang w:val="en-US" w:eastAsia="zh-CN" w:bidi="ar-SA"/>
                    </w:rPr>
                  </w:pPr>
                  <w:r>
                    <w:rPr>
                      <w:rFonts w:ascii="Times New Roman" w:hAnsi="Times New Roman"/>
                      <w:color w:val="000000"/>
                      <w:sz w:val="21"/>
                      <w:szCs w:val="21"/>
                      <w:lang w:eastAsia="zh-CN"/>
                    </w:rPr>
                    <w:t>内塑外编袋</w:t>
                  </w:r>
                </w:p>
              </w:tc>
              <w:tc>
                <w:tcPr>
                  <w:tcW w:w="1215" w:type="dxa"/>
                  <w:shd w:val="clear" w:color="auto" w:fill="auto"/>
                  <w:vAlign w:val="center"/>
                </w:tcPr>
                <w:p w14:paraId="718FF573">
                  <w:pPr>
                    <w:pStyle w:val="147"/>
                    <w:kinsoku w:val="0"/>
                    <w:overflowPunct w:val="0"/>
                    <w:spacing w:line="320" w:lineRule="exact"/>
                    <w:jc w:val="center"/>
                    <w:rPr>
                      <w:rFonts w:hint="eastAsia" w:ascii="Times New Roman" w:hAnsi="Times New Roman" w:eastAsia="宋体" w:cs="Times New Roman"/>
                      <w:b/>
                      <w:bCs/>
                      <w:color w:val="000000"/>
                      <w:kern w:val="0"/>
                      <w:sz w:val="21"/>
                      <w:szCs w:val="21"/>
                      <w:lang w:val="en-US" w:eastAsia="zh-CN" w:bidi="ar-SA"/>
                    </w:rPr>
                  </w:pPr>
                  <w:r>
                    <w:rPr>
                      <w:rFonts w:ascii="Times New Roman" w:hAnsi="Times New Roman"/>
                      <w:color w:val="000000"/>
                      <w:sz w:val="21"/>
                      <w:szCs w:val="21"/>
                      <w:lang w:eastAsia="zh-CN"/>
                    </w:rPr>
                    <w:t>若干</w:t>
                  </w:r>
                </w:p>
              </w:tc>
              <w:tc>
                <w:tcPr>
                  <w:tcW w:w="1485" w:type="dxa"/>
                  <w:shd w:val="clear" w:color="auto" w:fill="auto"/>
                  <w:vAlign w:val="center"/>
                </w:tcPr>
                <w:p w14:paraId="33060861">
                  <w:pPr>
                    <w:pStyle w:val="147"/>
                    <w:kinsoku w:val="0"/>
                    <w:overflowPunct w:val="0"/>
                    <w:spacing w:line="320" w:lineRule="exact"/>
                    <w:jc w:val="center"/>
                    <w:rPr>
                      <w:rFonts w:hint="eastAsia" w:ascii="Times New Roman" w:hAnsi="Times New Roman" w:eastAsia="宋体" w:cs="Times New Roman"/>
                      <w:b/>
                      <w:bCs/>
                      <w:color w:val="000000"/>
                      <w:kern w:val="0"/>
                      <w:sz w:val="21"/>
                      <w:szCs w:val="21"/>
                      <w:lang w:val="en-US" w:eastAsia="zh-CN" w:bidi="ar-SA"/>
                    </w:rPr>
                  </w:pPr>
                  <w:r>
                    <w:rPr>
                      <w:rFonts w:ascii="Times New Roman" w:hAnsi="Times New Roman"/>
                      <w:color w:val="000000"/>
                      <w:sz w:val="21"/>
                      <w:szCs w:val="21"/>
                      <w:lang w:eastAsia="zh-CN"/>
                    </w:rPr>
                    <w:t>300kg/袋</w:t>
                  </w:r>
                </w:p>
              </w:tc>
              <w:tc>
                <w:tcPr>
                  <w:tcW w:w="2454" w:type="dxa"/>
                  <w:shd w:val="clear" w:color="auto" w:fill="auto"/>
                  <w:vAlign w:val="center"/>
                </w:tcPr>
                <w:p w14:paraId="3E3709D2">
                  <w:pPr>
                    <w:pStyle w:val="147"/>
                    <w:kinsoku w:val="0"/>
                    <w:overflowPunct w:val="0"/>
                    <w:spacing w:line="320" w:lineRule="exact"/>
                    <w:jc w:val="center"/>
                    <w:rPr>
                      <w:rFonts w:hint="eastAsia" w:ascii="Times New Roman" w:hAnsi="Times New Roman" w:eastAsia="宋体" w:cs="Times New Roman"/>
                      <w:b/>
                      <w:bCs/>
                      <w:color w:val="000000"/>
                      <w:kern w:val="0"/>
                      <w:sz w:val="21"/>
                      <w:szCs w:val="21"/>
                      <w:lang w:val="en-US" w:eastAsia="zh-CN" w:bidi="ar-SA"/>
                    </w:rPr>
                  </w:pPr>
                  <w:r>
                    <w:rPr>
                      <w:rFonts w:ascii="Times New Roman" w:hAnsi="Times New Roman"/>
                      <w:color w:val="000000"/>
                      <w:sz w:val="21"/>
                      <w:szCs w:val="21"/>
                      <w:lang w:eastAsia="zh-CN"/>
                    </w:rPr>
                    <w:t>外购</w:t>
                  </w:r>
                </w:p>
              </w:tc>
            </w:tr>
            <w:tr w14:paraId="315DA3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dxa"/>
                  <w:vAlign w:val="center"/>
                </w:tcPr>
                <w:p w14:paraId="16626FA6">
                  <w:pPr>
                    <w:pStyle w:val="1111"/>
                    <w:bidi w:val="0"/>
                    <w:jc w:val="center"/>
                    <w:rPr>
                      <w:rFonts w:hint="default"/>
                      <w:vertAlign w:val="baseline"/>
                      <w:lang w:val="en-US" w:eastAsia="zh-CN"/>
                    </w:rPr>
                  </w:pPr>
                  <w:r>
                    <w:rPr>
                      <w:rFonts w:hint="eastAsia"/>
                      <w:vertAlign w:val="baseline"/>
                      <w:lang w:val="en-US" w:eastAsia="zh-CN"/>
                    </w:rPr>
                    <w:t>4</w:t>
                  </w:r>
                </w:p>
              </w:tc>
              <w:tc>
                <w:tcPr>
                  <w:tcW w:w="2010" w:type="dxa"/>
                  <w:vAlign w:val="center"/>
                </w:tcPr>
                <w:p w14:paraId="65FCBA34">
                  <w:pPr>
                    <w:pStyle w:val="1111"/>
                    <w:bidi w:val="0"/>
                    <w:jc w:val="center"/>
                    <w:rPr>
                      <w:rFonts w:hint="eastAsia"/>
                      <w:vertAlign w:val="baseline"/>
                      <w:lang w:val="en-US" w:eastAsia="zh-CN"/>
                    </w:rPr>
                  </w:pPr>
                  <w:r>
                    <w:rPr>
                      <w:rFonts w:hint="eastAsia"/>
                      <w:vertAlign w:val="baseline"/>
                      <w:lang w:val="en-US" w:eastAsia="zh-CN"/>
                    </w:rPr>
                    <w:t>氢氧化钠</w:t>
                  </w:r>
                </w:p>
              </w:tc>
              <w:tc>
                <w:tcPr>
                  <w:tcW w:w="1215" w:type="dxa"/>
                  <w:vAlign w:val="center"/>
                </w:tcPr>
                <w:p w14:paraId="13B00C98">
                  <w:pPr>
                    <w:pStyle w:val="1111"/>
                    <w:bidi w:val="0"/>
                    <w:jc w:val="center"/>
                    <w:rPr>
                      <w:rFonts w:hint="default"/>
                      <w:vertAlign w:val="baseline"/>
                      <w:lang w:val="en-US" w:eastAsia="zh-CN"/>
                    </w:rPr>
                  </w:pPr>
                  <w:r>
                    <w:rPr>
                      <w:rFonts w:hint="eastAsia"/>
                      <w:vertAlign w:val="baseline"/>
                      <w:lang w:val="en-US" w:eastAsia="zh-CN"/>
                    </w:rPr>
                    <w:t>12t/a</w:t>
                  </w:r>
                </w:p>
              </w:tc>
              <w:tc>
                <w:tcPr>
                  <w:tcW w:w="1485" w:type="dxa"/>
                  <w:shd w:val="clear" w:color="auto" w:fill="auto"/>
                  <w:vAlign w:val="center"/>
                </w:tcPr>
                <w:p w14:paraId="658001FB">
                  <w:pPr>
                    <w:pStyle w:val="1111"/>
                    <w:bidi w:val="0"/>
                    <w:jc w:val="center"/>
                    <w:rPr>
                      <w:rFonts w:hint="eastAsia" w:ascii="Times New Roman" w:hAnsi="Times New Roman" w:eastAsia="宋体" w:cs="Times New Roman"/>
                      <w:kern w:val="0"/>
                      <w:sz w:val="21"/>
                      <w:szCs w:val="20"/>
                      <w:vertAlign w:val="baseline"/>
                      <w:lang w:val="en-US" w:eastAsia="zh-CN" w:bidi="ar-SA"/>
                    </w:rPr>
                  </w:pPr>
                  <w:r>
                    <w:rPr>
                      <w:rFonts w:hint="eastAsia" w:cs="Times New Roman"/>
                      <w:kern w:val="0"/>
                      <w:sz w:val="21"/>
                      <w:szCs w:val="20"/>
                      <w:vertAlign w:val="baseline"/>
                      <w:lang w:val="en-US" w:eastAsia="zh-CN" w:bidi="ar-SA"/>
                    </w:rPr>
                    <w:t>吨袋</w:t>
                  </w:r>
                </w:p>
              </w:tc>
              <w:tc>
                <w:tcPr>
                  <w:tcW w:w="2454" w:type="dxa"/>
                  <w:vAlign w:val="center"/>
                </w:tcPr>
                <w:p w14:paraId="7DB88647">
                  <w:pPr>
                    <w:pStyle w:val="1111"/>
                    <w:bidi w:val="0"/>
                    <w:jc w:val="center"/>
                    <w:rPr>
                      <w:rFonts w:hint="eastAsia"/>
                      <w:vertAlign w:val="baseline"/>
                      <w:lang w:val="en-US" w:eastAsia="zh-CN"/>
                    </w:rPr>
                  </w:pPr>
                  <w:r>
                    <w:rPr>
                      <w:rFonts w:hint="eastAsia"/>
                      <w:vertAlign w:val="baseline"/>
                      <w:lang w:val="en-US" w:eastAsia="zh-CN"/>
                    </w:rPr>
                    <w:t>废气治理设施投加的药剂</w:t>
                  </w:r>
                </w:p>
              </w:tc>
            </w:tr>
          </w:tbl>
          <w:p w14:paraId="587523D2">
            <w:pPr>
              <w:pStyle w:val="512"/>
              <w:bidi w:val="0"/>
            </w:pPr>
            <w:r>
              <w:t>6、劳动定员和工作制度</w:t>
            </w:r>
          </w:p>
          <w:p w14:paraId="4D9AB14F">
            <w:pPr>
              <w:pStyle w:val="512"/>
              <w:bidi w:val="0"/>
              <w:rPr>
                <w:rFonts w:hint="default" w:eastAsia="宋体"/>
                <w:lang w:val="en-US" w:eastAsia="zh-CN"/>
              </w:rPr>
            </w:pPr>
            <w:r>
              <w:t>本项目</w:t>
            </w:r>
            <w:r>
              <w:rPr>
                <w:rFonts w:hint="eastAsia"/>
                <w:lang w:eastAsia="zh-CN"/>
              </w:rPr>
              <w:t>新增</w:t>
            </w:r>
            <w:r>
              <w:t>劳动定员5人</w:t>
            </w:r>
            <w:r>
              <w:rPr>
                <w:rFonts w:hint="eastAsia"/>
                <w:lang w:eastAsia="zh-CN"/>
              </w:rPr>
              <w:t>。</w:t>
            </w:r>
            <w:r>
              <w:t>全年工作时间360天，每天工作8h</w:t>
            </w:r>
            <w:r>
              <w:rPr>
                <w:rFonts w:hint="eastAsia"/>
                <w:lang w:eastAsia="zh-CN"/>
              </w:rPr>
              <w:t>，统一于园区办公区办公</w:t>
            </w:r>
            <w:r>
              <w:t>。</w:t>
            </w:r>
            <w:r>
              <w:rPr>
                <w:rFonts w:hint="eastAsia"/>
                <w:lang w:eastAsia="zh-CN"/>
              </w:rPr>
              <w:t>危废贮存天数按</w:t>
            </w:r>
            <w:r>
              <w:rPr>
                <w:rFonts w:hint="eastAsia"/>
                <w:lang w:val="en-US" w:eastAsia="zh-CN"/>
              </w:rPr>
              <w:t>365天计，每日24h，年运行时数8760小时。</w:t>
            </w:r>
          </w:p>
          <w:p w14:paraId="1FCAD887">
            <w:pPr>
              <w:pStyle w:val="512"/>
              <w:bidi w:val="0"/>
            </w:pPr>
            <w:r>
              <w:t>7、项目实施进度安排</w:t>
            </w:r>
          </w:p>
          <w:p w14:paraId="01723C8B">
            <w:pPr>
              <w:pStyle w:val="512"/>
              <w:bidi w:val="0"/>
            </w:pPr>
            <w:bookmarkStart w:id="7" w:name="_Toc108522586"/>
            <w:r>
              <w:t>项目建设周期</w:t>
            </w:r>
            <w:r>
              <w:rPr>
                <w:rFonts w:hint="eastAsia"/>
                <w:lang w:eastAsia="zh-CN"/>
              </w:rPr>
              <w:t>预计为</w:t>
            </w:r>
            <w:r>
              <w:t>1个月。</w:t>
            </w:r>
            <w:bookmarkEnd w:id="7"/>
          </w:p>
          <w:p w14:paraId="3EE7B7C7">
            <w:pPr>
              <w:pStyle w:val="512"/>
              <w:bidi w:val="0"/>
            </w:pPr>
            <w:r>
              <w:t>8、项目周边环境概况</w:t>
            </w:r>
          </w:p>
          <w:p w14:paraId="08DABB63">
            <w:pPr>
              <w:pStyle w:val="512"/>
              <w:bidi w:val="0"/>
            </w:pPr>
            <w:r>
              <w:t>本项目位于连云港经济技术开发区高端化学制剂产业园内，产业园位于连云港经济技术开发区昌圩路北，金桥路西。东侧为金桥路、西侧为汇元、南侧为昌圩路、北侧为恒瑞医药园。周边配套设施齐全，拟建地交通便利、区位优势明显。项目地理位置图见附图</w:t>
            </w:r>
            <w:r>
              <w:rPr>
                <w:rFonts w:hint="eastAsia"/>
                <w:lang w:eastAsia="zh-CN"/>
              </w:rPr>
              <w:t>一</w:t>
            </w:r>
            <w:r>
              <w:t>，项目四邻情况及500m范围内主要环境保护目标见附图</w:t>
            </w:r>
            <w:r>
              <w:rPr>
                <w:rFonts w:hint="eastAsia"/>
                <w:lang w:eastAsia="zh-CN"/>
              </w:rPr>
              <w:t>五</w:t>
            </w:r>
            <w:r>
              <w:t>。</w:t>
            </w:r>
          </w:p>
          <w:p w14:paraId="2968883D">
            <w:pPr>
              <w:pStyle w:val="512"/>
              <w:bidi w:val="0"/>
            </w:pPr>
            <w:r>
              <w:t>9、厂区平面布置</w:t>
            </w:r>
          </w:p>
          <w:p w14:paraId="550931E4">
            <w:pPr>
              <w:pStyle w:val="512"/>
            </w:pPr>
            <w:r>
              <w:rPr>
                <w:rFonts w:ascii="Times New Roman" w:eastAsia="宋体"/>
                <w:sz w:val="24"/>
                <w:szCs w:val="24"/>
                <w:lang w:bidi="ar"/>
              </w:rPr>
              <w:t>本项目位于连云港经济技术开发区高端化学制剂产业园内，</w:t>
            </w:r>
            <w:r>
              <w:rPr>
                <w:rFonts w:hint="eastAsia" w:ascii="Times New Roman" w:eastAsia="宋体"/>
                <w:sz w:val="24"/>
                <w:szCs w:val="24"/>
                <w:lang w:bidi="ar"/>
              </w:rPr>
              <w:t>本项目位于</w:t>
            </w:r>
            <w:r>
              <w:rPr>
                <w:rFonts w:ascii="Times New Roman" w:eastAsia="宋体"/>
                <w:sz w:val="24"/>
                <w:szCs w:val="24"/>
                <w:lang w:bidi="ar"/>
              </w:rPr>
              <w:t>中华药港园区北侧，</w:t>
            </w:r>
            <w:r>
              <w:rPr>
                <w:rFonts w:hint="eastAsia" w:ascii="Times New Roman" w:eastAsia="宋体"/>
                <w:sz w:val="24"/>
                <w:szCs w:val="24"/>
                <w:lang w:bidi="ar"/>
              </w:rPr>
              <w:t>危废库</w:t>
            </w:r>
            <w:r>
              <w:rPr>
                <w:rFonts w:ascii="Times New Roman" w:eastAsia="宋体"/>
                <w:sz w:val="24"/>
                <w:szCs w:val="24"/>
                <w:lang w:bidi="ar"/>
              </w:rPr>
              <w:t>划分10个存储间</w:t>
            </w:r>
            <w:r>
              <w:rPr>
                <w:rFonts w:hint="eastAsia"/>
                <w:sz w:val="24"/>
                <w:szCs w:val="24"/>
                <w:lang w:eastAsia="zh-CN" w:bidi="ar"/>
              </w:rPr>
              <w:t>，本项目租用了其中的</w:t>
            </w:r>
            <w:r>
              <w:rPr>
                <w:rFonts w:hint="eastAsia"/>
                <w:sz w:val="24"/>
                <w:szCs w:val="24"/>
                <w:lang w:val="en-US" w:eastAsia="zh-CN" w:bidi="ar"/>
              </w:rPr>
              <w:t>1#存储间、2#存储间和3#存储间</w:t>
            </w:r>
            <w:r>
              <w:rPr>
                <w:rFonts w:ascii="Times New Roman" w:eastAsia="宋体"/>
                <w:sz w:val="24"/>
                <w:szCs w:val="24"/>
                <w:lang w:bidi="ar"/>
              </w:rPr>
              <w:t>。厂区平面详见附图</w:t>
            </w:r>
            <w:r>
              <w:rPr>
                <w:rFonts w:hint="eastAsia"/>
                <w:sz w:val="24"/>
                <w:szCs w:val="24"/>
                <w:lang w:eastAsia="zh-CN" w:bidi="ar"/>
              </w:rPr>
              <w:t>六</w:t>
            </w:r>
            <w:r>
              <w:rPr>
                <w:rFonts w:ascii="Times New Roman" w:eastAsia="宋体"/>
                <w:sz w:val="24"/>
                <w:szCs w:val="24"/>
                <w:lang w:bidi="ar"/>
              </w:rPr>
              <w:t>。</w:t>
            </w:r>
          </w:p>
          <w:p w14:paraId="45880074">
            <w:pPr>
              <w:pStyle w:val="512"/>
            </w:pPr>
            <w:r>
              <w:t>11</w:t>
            </w:r>
            <w:r>
              <w:rPr>
                <w:rFonts w:hint="eastAsia"/>
              </w:rPr>
              <w:t>、</w:t>
            </w:r>
            <w:r>
              <w:t>项目水平衡</w:t>
            </w:r>
            <w:r>
              <w:rPr>
                <w:rFonts w:hint="eastAsia"/>
              </w:rPr>
              <w:t>分析</w:t>
            </w:r>
          </w:p>
          <w:p w14:paraId="37ADBEE9">
            <w:pPr>
              <w:pStyle w:val="1111"/>
              <w:rPr>
                <w:rFonts w:hint="eastAsia" w:eastAsia="宋体"/>
                <w:lang w:eastAsia="zh-CN"/>
              </w:rPr>
            </w:pPr>
            <w:r>
              <w:rPr>
                <w:rFonts w:hint="eastAsia" w:eastAsia="宋体"/>
                <w:lang w:eastAsia="zh-CN"/>
              </w:rPr>
              <w:drawing>
                <wp:inline distT="0" distB="0" distL="114300" distR="114300">
                  <wp:extent cx="4972050" cy="1463040"/>
                  <wp:effectExtent l="0" t="0" r="0" b="3810"/>
                  <wp:docPr id="6" name="图片 6" descr="水平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水平衡"/>
                          <pic:cNvPicPr>
                            <a:picLocks noChangeAspect="1"/>
                          </pic:cNvPicPr>
                        </pic:nvPicPr>
                        <pic:blipFill>
                          <a:blip r:embed="rId17"/>
                          <a:stretch>
                            <a:fillRect/>
                          </a:stretch>
                        </pic:blipFill>
                        <pic:spPr>
                          <a:xfrm>
                            <a:off x="0" y="0"/>
                            <a:ext cx="4972050" cy="1463040"/>
                          </a:xfrm>
                          <a:prstGeom prst="rect">
                            <a:avLst/>
                          </a:prstGeom>
                        </pic:spPr>
                      </pic:pic>
                    </a:graphicData>
                  </a:graphic>
                </wp:inline>
              </w:drawing>
            </w:r>
          </w:p>
          <w:p w14:paraId="4FE3EB43">
            <w:pPr>
              <w:pStyle w:val="1111"/>
            </w:pPr>
            <w:r>
              <w:t xml:space="preserve">图2-1 </w:t>
            </w:r>
            <w:r>
              <w:rPr>
                <w:rFonts w:hint="eastAsia"/>
              </w:rPr>
              <w:t>本</w:t>
            </w:r>
            <w:r>
              <w:t>项目</w:t>
            </w:r>
            <w:r>
              <w:rPr>
                <w:rFonts w:hint="eastAsia"/>
              </w:rPr>
              <w:t>全厂</w:t>
            </w:r>
            <w:r>
              <w:t>水平衡图（m</w:t>
            </w:r>
            <w:r>
              <w:rPr>
                <w:vertAlign w:val="superscript"/>
              </w:rPr>
              <w:t>3</w:t>
            </w:r>
            <w:r>
              <w:t>/a</w:t>
            </w:r>
            <w:r>
              <w:rPr>
                <w:rFonts w:hint="eastAsia"/>
              </w:rPr>
              <w:t>）</w:t>
            </w:r>
          </w:p>
          <w:p w14:paraId="01C449EF">
            <w:pPr>
              <w:pStyle w:val="512"/>
            </w:pPr>
            <w:r>
              <w:rPr>
                <w:rFonts w:hint="eastAsia"/>
              </w:rPr>
              <w:t>1</w:t>
            </w:r>
            <w:r>
              <w:t>2</w:t>
            </w:r>
            <w:r>
              <w:rPr>
                <w:rFonts w:hint="eastAsia"/>
              </w:rPr>
              <w:t>、项目所在区域基础设施建设</w:t>
            </w:r>
          </w:p>
          <w:p w14:paraId="6F473B42">
            <w:pPr>
              <w:pStyle w:val="512"/>
              <w:bidi w:val="0"/>
            </w:pPr>
            <w:r>
              <w:rPr>
                <w:rFonts w:hint="eastAsia"/>
              </w:rPr>
              <w:t>（1）给水设施</w:t>
            </w:r>
          </w:p>
          <w:p w14:paraId="0C2FF6E8">
            <w:pPr>
              <w:pStyle w:val="512"/>
              <w:bidi w:val="0"/>
              <w:rPr>
                <w:rFonts w:hint="eastAsia"/>
              </w:rPr>
            </w:pPr>
            <w:r>
              <w:rPr>
                <w:rFonts w:hint="eastAsia"/>
              </w:rPr>
              <w:t>开发区供水主要由茅口水厂及第三水厂提供，供水规模均为20万m</w:t>
            </w:r>
            <w:r>
              <w:rPr>
                <w:rFonts w:hint="eastAsia"/>
                <w:vertAlign w:val="superscript"/>
              </w:rPr>
              <w:t>3</w:t>
            </w:r>
            <w:r>
              <w:rPr>
                <w:rFonts w:hint="eastAsia"/>
              </w:rPr>
              <w:t>/d，主要水源为蔷薇河，满足区域用水需求。</w:t>
            </w:r>
          </w:p>
          <w:p w14:paraId="2448ABFA">
            <w:pPr>
              <w:pStyle w:val="512"/>
            </w:pPr>
            <w:r>
              <w:rPr>
                <w:rFonts w:hint="eastAsia"/>
              </w:rPr>
              <w:t>（2）污水设施</w:t>
            </w:r>
          </w:p>
          <w:p w14:paraId="07257F1A">
            <w:pPr>
              <w:pStyle w:val="512"/>
            </w:pPr>
            <w:r>
              <w:rPr>
                <w:rFonts w:hint="eastAsia"/>
              </w:rPr>
              <w:t>本项目排水采用雨污分流。项目污水</w:t>
            </w:r>
            <w:r>
              <w:rPr>
                <w:rFonts w:ascii="Times New Roman" w:eastAsia="宋体"/>
                <w:sz w:val="24"/>
                <w:szCs w:val="24"/>
              </w:rPr>
              <w:t>经园区中华药港污水站处理后尾水进入</w:t>
            </w:r>
            <w:r>
              <w:rPr>
                <w:rFonts w:ascii="Times New Roman" w:eastAsia="宋体"/>
                <w:spacing w:val="0"/>
                <w:sz w:val="24"/>
                <w:szCs w:val="24"/>
              </w:rPr>
              <w:t>临港污水处理厂集中处理</w:t>
            </w:r>
            <w:r>
              <w:rPr>
                <w:rFonts w:hint="eastAsia"/>
              </w:rPr>
              <w:t>。开发区临港污水处理厂</w:t>
            </w:r>
            <w:r>
              <w:t>位于连云港经济技术开发区开太河南侧、云池路北侧、临洪路东侧、云桥路西侧，项目一期工程项目总投资为15566万元，处理规模为48000t/d。其收水范围主要由两部分组成：一是临港产业区西北片区，污水性质为工业废水和生活污水；二是连云新城（滨海新区）西南片区，主要以居住和公用设施用地为主，污水性质为生活污水，近期服务范围覆盖面积约47.66km</w:t>
            </w:r>
            <w:r>
              <w:rPr>
                <w:vertAlign w:val="superscript"/>
              </w:rPr>
              <w:t>2</w:t>
            </w:r>
            <w:r>
              <w:t>。</w:t>
            </w:r>
          </w:p>
          <w:p w14:paraId="7FE29583">
            <w:pPr>
              <w:pStyle w:val="512"/>
            </w:pPr>
            <w:r>
              <w:rPr>
                <w:rFonts w:hint="eastAsia"/>
              </w:rPr>
              <w:t>本项目位于</w:t>
            </w:r>
            <w:r>
              <w:rPr>
                <w:rFonts w:hint="eastAsia"/>
                <w:lang w:eastAsia="zh-CN"/>
              </w:rPr>
              <w:t>中华药港，在临港产业区西北片区范围</w:t>
            </w:r>
            <w:r>
              <w:rPr>
                <w:rFonts w:hint="eastAsia"/>
              </w:rPr>
              <w:t>内，目前污水管网已覆盖。</w:t>
            </w:r>
          </w:p>
          <w:p w14:paraId="122B2B9E">
            <w:pPr>
              <w:pStyle w:val="512"/>
              <w:rPr>
                <w:szCs w:val="24"/>
              </w:rPr>
            </w:pPr>
            <w:r>
              <w:rPr>
                <w:rFonts w:hint="eastAsia"/>
                <w:szCs w:val="24"/>
              </w:rPr>
              <w:t>（3）雨水设施</w:t>
            </w:r>
          </w:p>
          <w:p w14:paraId="21A43B9F">
            <w:pPr>
              <w:pStyle w:val="512"/>
              <w:bidi w:val="0"/>
            </w:pPr>
            <w:r>
              <w:rPr>
                <w:rFonts w:hint="eastAsia"/>
                <w:bCs/>
                <w:szCs w:val="21"/>
                <w:lang w:eastAsia="zh-CN"/>
              </w:rPr>
              <w:t>中华药港</w:t>
            </w:r>
            <w:r>
              <w:rPr>
                <w:bCs/>
                <w:szCs w:val="21"/>
              </w:rPr>
              <w:t>本着“分片收集、就近分散、自流排放”的原则布置雨水管（渠），就近排入水体，</w:t>
            </w:r>
            <w:r>
              <w:t>雨水管网覆盖率为100%。沿规划道路布置D400-D800毫米和B×H=1.2×1.8-3.0×1.2米的雨水管（渠）雨水排放口内顶不低于多年平均洪水位，并在常水位以上。</w:t>
            </w:r>
          </w:p>
          <w:p w14:paraId="52C9DB06">
            <w:pPr>
              <w:pStyle w:val="512"/>
              <w:bidi w:val="0"/>
            </w:pPr>
            <w:r>
              <w:rPr>
                <w:bCs/>
              </w:rPr>
              <w:t>（4）</w:t>
            </w:r>
            <w:r>
              <w:rPr>
                <w:rFonts w:hint="eastAsia"/>
                <w:bCs/>
              </w:rPr>
              <w:t>供电工</w:t>
            </w:r>
            <w:r>
              <w:rPr>
                <w:rFonts w:hint="eastAsia"/>
              </w:rPr>
              <w:t>程</w:t>
            </w:r>
          </w:p>
          <w:p w14:paraId="51F2D934">
            <w:pPr>
              <w:pStyle w:val="512"/>
              <w:bidi w:val="0"/>
            </w:pPr>
            <w:r>
              <w:t>规划区内新建10千伏变配电所应尽量采用附设式，尽量设在负荷中心，无条件的小区宜设置独立的变配电所，建筑物外观应与相邻环境协调。附设在高层建筑物内的变电所，宜设置在首层，并应考虑层高度是否满足设备高度以及消防防火、通风的要求。</w:t>
            </w:r>
          </w:p>
          <w:p w14:paraId="2AC77E9F">
            <w:pPr>
              <w:pStyle w:val="512"/>
              <w:bidi w:val="0"/>
              <w:rPr>
                <w:bCs/>
                <w:szCs w:val="21"/>
              </w:rPr>
            </w:pPr>
            <w:r>
              <w:t>规划区内新规划的电缆排管原则上沿道路西、路南的绿化带或人行道下敷设。规划区内主干道路上的电缆排管</w:t>
            </w:r>
            <w:r>
              <w:rPr>
                <w:bCs/>
                <w:szCs w:val="21"/>
              </w:rPr>
              <w:t>原则上按24孔的规格敷设，其他道路上一般按16孔、12孔的规格敷设，城市支路一般按8孔的规格敷设。电缆排管应随道路建设一次建成，避免道路重复开挖。</w:t>
            </w:r>
          </w:p>
          <w:p w14:paraId="7945B32E">
            <w:pPr>
              <w:pStyle w:val="512"/>
              <w:numPr>
                <w:ilvl w:val="0"/>
                <w:numId w:val="10"/>
              </w:numPr>
              <w:bidi w:val="0"/>
            </w:pPr>
            <w:r>
              <w:t>危险废物贮存管理</w:t>
            </w:r>
          </w:p>
          <w:p w14:paraId="3405311C">
            <w:pPr>
              <w:pStyle w:val="512"/>
              <w:bidi w:val="0"/>
            </w:pPr>
            <w:r>
              <w:t>①从事危险废物贮存的单位，必须得到有资质单位出具的该危险废物样品物理和化学性质的分析报告，认定可以贮存后，方可接收。</w:t>
            </w:r>
          </w:p>
          <w:p w14:paraId="4DE225A1">
            <w:pPr>
              <w:pStyle w:val="512"/>
              <w:bidi w:val="0"/>
            </w:pPr>
            <w:r>
              <w:t>②危险废物应</w:t>
            </w:r>
            <w:r>
              <w:rPr>
                <w:rFonts w:hint="eastAsia"/>
                <w:lang w:eastAsia="zh-CN"/>
              </w:rPr>
              <w:t>经检测后</w:t>
            </w:r>
            <w:r>
              <w:t>，确保同预定接收的危险废物一致，并登记</w:t>
            </w:r>
            <w:r>
              <w:rPr>
                <w:rFonts w:hint="eastAsia"/>
                <w:lang w:eastAsia="zh-CN"/>
              </w:rPr>
              <w:t>注</w:t>
            </w:r>
            <w:r>
              <w:t>册。</w:t>
            </w:r>
          </w:p>
          <w:p w14:paraId="3BE8AD60">
            <w:pPr>
              <w:pStyle w:val="512"/>
              <w:bidi w:val="0"/>
            </w:pPr>
            <w:r>
              <w:t>③不得接收未粘贴符合4.9规定的标签或标签没按规定填写的危险废物。</w:t>
            </w:r>
          </w:p>
          <w:p w14:paraId="080BA92F">
            <w:pPr>
              <w:pStyle w:val="512"/>
              <w:bidi w:val="0"/>
            </w:pPr>
            <w:r>
              <w:t>④盛装在容器内的同类危险废物可以堆叠存放。</w:t>
            </w:r>
          </w:p>
          <w:p w14:paraId="243A88F5">
            <w:pPr>
              <w:pStyle w:val="512"/>
              <w:bidi w:val="0"/>
            </w:pPr>
            <w:r>
              <w:t>⑤每个堆间应留有搬运通道。</w:t>
            </w:r>
          </w:p>
          <w:p w14:paraId="79B442C1">
            <w:pPr>
              <w:pStyle w:val="512"/>
              <w:bidi w:val="0"/>
            </w:pPr>
            <w:r>
              <w:t>⑥不得将不相容的废物混合或合并存放。</w:t>
            </w:r>
          </w:p>
          <w:p w14:paraId="711CA47E">
            <w:pPr>
              <w:pStyle w:val="512"/>
              <w:bidi w:val="0"/>
            </w:pPr>
            <w:r>
              <w:t>⑦危险废物产生者和危险废物贮存设施经营者均须作好危险废物情况的记录，记录上须注明危险废物的名称、来源、数量、特性和包装容器的类别、入库日期、存放库位、废物出库日期及接收单位名称。危险废物的记录和货单在危险废物回取后应继续保留3a。</w:t>
            </w:r>
          </w:p>
          <w:p w14:paraId="5CDDB490">
            <w:pPr>
              <w:pStyle w:val="512"/>
              <w:bidi w:val="0"/>
            </w:pPr>
            <w:r>
              <w:t>⑧必须定期对所贮存的危险废物包装容器及贮存设施进行检查，发现破损，应及时采取措施清理更换。</w:t>
            </w:r>
          </w:p>
          <w:p w14:paraId="4A1F78EF">
            <w:pPr>
              <w:pStyle w:val="512"/>
              <w:bidi w:val="0"/>
            </w:pPr>
            <w:r>
              <w:t>⑨泄漏液、清洗液、浸出液必须符合GB8978的要求方可排放，气体导出口排出的气体经处理后，应满足GB16297和GB14554的要求。</w:t>
            </w:r>
          </w:p>
          <w:p w14:paraId="0967F03B">
            <w:pPr>
              <w:pStyle w:val="512"/>
              <w:numPr>
                <w:ilvl w:val="0"/>
                <w:numId w:val="0"/>
              </w:numPr>
              <w:bidi w:val="0"/>
              <w:ind w:left="0" w:leftChars="0" w:firstLine="480" w:firstLineChars="200"/>
            </w:pPr>
            <w:r>
              <w:rPr>
                <w:rFonts w:hint="eastAsia" w:cs="Times New Roman"/>
                <w:spacing w:val="0"/>
                <w:kern w:val="0"/>
                <w:sz w:val="24"/>
                <w:szCs w:val="20"/>
                <w:lang w:val="en-US" w:eastAsia="zh-CN" w:bidi="ar-SA"/>
              </w:rPr>
              <w:t>14、</w:t>
            </w:r>
            <w:r>
              <w:t>危险废物贮存设施的安全防护与监测</w:t>
            </w:r>
          </w:p>
          <w:p w14:paraId="34B1455C">
            <w:pPr>
              <w:pStyle w:val="512"/>
              <w:numPr>
                <w:ilvl w:val="0"/>
                <w:numId w:val="0"/>
              </w:numPr>
              <w:bidi w:val="0"/>
              <w:ind w:left="0" w:leftChars="0" w:firstLine="480" w:firstLineChars="200"/>
            </w:pPr>
            <w:r>
              <w:t>①危险废物贮存设施都必须按GB15562.2的规定设置警示标志。</w:t>
            </w:r>
          </w:p>
          <w:p w14:paraId="0E94BAFC">
            <w:pPr>
              <w:pStyle w:val="512"/>
              <w:numPr>
                <w:ilvl w:val="0"/>
                <w:numId w:val="0"/>
              </w:numPr>
              <w:bidi w:val="0"/>
              <w:ind w:left="0" w:leftChars="0" w:firstLine="480" w:firstLineChars="200"/>
            </w:pPr>
            <w:r>
              <w:t>②危险废物贮存设施周围应设置围墙或其他防护栅栏。</w:t>
            </w:r>
          </w:p>
          <w:p w14:paraId="1AC485D0">
            <w:pPr>
              <w:pStyle w:val="512"/>
              <w:numPr>
                <w:ilvl w:val="0"/>
                <w:numId w:val="0"/>
              </w:numPr>
              <w:bidi w:val="0"/>
              <w:ind w:left="0" w:leftChars="0" w:firstLine="480" w:firstLineChars="200"/>
            </w:pPr>
            <w:r>
              <w:t>③危险废物贮存设施应配备通讯设备、照明设施、安全防护服装及工具，并 设有应急防护设施。</w:t>
            </w:r>
          </w:p>
          <w:p w14:paraId="2D659EAE">
            <w:pPr>
              <w:pStyle w:val="512"/>
              <w:numPr>
                <w:ilvl w:val="0"/>
                <w:numId w:val="0"/>
              </w:numPr>
              <w:bidi w:val="0"/>
              <w:ind w:left="0" w:leftChars="0" w:firstLine="480" w:firstLineChars="200"/>
            </w:pPr>
            <w:r>
              <w:t>④危险废物贮存设施内清理出来的泄漏物，一律按危险废物处理。</w:t>
            </w:r>
          </w:p>
          <w:p w14:paraId="6841705A">
            <w:pPr>
              <w:pStyle w:val="512"/>
              <w:numPr>
                <w:ilvl w:val="0"/>
                <w:numId w:val="0"/>
              </w:numPr>
              <w:bidi w:val="0"/>
              <w:ind w:left="0" w:leftChars="0" w:firstLine="480" w:firstLineChars="200"/>
              <w:rPr>
                <w:rFonts w:hint="default"/>
                <w:lang w:val="en-US" w:eastAsia="zh-CN"/>
              </w:rPr>
            </w:pPr>
            <w:r>
              <w:t>⑤按国家污染源管理要求对危险废物贮存设施进行监测。</w:t>
            </w:r>
          </w:p>
        </w:tc>
      </w:tr>
      <w:tr w14:paraId="5FE649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71" w:hRule="atLeast"/>
          <w:jc w:val="center"/>
        </w:trPr>
        <w:tc>
          <w:tcPr>
            <w:tcW w:w="264" w:type="pct"/>
            <w:vAlign w:val="center"/>
          </w:tcPr>
          <w:p w14:paraId="7F023448">
            <w:pPr>
              <w:pStyle w:val="71"/>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工艺流程和产排污环节</w:t>
            </w:r>
          </w:p>
        </w:tc>
        <w:tc>
          <w:tcPr>
            <w:tcW w:w="4735" w:type="pct"/>
            <w:vAlign w:val="center"/>
          </w:tcPr>
          <w:p w14:paraId="3D4FCDC3">
            <w:pPr>
              <w:pStyle w:val="512"/>
              <w:numPr>
                <w:ilvl w:val="0"/>
                <w:numId w:val="0"/>
              </w:numPr>
              <w:bidi w:val="0"/>
              <w:ind w:firstLine="480" w:firstLineChars="200"/>
              <w:rPr>
                <w:rFonts w:hint="eastAsia"/>
                <w:lang w:val="en-US" w:eastAsia="zh-CN"/>
              </w:rPr>
            </w:pPr>
            <w:r>
              <w:rPr>
                <w:rFonts w:hint="eastAsia"/>
                <w:lang w:eastAsia="zh-CN"/>
              </w:rPr>
              <w:t>本项目利用已建</w:t>
            </w:r>
            <w:r>
              <w:rPr>
                <w:rFonts w:hint="eastAsia"/>
                <w:lang w:val="en-US" w:eastAsia="zh-CN"/>
              </w:rPr>
              <w:t>危废库为小微企业提供危险废物的仓储服务。</w:t>
            </w:r>
          </w:p>
          <w:p w14:paraId="30F56DC7">
            <w:pPr>
              <w:pStyle w:val="512"/>
              <w:bidi w:val="0"/>
            </w:pPr>
            <w:r>
              <w:t>（1）收集</w:t>
            </w:r>
          </w:p>
          <w:p w14:paraId="331F32BE">
            <w:pPr>
              <w:pStyle w:val="512"/>
              <w:bidi w:val="0"/>
            </w:pPr>
            <w:r>
              <w:t>危险废物由产废企业自行收集并暂存在厂区相应的暂存间内。</w:t>
            </w:r>
            <w:r>
              <w:rPr>
                <w:rFonts w:hint="eastAsia"/>
                <w:lang w:eastAsia="zh-CN"/>
              </w:rPr>
              <w:t>企业</w:t>
            </w:r>
            <w:r>
              <w:rPr>
                <w:rFonts w:hint="eastAsia"/>
              </w:rPr>
              <w:t>安排</w:t>
            </w:r>
            <w:r>
              <w:t>车辆</w:t>
            </w:r>
            <w:r>
              <w:rPr>
                <w:rFonts w:hint="eastAsia"/>
              </w:rPr>
              <w:t>统一</w:t>
            </w:r>
            <w:r>
              <w:t>收集，根据企业危险废物的产生量、固液状态等情况，在收集前提出相应的包装要求，危险废物产生单位按要求进行</w:t>
            </w:r>
            <w:r>
              <w:rPr>
                <w:rFonts w:hint="eastAsia"/>
              </w:rPr>
              <w:t>各自</w:t>
            </w:r>
            <w:r>
              <w:t>收集、包装。</w:t>
            </w:r>
          </w:p>
          <w:p w14:paraId="29648B3B">
            <w:pPr>
              <w:pStyle w:val="512"/>
              <w:bidi w:val="0"/>
            </w:pPr>
            <w:r>
              <w:t>危险废物收集时应根据危险废物的种类、数量、危险特性、物理形态、运输要求等因素确定包装形式，具体包装应符合如下要求：</w:t>
            </w:r>
          </w:p>
          <w:p w14:paraId="513729D3">
            <w:pPr>
              <w:pStyle w:val="512"/>
              <w:bidi w:val="0"/>
            </w:pPr>
            <w:r>
              <w:t>①包装材质要与危险废物相容，可根据废物特性选择钢、铝、塑料等材质。</w:t>
            </w:r>
          </w:p>
          <w:p w14:paraId="04F5BF0E">
            <w:pPr>
              <w:pStyle w:val="512"/>
              <w:bidi w:val="0"/>
            </w:pPr>
            <w:r>
              <w:t>②性质类似的废物可收集到同一容器中，性质不相容的危险废物不应混合包装。</w:t>
            </w:r>
          </w:p>
          <w:p w14:paraId="76B3EA82">
            <w:pPr>
              <w:pStyle w:val="512"/>
              <w:bidi w:val="0"/>
            </w:pPr>
            <w:r>
              <w:t>③危险废物包装应能有效隔断危险废物迁移扩散途径，并达到防渗、防漏要求。</w:t>
            </w:r>
          </w:p>
          <w:p w14:paraId="7FE4E70E">
            <w:pPr>
              <w:pStyle w:val="512"/>
              <w:bidi w:val="0"/>
            </w:pPr>
            <w:r>
              <w:t>④包装好的危险废物应设置相应的标签，标签信息应填写完整详实。</w:t>
            </w:r>
          </w:p>
          <w:p w14:paraId="3F7DE19E">
            <w:pPr>
              <w:pStyle w:val="512"/>
              <w:bidi w:val="0"/>
            </w:pPr>
            <w:r>
              <w:t>⑤盛装过危险废物的包装袋或包装容器破损后应按危险废物进行管理和处置。</w:t>
            </w:r>
          </w:p>
          <w:p w14:paraId="3E58CDF2">
            <w:pPr>
              <w:pStyle w:val="512"/>
              <w:bidi w:val="0"/>
            </w:pPr>
            <w:r>
              <w:rPr>
                <w:rFonts w:hint="eastAsia"/>
                <w:lang w:eastAsia="zh-CN"/>
              </w:rPr>
              <w:t>企业</w:t>
            </w:r>
            <w:r>
              <w:t>派遣专业技术人员现场指导产废企业按照规范对危险废物进行分类存放和厂区暂存，并按照要求在危险废物盛装容器上粘贴标签和环保图形标识，严禁产废企业将性质不相容的废物混合或合并存放，指导产废企业做好危废的记录和台账的制作。</w:t>
            </w:r>
          </w:p>
          <w:p w14:paraId="49C0E616">
            <w:pPr>
              <w:pStyle w:val="512"/>
              <w:bidi w:val="0"/>
            </w:pPr>
            <w:r>
              <w:t>（2）物理性质检验和合同签订</w:t>
            </w:r>
          </w:p>
          <w:p w14:paraId="2856A0A4">
            <w:pPr>
              <w:pStyle w:val="512"/>
              <w:bidi w:val="0"/>
            </w:pPr>
            <w:r>
              <w:t>产废企业对产生的危险废物有转运需求时，并承诺产生的危废</w:t>
            </w:r>
            <w:r>
              <w:rPr>
                <w:rFonts w:hint="eastAsia"/>
                <w:lang w:eastAsia="zh-CN"/>
              </w:rPr>
              <w:t>不超过企业收集范围</w:t>
            </w:r>
            <w:r>
              <w:t>。</w:t>
            </w:r>
            <w:r>
              <w:rPr>
                <w:rFonts w:hint="eastAsia"/>
                <w:lang w:eastAsia="zh-CN"/>
              </w:rPr>
              <w:t>企业</w:t>
            </w:r>
            <w:r>
              <w:t>即派出相关专业人员对该企业进行现场踏勘；</w:t>
            </w:r>
            <w:r>
              <w:rPr>
                <w:rFonts w:hint="eastAsia"/>
                <w:lang w:eastAsia="zh-CN"/>
              </w:rPr>
              <w:t>企业</w:t>
            </w:r>
            <w:r>
              <w:t>明确危险废物性质，</w:t>
            </w:r>
            <w:r>
              <w:rPr>
                <w:rFonts w:hint="eastAsia"/>
                <w:lang w:eastAsia="zh-CN"/>
              </w:rPr>
              <w:t>企业</w:t>
            </w:r>
            <w:r>
              <w:t>判断</w:t>
            </w:r>
            <w:r>
              <w:rPr>
                <w:rFonts w:hint="eastAsia"/>
                <w:lang w:eastAsia="zh-CN"/>
              </w:rPr>
              <w:t>其不超过企业收集范围后，</w:t>
            </w:r>
            <w:r>
              <w:t>才能与产废企业签订该危险废物的中转暂存合同，合同中明确规定收集危险废物的种类（以防误收）。</w:t>
            </w:r>
          </w:p>
          <w:p w14:paraId="0F29AE9D">
            <w:pPr>
              <w:pStyle w:val="512"/>
              <w:bidi w:val="0"/>
            </w:pPr>
            <w:r>
              <w:rPr>
                <w:rFonts w:hint="eastAsia"/>
              </w:rPr>
              <w:t>（3）现场收集</w:t>
            </w:r>
          </w:p>
          <w:p w14:paraId="555F4A9F">
            <w:pPr>
              <w:pStyle w:val="512"/>
              <w:bidi w:val="0"/>
            </w:pPr>
            <w:r>
              <w:t>指派经过专业的运输及装卸人员至产废单位进行收集。危险废物在运输前按照《危险废物转移联单管理办法》以及有关规定办理转移手续，并按每批转移单的数量、品种进行交接。帮助产废单位采取科学的废物贮存措施，装运危险废物的容器根据危险废物的不同特性而设计，采用不易破损、变形、老化，能有效防止渗漏、扩散的装置；装有危险废物的容器标签上详细标明危险废物的名称、重量、成分、特性、装入日期以及发生泄漏、扩散污染事故时的应急措施和补救方法。</w:t>
            </w:r>
          </w:p>
          <w:p w14:paraId="6143DCA5">
            <w:pPr>
              <w:pStyle w:val="512"/>
              <w:bidi w:val="0"/>
            </w:pPr>
            <w:r>
              <w:t>危险废物收集前需对包装容器和材料进行检查，主要检查内容如下：</w:t>
            </w:r>
          </w:p>
          <w:p w14:paraId="1FB40692">
            <w:pPr>
              <w:pStyle w:val="512"/>
              <w:bidi w:val="0"/>
            </w:pPr>
            <w:r>
              <w:rPr>
                <w:rFonts w:hint="eastAsia"/>
              </w:rPr>
              <w:t>①</w:t>
            </w:r>
            <w:r>
              <w:t>对危险废物的产生台账和标签进行检查，重点核实危险废物的名称、来源、数量和特性；</w:t>
            </w:r>
          </w:p>
          <w:p w14:paraId="2520142A">
            <w:pPr>
              <w:pStyle w:val="512"/>
              <w:bidi w:val="0"/>
            </w:pPr>
            <w:r>
              <w:rPr>
                <w:rFonts w:hint="eastAsia"/>
              </w:rPr>
              <w:t>②</w:t>
            </w:r>
            <w:r>
              <w:t>检查包装材料的完整性，发现包装容器破损，及时采取措施清理更换；</w:t>
            </w:r>
          </w:p>
          <w:p w14:paraId="466D263D">
            <w:pPr>
              <w:pStyle w:val="512"/>
              <w:bidi w:val="0"/>
            </w:pPr>
            <w:r>
              <w:rPr>
                <w:rFonts w:hint="eastAsia"/>
              </w:rPr>
              <w:t>③</w:t>
            </w:r>
            <w:r>
              <w:t>检查包装材料的密封性，发现有明显异味影响的危险废物，采取更换密封性高包装容器、大桶套小桶或者将污泥桶置于捆扎的塑料袋内胆中等方式减轻异味影响；</w:t>
            </w:r>
          </w:p>
          <w:p w14:paraId="6D86F904">
            <w:pPr>
              <w:pStyle w:val="512"/>
              <w:bidi w:val="0"/>
            </w:pPr>
            <w:r>
              <w:rPr>
                <w:rFonts w:hint="eastAsia"/>
              </w:rPr>
              <w:t>④</w:t>
            </w:r>
            <w:r>
              <w:t>检查包装材料外表残留物，发现包装容器外表面残留有废液、废渣、污泥等物质时，及时进行擦拭，沾染危险废物抹布作为危险废物一并装入其他容器内外运处置。</w:t>
            </w:r>
          </w:p>
          <w:p w14:paraId="4B6B6487">
            <w:pPr>
              <w:pStyle w:val="512"/>
              <w:bidi w:val="0"/>
            </w:pPr>
            <w:r>
              <w:rPr>
                <w:rFonts w:hint="eastAsia"/>
                <w:lang w:eastAsia="zh-CN"/>
              </w:rPr>
              <w:t>（</w:t>
            </w:r>
            <w:r>
              <w:rPr>
                <w:rFonts w:hint="eastAsia"/>
                <w:lang w:val="en-US" w:eastAsia="zh-CN"/>
              </w:rPr>
              <w:t>4</w:t>
            </w:r>
            <w:r>
              <w:rPr>
                <w:rFonts w:hint="eastAsia"/>
                <w:lang w:eastAsia="zh-CN"/>
              </w:rPr>
              <w:t>）</w:t>
            </w:r>
            <w:r>
              <w:t>运输</w:t>
            </w:r>
          </w:p>
          <w:p w14:paraId="22672917">
            <w:pPr>
              <w:pStyle w:val="512"/>
              <w:bidi w:val="0"/>
            </w:pPr>
            <w:r>
              <w:rPr>
                <w:rFonts w:hint="eastAsia"/>
              </w:rPr>
              <w:t>园区内</w:t>
            </w:r>
            <w:r>
              <w:rPr>
                <w:rFonts w:hint="eastAsia"/>
                <w:lang w:eastAsia="zh-CN"/>
              </w:rPr>
              <w:t>医药</w:t>
            </w:r>
            <w:r>
              <w:t>企业产生的危险废物，</w:t>
            </w:r>
            <w:r>
              <w:rPr>
                <w:rFonts w:hint="eastAsia"/>
                <w:lang w:eastAsia="zh-CN"/>
              </w:rPr>
              <w:t>企业</w:t>
            </w:r>
            <w:r>
              <w:t>安排人员和专用车辆，</w:t>
            </w:r>
            <w:r>
              <w:rPr>
                <w:rFonts w:hint="eastAsia"/>
                <w:lang w:eastAsia="zh-CN"/>
              </w:rPr>
              <w:t>定期</w:t>
            </w:r>
            <w:r>
              <w:t>上门收集</w:t>
            </w:r>
            <w:r>
              <w:rPr>
                <w:rFonts w:hint="eastAsia"/>
                <w:lang w:eastAsia="zh-CN"/>
              </w:rPr>
              <w:t>，转运至有资质单位进行处置。</w:t>
            </w:r>
            <w:r>
              <w:t>收集前工作人员确认危废种类、代码标签等是否符合要求，满足危废收集要求后进行装车称重，并做好台账记录，</w:t>
            </w:r>
            <w:r>
              <w:rPr>
                <w:rFonts w:hint="eastAsia"/>
                <w:lang w:eastAsia="zh-CN"/>
              </w:rPr>
              <w:t>企业</w:t>
            </w:r>
            <w:r>
              <w:t>计划使用ERP系统进行相应管理。运输车辆应按GB13392的规定悬挂相应标志，具体流程如下</w:t>
            </w:r>
            <w:r>
              <w:rPr>
                <w:rFonts w:hint="eastAsia"/>
              </w:rPr>
              <w:t>：</w:t>
            </w:r>
          </w:p>
          <w:p w14:paraId="351FB0B3">
            <w:pPr>
              <w:pStyle w:val="512"/>
              <w:bidi w:val="0"/>
            </w:pPr>
            <w:r>
              <w:rPr>
                <w:rFonts w:hint="eastAsia"/>
              </w:rPr>
              <w:t>①</w:t>
            </w:r>
            <w:r>
              <w:t>运输单位</w:t>
            </w:r>
            <w:r>
              <w:rPr>
                <w:rFonts w:hint="eastAsia"/>
              </w:rPr>
              <w:t>：</w:t>
            </w:r>
            <w:r>
              <w:t>本项目</w:t>
            </w:r>
            <w:r>
              <w:rPr>
                <w:rFonts w:hint="eastAsia"/>
                <w:lang w:eastAsia="zh-CN"/>
              </w:rPr>
              <w:t>园区外</w:t>
            </w:r>
            <w:r>
              <w:t>运输均委托有资质单位进行运输。</w:t>
            </w:r>
          </w:p>
          <w:p w14:paraId="2577BF50">
            <w:pPr>
              <w:pStyle w:val="512"/>
              <w:bidi w:val="0"/>
            </w:pPr>
            <w:r>
              <w:rPr>
                <w:rFonts w:hint="eastAsia"/>
              </w:rPr>
              <w:t>②</w:t>
            </w:r>
            <w:r>
              <w:t>运输、作业人员及管理制度</w:t>
            </w:r>
            <w:r>
              <w:rPr>
                <w:rFonts w:hint="eastAsia"/>
              </w:rPr>
              <w:t>：</w:t>
            </w:r>
            <w:r>
              <w:t>驾驶员、押运员、装卸管理员均持有“危险品运输资格证”，每次运输前均再次进行有关安全知识的教育，包括所运输危险废物的性质、危险特征及处理运输途中可能发生意外事故和应采取的应急措施。危险废物装卸过程采取专业操作流程，做到轻拿轻放，保证货物不倾泻、翻出，装卸人员作业时穿着工作衣裤，佩戴耐酸碱手套、口罩等防护用品，无关人员远离作业区，作业区内配备有急救用药品若干。</w:t>
            </w:r>
          </w:p>
          <w:p w14:paraId="6CF9A69C">
            <w:pPr>
              <w:pStyle w:val="512"/>
              <w:bidi w:val="0"/>
            </w:pPr>
            <w:r>
              <w:rPr>
                <w:rFonts w:hint="eastAsia"/>
              </w:rPr>
              <w:t>③</w:t>
            </w:r>
            <w:r>
              <w:t>运输路线</w:t>
            </w:r>
            <w:r>
              <w:rPr>
                <w:rFonts w:hint="eastAsia"/>
              </w:rPr>
              <w:t>：</w:t>
            </w:r>
            <w:r>
              <w:t>采用汽车道路运输方式</w:t>
            </w:r>
            <w:r>
              <w:rPr>
                <w:rFonts w:hint="eastAsia"/>
              </w:rPr>
              <w:t>，</w:t>
            </w:r>
            <w:r>
              <w:t>运送路线的设置原则为尽选择车流、人流及周边人群较少的道路，尽可能减少经过河流水系的次数，尽可能不上高速公路，避开人口密集、交通拥挤地段。危险废物的收集频次依据危险废物产生量、危险废物产生单位到废物处理厂的距离、危险废物处理厂的能力，库存情况等确定。以定期收集为主，兼顾应急收集。运输路线应力求最短、对沿路影响小，避免转运过程中产生二次污染。所有运输车辆应按规定的行走路线运输，车辆安装GPS定位设施，车辆的运输情况反馈回处置厂的信息平台，显示车辆所在的位置、车况等，由信息中心可以向车辆发送指令。司机应配备专用的移动式通讯工具，一旦发生紧急事故，可以及时就地报警。</w:t>
            </w:r>
          </w:p>
          <w:p w14:paraId="5BCC4FD4">
            <w:pPr>
              <w:pStyle w:val="512"/>
              <w:bidi w:val="0"/>
            </w:pPr>
            <w:r>
              <w:rPr>
                <w:rFonts w:hint="eastAsia"/>
              </w:rPr>
              <w:t>④</w:t>
            </w:r>
            <w:r>
              <w:t>运输工具</w:t>
            </w:r>
            <w:r>
              <w:rPr>
                <w:rFonts w:hint="eastAsia"/>
              </w:rPr>
              <w:t>：</w:t>
            </w:r>
            <w:r>
              <w:t>运输车辆配备与废物特征及运输量相符，兼顾安全可靠性和经济合理性，确保危险废物收集运输正常化。运输车辆在醒目处标有特殊标志，告知公众为危险品运输车辆，以防运输途中发生被盗、丢失、流散等情况。</w:t>
            </w:r>
          </w:p>
          <w:p w14:paraId="1B90EA6A">
            <w:pPr>
              <w:pStyle w:val="512"/>
              <w:bidi w:val="0"/>
            </w:pPr>
            <w:r>
              <w:rPr>
                <w:rFonts w:hint="eastAsia"/>
              </w:rPr>
              <w:t>⑤</w:t>
            </w:r>
            <w:r>
              <w:t>应急措施</w:t>
            </w:r>
            <w:r>
              <w:rPr>
                <w:rFonts w:hint="eastAsia"/>
              </w:rPr>
              <w:t>：</w:t>
            </w:r>
            <w:r>
              <w:t>运输车辆配备必要的应急处理器材和防护用品，如急救药箱、洗眼器、灭火器，液体废物运输车还应配备自吸泵等应急装备。押运人员应配备防护服、胶靴、长胶手套、眼罩等，运输特殊废物的车辆还应配备防毒面具。运输过程中一旦发生事故，及时封闭现场，同时上报主管部门和相关单位环保、公安、消防、交通等部门，针对不同情况实施处理方案，尽快妥善处理，尽可能使影响降低到最低限度。</w:t>
            </w:r>
          </w:p>
          <w:p w14:paraId="45CDED3F">
            <w:pPr>
              <w:pStyle w:val="512"/>
              <w:bidi w:val="0"/>
              <w:rPr>
                <w:rFonts w:hint="eastAsia"/>
              </w:rPr>
            </w:pPr>
            <w:r>
              <w:t>本项目危险废物委托有危险废物运输资质的单位进行运输，运输单位为运输过程中的环保责任主体，需满足运输过程中的环保要求。</w:t>
            </w:r>
          </w:p>
          <w:p w14:paraId="48AF03DA">
            <w:pPr>
              <w:pStyle w:val="512"/>
              <w:bidi w:val="0"/>
            </w:pPr>
            <w:r>
              <w:rPr>
                <w:rFonts w:hint="eastAsia"/>
              </w:rPr>
              <w:t>（</w:t>
            </w:r>
            <w:r>
              <w:t>5</w:t>
            </w:r>
            <w:r>
              <w:rPr>
                <w:rFonts w:hint="eastAsia"/>
              </w:rPr>
              <w:t>）</w:t>
            </w:r>
            <w:r>
              <w:t>危废贮存及仓库管理措施</w:t>
            </w:r>
          </w:p>
          <w:p w14:paraId="5D318DC6">
            <w:pPr>
              <w:pStyle w:val="512"/>
              <w:bidi w:val="0"/>
            </w:pPr>
            <w:r>
              <w:t>各危险废物按照危险废物的种类和特性分区贮存，入库与转运出库的包装方式不变，固态危险废物仍以袋装暂存，液态和半固态危险废物仍以桶装保存。</w:t>
            </w:r>
            <w:r>
              <w:rPr>
                <w:rFonts w:hint="eastAsia"/>
              </w:rPr>
              <w:t>本</w:t>
            </w:r>
            <w:r>
              <w:t>项目在库房内可能进行合并包装，将多个小包装置于大包装中，以便于贮存或运输的需要。危险废物按要求在库房内暂存，暂存时间不超过3个月。危废贮存的全程不对其进行拆封、倾倒、分装、混装等操作，各类危险废物于室温下贮存。根据收集的危废的种类、形态，将危废分类贮存于对应的危废暂存区，贮存区地面与裙角均应采取防渗措施，涉及液体危废区应加设导排沟，泄露液体物料应能自流至事故池。</w:t>
            </w:r>
          </w:p>
          <w:p w14:paraId="173682FC">
            <w:pPr>
              <w:pStyle w:val="512"/>
              <w:bidi w:val="0"/>
            </w:pPr>
            <w:r>
              <w:t>危废仓库贮存现场设置专职管理人员，安装连续视频监控设施，负责对危险废物的贮存进行管理和监控，管理人员每天定时巡视仓库内危险废物的包装容器和贮存设施，发现破损立即采取措施清理更换，期间可能产生废包装物和废液，主要为破损的包装物和泄露的液态危险废物。</w:t>
            </w:r>
          </w:p>
          <w:p w14:paraId="75B6C9B1">
            <w:pPr>
              <w:pStyle w:val="512"/>
              <w:bidi w:val="0"/>
            </w:pPr>
            <w:r>
              <w:t>所有进出危险废物建立详细的“危险废物进出台账”，记录上注明危险废物的名称、来源、数量、特性和包装容器的类别、收集日期、存放库位、出库日期及接收单位名称，并保留5年，保证危险废物无流失并彻底处置。</w:t>
            </w:r>
          </w:p>
          <w:p w14:paraId="38536675">
            <w:pPr>
              <w:pStyle w:val="512"/>
              <w:bidi w:val="0"/>
              <w:rPr>
                <w:rFonts w:hint="eastAsia"/>
              </w:rPr>
            </w:pPr>
            <w:r>
              <w:rPr>
                <w:rFonts w:hint="eastAsia"/>
              </w:rPr>
              <w:t>本项目危废全部于</w:t>
            </w:r>
            <w:r>
              <w:rPr>
                <w:rFonts w:hint="eastAsia"/>
                <w:lang w:eastAsia="zh-CN"/>
              </w:rPr>
              <w:t>常</w:t>
            </w:r>
            <w:r>
              <w:rPr>
                <w:rFonts w:hint="eastAsia"/>
              </w:rPr>
              <w:t>温下贮存，在危废仓库内不涉及对危废进行拆封、倾倒、分装、混装、小储存装置移入大储存装置等操作。危废贮存过程中有废气产生，由于危废种类较多，废气成分较为复杂，主要为有机废气、臭气等。</w:t>
            </w:r>
          </w:p>
          <w:p w14:paraId="0CDC3A99">
            <w:pPr>
              <w:pStyle w:val="512"/>
              <w:bidi w:val="0"/>
            </w:pPr>
            <w:r>
              <w:rPr>
                <w:rFonts w:hint="eastAsia"/>
              </w:rPr>
              <w:t>（</w:t>
            </w:r>
            <w:r>
              <w:t>6</w:t>
            </w:r>
            <w:r>
              <w:rPr>
                <w:rFonts w:hint="eastAsia"/>
              </w:rPr>
              <w:t>）</w:t>
            </w:r>
            <w:r>
              <w:t>危废出库</w:t>
            </w:r>
          </w:p>
          <w:p w14:paraId="1C72D6A5">
            <w:pPr>
              <w:pStyle w:val="512"/>
              <w:bidi w:val="0"/>
            </w:pPr>
            <w:r>
              <w:t>本项目的危险废物达到规定存量后即转移出库，危废出库后的最终处置不属于本项目范围。最终处置需及时通知危废处置企业，转移至有资质的危废处置单位进行最终处置。</w:t>
            </w:r>
          </w:p>
          <w:p w14:paraId="21FA798E">
            <w:pPr>
              <w:pStyle w:val="512"/>
              <w:bidi w:val="0"/>
            </w:pPr>
            <w:r>
              <w:t>危废出库程序如下：</w:t>
            </w:r>
          </w:p>
          <w:p w14:paraId="08F62920">
            <w:pPr>
              <w:pStyle w:val="512"/>
              <w:bidi w:val="0"/>
            </w:pPr>
            <w:r>
              <w:t>①出库负责人接到由主管领导签发的出库通知单时，将出库内容通知到仓库管理人员；</w:t>
            </w:r>
          </w:p>
          <w:p w14:paraId="783BED27">
            <w:pPr>
              <w:pStyle w:val="512"/>
              <w:bidi w:val="0"/>
            </w:pPr>
            <w:r>
              <w:t>②库房管理人员穿戴好必要的防护用品，按操作要求，先在本库表格上登记后，将危险废物提出库房送到指定地点；</w:t>
            </w:r>
          </w:p>
          <w:p w14:paraId="3E2FD4C0">
            <w:pPr>
              <w:pStyle w:val="512"/>
              <w:bidi w:val="0"/>
            </w:pPr>
            <w:r>
              <w:t>③出库负责人复查通知单上已填写的、适当的处理处置方法，否则不予出库；</w:t>
            </w:r>
          </w:p>
          <w:p w14:paraId="409C6FD6">
            <w:pPr>
              <w:pStyle w:val="512"/>
              <w:bidi w:val="0"/>
            </w:pPr>
            <w:r>
              <w:t>④按入库时的要求检查包装、标志、标签及数量；</w:t>
            </w:r>
          </w:p>
          <w:p w14:paraId="73543A32">
            <w:pPr>
              <w:pStyle w:val="512"/>
              <w:bidi w:val="0"/>
            </w:pPr>
            <w:r>
              <w:t>⑤以上内容检验合格后，在出库通知单上签名并加盖单位出库专用章。</w:t>
            </w:r>
          </w:p>
          <w:p w14:paraId="352E6891">
            <w:pPr>
              <w:pStyle w:val="512"/>
              <w:bidi w:val="0"/>
              <w:rPr>
                <w:rFonts w:hint="eastAsia"/>
              </w:rPr>
            </w:pPr>
            <w:r>
              <w:rPr>
                <w:rFonts w:hint="eastAsia"/>
              </w:rPr>
              <w:t>⑥利用叉车将待出库危废送至装卸区内装车。</w:t>
            </w:r>
          </w:p>
          <w:p w14:paraId="63E40025">
            <w:pPr>
              <w:pStyle w:val="512"/>
              <w:bidi w:val="0"/>
              <w:rPr>
                <w:rFonts w:hint="eastAsia"/>
              </w:rPr>
            </w:pPr>
            <w:r>
              <w:t>危废装卸过程会产生废劳保用品。</w:t>
            </w:r>
          </w:p>
          <w:p w14:paraId="6584A398">
            <w:pPr>
              <w:pStyle w:val="512"/>
              <w:bidi w:val="0"/>
              <w:rPr>
                <w:rFonts w:hint="eastAsia"/>
              </w:rPr>
            </w:pPr>
            <w:r>
              <w:rPr>
                <w:rFonts w:hint="eastAsia"/>
              </w:rPr>
              <w:t>（</w:t>
            </w:r>
            <w:r>
              <w:t>7</w:t>
            </w:r>
            <w:r>
              <w:rPr>
                <w:rFonts w:hint="eastAsia"/>
              </w:rPr>
              <w:t>）委外处置</w:t>
            </w:r>
          </w:p>
          <w:p w14:paraId="258219EF">
            <w:pPr>
              <w:pStyle w:val="512"/>
              <w:bidi w:val="0"/>
            </w:pPr>
            <w:r>
              <w:t>将收集的危险废物运送至有相应资质的危废处置单位进行最终处置。</w:t>
            </w:r>
          </w:p>
          <w:p w14:paraId="19DDF9E9">
            <w:pPr>
              <w:pStyle w:val="1111"/>
              <w:bidi w:val="0"/>
              <w:rPr>
                <w:rFonts w:hint="eastAsia"/>
                <w:lang w:eastAsia="zh-CN"/>
              </w:rPr>
            </w:pPr>
            <w:r>
              <w:rPr>
                <w:rFonts w:hint="eastAsia"/>
                <w:lang w:eastAsia="zh-CN"/>
              </w:rPr>
              <w:drawing>
                <wp:inline distT="0" distB="0" distL="114300" distR="114300">
                  <wp:extent cx="4343400" cy="4276725"/>
                  <wp:effectExtent l="0" t="0" r="0" b="9525"/>
                  <wp:docPr id="7" name="图片 7" descr="工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工艺"/>
                          <pic:cNvPicPr>
                            <a:picLocks noChangeAspect="1"/>
                          </pic:cNvPicPr>
                        </pic:nvPicPr>
                        <pic:blipFill>
                          <a:blip r:embed="rId18"/>
                          <a:stretch>
                            <a:fillRect/>
                          </a:stretch>
                        </pic:blipFill>
                        <pic:spPr>
                          <a:xfrm>
                            <a:off x="0" y="0"/>
                            <a:ext cx="4343400" cy="4276725"/>
                          </a:xfrm>
                          <a:prstGeom prst="rect">
                            <a:avLst/>
                          </a:prstGeom>
                        </pic:spPr>
                      </pic:pic>
                    </a:graphicData>
                  </a:graphic>
                </wp:inline>
              </w:drawing>
            </w:r>
          </w:p>
          <w:p w14:paraId="043B3B8E">
            <w:pPr>
              <w:pStyle w:val="1111"/>
              <w:bidi w:val="0"/>
            </w:pPr>
            <w:r>
              <w:rPr>
                <w:rFonts w:hint="eastAsia"/>
                <w:lang w:eastAsia="zh-CN"/>
              </w:rPr>
              <w:t>图</w:t>
            </w:r>
            <w:r>
              <w:rPr>
                <w:rFonts w:hint="eastAsia"/>
                <w:lang w:val="en-US" w:eastAsia="zh-CN"/>
              </w:rPr>
              <w:t>2-2 危废库存储工艺流程</w:t>
            </w:r>
          </w:p>
          <w:p w14:paraId="6C22788B">
            <w:pPr>
              <w:pStyle w:val="512"/>
            </w:pPr>
            <w:r>
              <w:rPr>
                <w:rFonts w:hint="eastAsia"/>
                <w:lang w:val="en-US" w:eastAsia="zh-CN"/>
              </w:rPr>
              <w:t>2、</w:t>
            </w:r>
            <w:r>
              <w:rPr>
                <w:rFonts w:hint="eastAsia"/>
              </w:rPr>
              <w:t>产污环节</w:t>
            </w:r>
          </w:p>
          <w:p w14:paraId="44837A52">
            <w:pPr>
              <w:pStyle w:val="512"/>
              <w:rPr>
                <w:rFonts w:hint="eastAsia" w:ascii="宋体" w:hAnsi="宋体" w:eastAsia="宋体"/>
                <w:lang w:eastAsia="zh-CN"/>
              </w:rPr>
            </w:pPr>
            <w:r>
              <w:rPr>
                <w:rFonts w:hint="eastAsia" w:ascii="宋体" w:hAnsi="宋体"/>
                <w:lang w:eastAsia="zh-CN"/>
              </w:rPr>
              <w:t>废气：本项目废气污染物产生主要在贮存环节，由于危废种类较多，废气成分较为复杂，主要为有机废气、臭气等；</w:t>
            </w:r>
          </w:p>
          <w:p w14:paraId="01604A50">
            <w:pPr>
              <w:pStyle w:val="512"/>
              <w:rPr>
                <w:rFonts w:ascii="宋体" w:hAnsi="宋体"/>
              </w:rPr>
            </w:pPr>
            <w:r>
              <w:rPr>
                <w:rFonts w:hint="eastAsia" w:ascii="宋体" w:hAnsi="宋体"/>
              </w:rPr>
              <w:t>废水：</w:t>
            </w:r>
            <w:r>
              <w:rPr>
                <w:rFonts w:hint="eastAsia" w:ascii="宋体" w:hAnsi="宋体"/>
                <w:lang w:eastAsia="zh-CN"/>
              </w:rPr>
              <w:t>废气吸收</w:t>
            </w:r>
            <w:r>
              <w:rPr>
                <w:rFonts w:hint="eastAsia" w:ascii="宋体" w:hAnsi="宋体"/>
              </w:rPr>
              <w:t>废水</w:t>
            </w:r>
            <w:r>
              <w:rPr>
                <w:rFonts w:hint="eastAsia" w:ascii="宋体" w:hAnsi="宋体"/>
                <w:lang w:eastAsia="zh-CN"/>
              </w:rPr>
              <w:t>以及生活废水</w:t>
            </w:r>
            <w:r>
              <w:rPr>
                <w:rFonts w:hint="eastAsia" w:ascii="宋体" w:hAnsi="宋体"/>
              </w:rPr>
              <w:t>；</w:t>
            </w:r>
          </w:p>
          <w:p w14:paraId="634B0F15">
            <w:pPr>
              <w:pStyle w:val="512"/>
              <w:rPr>
                <w:rFonts w:hint="eastAsia" w:ascii="宋体" w:hAnsi="宋体"/>
              </w:rPr>
            </w:pPr>
            <w:r>
              <w:rPr>
                <w:rFonts w:hint="eastAsia" w:ascii="宋体" w:hAnsi="宋体"/>
              </w:rPr>
              <w:t>固废：</w:t>
            </w:r>
            <w:r>
              <w:rPr>
                <w:bCs/>
                <w:color w:val="000000"/>
                <w:sz w:val="24"/>
              </w:rPr>
              <w:t>本项目</w:t>
            </w:r>
            <w:r>
              <w:rPr>
                <w:rFonts w:hint="eastAsia"/>
                <w:bCs/>
                <w:color w:val="000000"/>
                <w:sz w:val="24"/>
              </w:rPr>
              <w:t>固废</w:t>
            </w:r>
            <w:r>
              <w:rPr>
                <w:bCs/>
                <w:color w:val="000000"/>
                <w:sz w:val="24"/>
              </w:rPr>
              <w:t>主要包括职工装卸、转运产生</w:t>
            </w:r>
            <w:r>
              <w:rPr>
                <w:rFonts w:hint="eastAsia"/>
                <w:bCs/>
                <w:color w:val="000000"/>
                <w:sz w:val="24"/>
              </w:rPr>
              <w:t>的</w:t>
            </w:r>
            <w:r>
              <w:rPr>
                <w:bCs/>
                <w:color w:val="000000"/>
                <w:sz w:val="24"/>
              </w:rPr>
              <w:t>废手套、废抹布及废包装物（废编织袋、废包装物）、废液</w:t>
            </w:r>
            <w:r>
              <w:rPr>
                <w:rFonts w:hint="eastAsia"/>
                <w:bCs/>
                <w:color w:val="000000"/>
                <w:sz w:val="24"/>
              </w:rPr>
              <w:t>、废活性炭以及生活垃圾</w:t>
            </w:r>
            <w:r>
              <w:rPr>
                <w:bCs/>
                <w:color w:val="000000"/>
                <w:sz w:val="24"/>
              </w:rPr>
              <w:t>等</w:t>
            </w:r>
            <w:r>
              <w:rPr>
                <w:rFonts w:hint="eastAsia" w:ascii="宋体" w:hAnsi="宋体"/>
              </w:rPr>
              <w:t>；</w:t>
            </w:r>
          </w:p>
          <w:p w14:paraId="443FDB31">
            <w:pPr>
              <w:pStyle w:val="512"/>
              <w:rPr>
                <w:rFonts w:hint="eastAsia" w:ascii="宋体" w:hAnsi="宋体" w:eastAsia="宋体"/>
                <w:lang w:eastAsia="zh-CN"/>
              </w:rPr>
            </w:pPr>
            <w:r>
              <w:rPr>
                <w:rFonts w:hint="eastAsia" w:ascii="宋体" w:hAnsi="宋体"/>
                <w:lang w:eastAsia="zh-CN"/>
              </w:rPr>
              <w:t>噪声：</w:t>
            </w:r>
            <w:r>
              <w:rPr>
                <w:bCs/>
                <w:color w:val="000000"/>
                <w:sz w:val="24"/>
              </w:rPr>
              <w:t>本项目运营期噪声主要为运输车辆运输、叉车装卸和风机运行等产生的噪声</w:t>
            </w:r>
            <w:r>
              <w:rPr>
                <w:rFonts w:hint="eastAsia"/>
                <w:bCs/>
                <w:color w:val="000000"/>
                <w:sz w:val="24"/>
                <w:lang w:eastAsia="zh-CN"/>
              </w:rPr>
              <w:t>。</w:t>
            </w:r>
          </w:p>
          <w:p w14:paraId="0B702CBC">
            <w:pPr>
              <w:pStyle w:val="1111"/>
            </w:pPr>
          </w:p>
        </w:tc>
      </w:tr>
      <w:tr w14:paraId="664C4A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01" w:hRule="atLeast"/>
          <w:jc w:val="center"/>
        </w:trPr>
        <w:tc>
          <w:tcPr>
            <w:tcW w:w="264" w:type="pct"/>
            <w:vAlign w:val="center"/>
          </w:tcPr>
          <w:p w14:paraId="07694DF9">
            <w:pPr>
              <w:pStyle w:val="71"/>
              <w:adjustRightInd w:val="0"/>
              <w:snapToGrid w:val="0"/>
              <w:spacing w:before="0" w:beforeAutospacing="0" w:after="0" w:afterAutospacing="0"/>
              <w:jc w:val="center"/>
              <w:rPr>
                <w:rFonts w:ascii="Times New Roman" w:hAnsi="Times New Roman"/>
                <w:sz w:val="21"/>
                <w:szCs w:val="21"/>
              </w:rPr>
            </w:pPr>
            <w:r>
              <w:rPr>
                <w:rFonts w:ascii="Times New Roman" w:hAnsi="Times New Roman"/>
                <w:bCs/>
                <w:kern w:val="2"/>
                <w:sz w:val="21"/>
                <w:szCs w:val="21"/>
              </w:rPr>
              <w:t>与项目有关的原有环境污染问题</w:t>
            </w:r>
          </w:p>
        </w:tc>
        <w:tc>
          <w:tcPr>
            <w:tcW w:w="4735" w:type="pct"/>
            <w:vAlign w:val="center"/>
          </w:tcPr>
          <w:p w14:paraId="5CA1F40E">
            <w:pPr>
              <w:pStyle w:val="512"/>
              <w:rPr>
                <w:rFonts w:hint="eastAsia"/>
                <w:lang w:eastAsia="zh-CN"/>
              </w:rPr>
            </w:pPr>
            <w:r>
              <w:rPr>
                <w:rFonts w:hint="eastAsia"/>
              </w:rPr>
              <w:t>本项目</w:t>
            </w:r>
            <w:r>
              <w:rPr>
                <w:rFonts w:hint="eastAsia"/>
                <w:lang w:eastAsia="zh-CN"/>
              </w:rPr>
              <w:t>为租赁江苏鑫科医药产业投资发展有限公司现有危废库，按照危险废物贮存设施要求进行分区改造。</w:t>
            </w:r>
          </w:p>
          <w:p w14:paraId="22119BC7">
            <w:pPr>
              <w:pStyle w:val="512"/>
              <w:numPr>
                <w:ilvl w:val="0"/>
                <w:numId w:val="11"/>
              </w:numPr>
              <w:rPr>
                <w:rFonts w:hint="eastAsia"/>
                <w:lang w:eastAsia="zh-CN"/>
              </w:rPr>
            </w:pPr>
            <w:r>
              <w:rPr>
                <w:rFonts w:hint="eastAsia"/>
                <w:lang w:eastAsia="zh-CN"/>
              </w:rPr>
              <w:t>江苏鑫科医药产业投资发展有限公司现有工程介绍</w:t>
            </w:r>
          </w:p>
          <w:p w14:paraId="5B94F788">
            <w:pPr>
              <w:pStyle w:val="512"/>
              <w:bidi w:val="0"/>
            </w:pPr>
            <w:r>
              <w:rPr>
                <w:rFonts w:hint="eastAsia"/>
                <w:lang w:eastAsia="zh-CN"/>
              </w:rPr>
              <w:t>现有项目利用已建</w:t>
            </w:r>
            <w:r>
              <w:rPr>
                <w:rFonts w:hint="eastAsia"/>
                <w:lang w:val="en-US" w:eastAsia="zh-CN"/>
              </w:rPr>
              <w:t>66#危险品库、7#危废品库，总占地面积1495.44m</w:t>
            </w:r>
            <w:r>
              <w:rPr>
                <w:rFonts w:hint="eastAsia"/>
                <w:vertAlign w:val="superscript"/>
                <w:lang w:val="en-US" w:eastAsia="zh-CN"/>
              </w:rPr>
              <w:t>2</w:t>
            </w:r>
            <w:r>
              <w:rPr>
                <w:rFonts w:hint="eastAsia"/>
                <w:lang w:val="en-US" w:eastAsia="zh-CN"/>
              </w:rPr>
              <w:t>，（其中6#危险品库747.72m</w:t>
            </w:r>
            <w:r>
              <w:rPr>
                <w:rFonts w:hint="eastAsia"/>
                <w:vertAlign w:val="superscript"/>
                <w:lang w:val="en-US" w:eastAsia="zh-CN"/>
              </w:rPr>
              <w:t>2</w:t>
            </w:r>
            <w:r>
              <w:rPr>
                <w:rFonts w:hint="eastAsia"/>
                <w:lang w:val="en-US" w:eastAsia="zh-CN"/>
              </w:rPr>
              <w:t>，7#危废品库747.72m</w:t>
            </w:r>
            <w:r>
              <w:rPr>
                <w:rFonts w:hint="eastAsia"/>
                <w:vertAlign w:val="superscript"/>
                <w:lang w:val="en-US" w:eastAsia="zh-CN"/>
              </w:rPr>
              <w:t>2</w:t>
            </w:r>
            <w:r>
              <w:rPr>
                <w:rFonts w:hint="eastAsia"/>
                <w:lang w:val="en-US" w:eastAsia="zh-CN"/>
              </w:rPr>
              <w:t>），对各仓库进行合理分区，</w:t>
            </w:r>
            <w:r>
              <w:rPr>
                <w:rFonts w:ascii="Times New Roman" w:eastAsia="宋体"/>
                <w:bCs/>
                <w:szCs w:val="24"/>
                <w:lang w:bidi="ar"/>
              </w:rPr>
              <w:t>并按照安全、环保、消防要求进行配套建设相关设施，用于已入区</w:t>
            </w:r>
            <w:r>
              <w:rPr>
                <w:rFonts w:ascii="Times New Roman" w:eastAsia="宋体"/>
                <w:bCs/>
                <w:lang w:bidi="ar"/>
              </w:rPr>
              <w:t>企业（主要有江苏原创药物研发有限公司、江苏和晨药业有限公司、江苏神曲医药有限公司、连云港荣森基因科技公司</w:t>
            </w:r>
            <w:r>
              <w:rPr>
                <w:rFonts w:hint="eastAsia" w:ascii="Times New Roman" w:eastAsia="宋体"/>
                <w:bCs/>
                <w:lang w:bidi="ar"/>
              </w:rPr>
              <w:t>、</w:t>
            </w:r>
            <w:r>
              <w:rPr>
                <w:rFonts w:ascii="Times New Roman" w:eastAsia="宋体"/>
                <w:bCs/>
                <w:lang w:bidi="ar"/>
              </w:rPr>
              <w:t>江苏鑫科医药产业投资发展有限公司高端化学制剂产业园项目-污水处理站项目等）的危险废物、危险化学品仓储</w:t>
            </w:r>
            <w:r>
              <w:t>服务。</w:t>
            </w:r>
          </w:p>
          <w:p w14:paraId="66637B0C">
            <w:pPr>
              <w:pStyle w:val="512"/>
              <w:bidi w:val="0"/>
              <w:rPr>
                <w:rFonts w:hint="eastAsia"/>
                <w:lang w:eastAsia="zh-CN"/>
              </w:rPr>
            </w:pPr>
            <w:r>
              <w:rPr>
                <w:rFonts w:hint="eastAsia"/>
                <w:lang w:eastAsia="zh-CN"/>
              </w:rPr>
              <w:t>危</w:t>
            </w:r>
            <w:r>
              <w:rPr>
                <w:rFonts w:hint="eastAsia" w:ascii="Times New Roman" w:eastAsia="宋体"/>
                <w:bCs/>
                <w:lang w:eastAsia="zh-CN" w:bidi="ar"/>
              </w:rPr>
              <w:t>化品库</w:t>
            </w:r>
            <w:r>
              <w:rPr>
                <w:rFonts w:ascii="Times New Roman" w:eastAsia="宋体"/>
                <w:szCs w:val="21"/>
              </w:rPr>
              <w:t>占地面积747.72m</w:t>
            </w:r>
            <w:r>
              <w:rPr>
                <w:rFonts w:ascii="Times New Roman" w:eastAsia="宋体"/>
                <w:szCs w:val="21"/>
                <w:vertAlign w:val="superscript"/>
              </w:rPr>
              <w:t>2</w:t>
            </w:r>
            <w:r>
              <w:rPr>
                <w:rFonts w:ascii="Times New Roman" w:eastAsia="宋体"/>
                <w:szCs w:val="21"/>
              </w:rPr>
              <w:t>，单层，火灾危险类别按照甲类、耐火等级二级。划分8个存储间，其中4个储存间面积为58.74m</w:t>
            </w:r>
            <w:r>
              <w:rPr>
                <w:rFonts w:ascii="Times New Roman" w:eastAsia="宋体"/>
                <w:szCs w:val="21"/>
                <w:vertAlign w:val="superscript"/>
              </w:rPr>
              <w:t>2</w:t>
            </w:r>
            <w:r>
              <w:rPr>
                <w:rFonts w:ascii="Times New Roman" w:eastAsia="宋体"/>
                <w:szCs w:val="21"/>
              </w:rPr>
              <w:t>，4个储存间面积117.48m</w:t>
            </w:r>
            <w:r>
              <w:rPr>
                <w:rFonts w:ascii="Times New Roman" w:eastAsia="宋体"/>
                <w:szCs w:val="21"/>
                <w:vertAlign w:val="superscript"/>
              </w:rPr>
              <w:t>2</w:t>
            </w:r>
            <w:r>
              <w:rPr>
                <w:rFonts w:ascii="Times New Roman" w:eastAsia="宋体"/>
                <w:szCs w:val="21"/>
              </w:rPr>
              <w:t>，分别为园区内企业存放甲醇、乙醇</w:t>
            </w:r>
            <w:r>
              <w:t>等</w:t>
            </w:r>
            <w:r>
              <w:rPr>
                <w:rFonts w:hint="eastAsia"/>
                <w:lang w:eastAsia="zh-CN"/>
              </w:rPr>
              <w:t>。</w:t>
            </w:r>
          </w:p>
          <w:p w14:paraId="46FA0AD1">
            <w:pPr>
              <w:pStyle w:val="512"/>
              <w:bidi w:val="0"/>
              <w:rPr>
                <w:rFonts w:hint="eastAsia" w:ascii="Times New Roman" w:eastAsia="宋体"/>
                <w:szCs w:val="21"/>
                <w:lang w:val="en-US" w:eastAsia="zh-CN"/>
              </w:rPr>
            </w:pPr>
            <w:r>
              <w:rPr>
                <w:rFonts w:hint="eastAsia"/>
                <w:lang w:eastAsia="zh-CN"/>
              </w:rPr>
              <w:t>危</w:t>
            </w:r>
            <w:r>
              <w:rPr>
                <w:rFonts w:hint="eastAsia" w:ascii="Times New Roman" w:eastAsia="宋体"/>
                <w:szCs w:val="21"/>
                <w:lang w:eastAsia="zh-CN"/>
              </w:rPr>
              <w:t>废库</w:t>
            </w:r>
            <w:r>
              <w:rPr>
                <w:rFonts w:ascii="Times New Roman" w:eastAsia="宋体"/>
                <w:szCs w:val="21"/>
              </w:rPr>
              <w:t>占地面积747.72m</w:t>
            </w:r>
            <w:r>
              <w:rPr>
                <w:rFonts w:ascii="Times New Roman" w:eastAsia="宋体"/>
                <w:szCs w:val="21"/>
                <w:vertAlign w:val="superscript"/>
              </w:rPr>
              <w:t>2</w:t>
            </w:r>
            <w:r>
              <w:rPr>
                <w:rFonts w:ascii="Times New Roman" w:eastAsia="宋体"/>
                <w:szCs w:val="21"/>
              </w:rPr>
              <w:t>，单层，火灾危险类别按照甲类、耐火等级二级。划分10个存储间，其中8个储存间面积为58.74m</w:t>
            </w:r>
            <w:r>
              <w:rPr>
                <w:rFonts w:ascii="Times New Roman" w:eastAsia="宋体"/>
                <w:szCs w:val="21"/>
                <w:vertAlign w:val="superscript"/>
              </w:rPr>
              <w:t>2</w:t>
            </w:r>
            <w:r>
              <w:rPr>
                <w:rFonts w:ascii="Times New Roman" w:eastAsia="宋体"/>
                <w:szCs w:val="21"/>
              </w:rPr>
              <w:t>，2个储存间面积117.48m</w:t>
            </w:r>
            <w:r>
              <w:rPr>
                <w:rFonts w:ascii="Times New Roman" w:eastAsia="宋体"/>
                <w:szCs w:val="21"/>
                <w:vertAlign w:val="superscript"/>
              </w:rPr>
              <w:t>2</w:t>
            </w:r>
            <w:r>
              <w:rPr>
                <w:rFonts w:ascii="Times New Roman" w:eastAsia="宋体"/>
                <w:szCs w:val="21"/>
              </w:rPr>
              <w:t>，分别为园区内企业存放各企业产生的危险废物，每个储存空间内根据存放物质单独分区</w:t>
            </w:r>
            <w:r>
              <w:rPr>
                <w:rFonts w:hint="eastAsia" w:ascii="Times New Roman" w:eastAsia="宋体"/>
                <w:szCs w:val="21"/>
                <w:lang w:eastAsia="zh-CN"/>
              </w:rPr>
              <w:t>。</w:t>
            </w:r>
          </w:p>
          <w:p w14:paraId="6A3069CC">
            <w:pPr>
              <w:pStyle w:val="512"/>
              <w:numPr>
                <w:ilvl w:val="0"/>
                <w:numId w:val="11"/>
              </w:numPr>
              <w:rPr>
                <w:rFonts w:hint="eastAsia"/>
                <w:lang w:eastAsia="zh-CN"/>
              </w:rPr>
            </w:pPr>
            <w:r>
              <w:rPr>
                <w:rFonts w:hint="eastAsia"/>
                <w:lang w:eastAsia="zh-CN"/>
              </w:rPr>
              <w:t>江苏鑫科医药产业投资发展有限公司现有工程环评及验收手续</w:t>
            </w:r>
          </w:p>
          <w:p w14:paraId="301AA84F">
            <w:pPr>
              <w:pStyle w:val="512"/>
              <w:bidi w:val="0"/>
              <w:rPr>
                <w:rFonts w:hint="eastAsia"/>
                <w:lang w:val="en-US" w:eastAsia="zh-CN"/>
              </w:rPr>
            </w:pPr>
            <w:r>
              <w:rPr>
                <w:rFonts w:hint="eastAsia"/>
                <w:lang w:val="en-US" w:eastAsia="zh-CN"/>
              </w:rPr>
              <w:t>现有项目环评批复、环保验收及运行情况见表2-10。</w:t>
            </w:r>
          </w:p>
          <w:p w14:paraId="4A8738B1">
            <w:pPr>
              <w:pStyle w:val="1111"/>
              <w:bidi w:val="0"/>
              <w:rPr>
                <w:rFonts w:hint="eastAsia"/>
                <w:lang w:val="en-US" w:eastAsia="zh-CN"/>
              </w:rPr>
            </w:pPr>
            <w:r>
              <w:rPr>
                <w:rFonts w:hint="eastAsia"/>
                <w:lang w:val="en-US" w:eastAsia="zh-CN"/>
              </w:rPr>
              <w:t>表2-10 江苏鑫科医药产业投资有限公司现有项目批复及建设情况</w:t>
            </w:r>
          </w:p>
          <w:tbl>
            <w:tblPr>
              <w:tblStyle w:val="7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65"/>
              <w:gridCol w:w="1565"/>
              <w:gridCol w:w="1565"/>
              <w:gridCol w:w="1566"/>
              <w:gridCol w:w="1566"/>
            </w:tblGrid>
            <w:tr w14:paraId="643CD2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5" w:type="dxa"/>
                  <w:vMerge w:val="restart"/>
                  <w:vAlign w:val="center"/>
                </w:tcPr>
                <w:p w14:paraId="755072B9">
                  <w:pPr>
                    <w:pStyle w:val="1111"/>
                    <w:bidi w:val="0"/>
                    <w:rPr>
                      <w:rFonts w:hint="default"/>
                      <w:vertAlign w:val="baseline"/>
                      <w:lang w:val="en-US" w:eastAsia="zh-CN"/>
                    </w:rPr>
                  </w:pPr>
                  <w:r>
                    <w:rPr>
                      <w:rFonts w:hint="eastAsia"/>
                      <w:vertAlign w:val="baseline"/>
                      <w:lang w:val="en-US" w:eastAsia="zh-CN"/>
                    </w:rPr>
                    <w:t>所属公司</w:t>
                  </w:r>
                </w:p>
              </w:tc>
              <w:tc>
                <w:tcPr>
                  <w:tcW w:w="1565" w:type="dxa"/>
                  <w:vMerge w:val="restart"/>
                  <w:vAlign w:val="center"/>
                </w:tcPr>
                <w:p w14:paraId="6D926503">
                  <w:pPr>
                    <w:pStyle w:val="1111"/>
                    <w:bidi w:val="0"/>
                    <w:rPr>
                      <w:rFonts w:hint="default"/>
                      <w:vertAlign w:val="baseline"/>
                      <w:lang w:val="en-US" w:eastAsia="zh-CN"/>
                    </w:rPr>
                  </w:pPr>
                  <w:r>
                    <w:rPr>
                      <w:rFonts w:hint="eastAsia"/>
                      <w:vertAlign w:val="baseline"/>
                      <w:lang w:val="en-US" w:eastAsia="zh-CN"/>
                    </w:rPr>
                    <w:t>项目名称</w:t>
                  </w:r>
                </w:p>
              </w:tc>
              <w:tc>
                <w:tcPr>
                  <w:tcW w:w="1565" w:type="dxa"/>
                  <w:vMerge w:val="restart"/>
                  <w:vAlign w:val="center"/>
                </w:tcPr>
                <w:p w14:paraId="1877F3AD">
                  <w:pPr>
                    <w:pStyle w:val="1111"/>
                    <w:bidi w:val="0"/>
                    <w:rPr>
                      <w:rFonts w:hint="default"/>
                      <w:lang w:val="en-US" w:eastAsia="zh-CN"/>
                    </w:rPr>
                  </w:pPr>
                  <w:r>
                    <w:rPr>
                      <w:rFonts w:hint="eastAsia"/>
                      <w:lang w:val="en-US" w:eastAsia="zh-CN"/>
                    </w:rPr>
                    <w:t>主要产品、产能</w:t>
                  </w:r>
                </w:p>
              </w:tc>
              <w:tc>
                <w:tcPr>
                  <w:tcW w:w="3132" w:type="dxa"/>
                  <w:gridSpan w:val="2"/>
                  <w:vAlign w:val="center"/>
                </w:tcPr>
                <w:p w14:paraId="0C2950E5">
                  <w:pPr>
                    <w:pStyle w:val="1111"/>
                    <w:bidi w:val="0"/>
                    <w:rPr>
                      <w:rFonts w:hint="default"/>
                      <w:vertAlign w:val="baseline"/>
                      <w:lang w:val="en-US" w:eastAsia="zh-CN"/>
                    </w:rPr>
                  </w:pPr>
                  <w:r>
                    <w:rPr>
                      <w:rFonts w:hint="eastAsia"/>
                      <w:vertAlign w:val="baseline"/>
                      <w:lang w:val="en-US" w:eastAsia="zh-CN"/>
                    </w:rPr>
                    <w:t>环评手续执行情况</w:t>
                  </w:r>
                </w:p>
              </w:tc>
            </w:tr>
            <w:tr w14:paraId="5BC7ED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5" w:type="dxa"/>
                  <w:vMerge w:val="continue"/>
                  <w:vAlign w:val="center"/>
                </w:tcPr>
                <w:p w14:paraId="789FBAAE">
                  <w:pPr>
                    <w:pStyle w:val="1111"/>
                    <w:bidi w:val="0"/>
                    <w:rPr>
                      <w:rFonts w:hint="default"/>
                      <w:vertAlign w:val="baseline"/>
                      <w:lang w:val="en-US" w:eastAsia="zh-CN"/>
                    </w:rPr>
                  </w:pPr>
                </w:p>
              </w:tc>
              <w:tc>
                <w:tcPr>
                  <w:tcW w:w="1565" w:type="dxa"/>
                  <w:vMerge w:val="continue"/>
                  <w:vAlign w:val="center"/>
                </w:tcPr>
                <w:p w14:paraId="098E099E">
                  <w:pPr>
                    <w:pStyle w:val="1111"/>
                    <w:bidi w:val="0"/>
                    <w:rPr>
                      <w:rFonts w:hint="default"/>
                      <w:vertAlign w:val="baseline"/>
                      <w:lang w:val="en-US" w:eastAsia="zh-CN"/>
                    </w:rPr>
                  </w:pPr>
                </w:p>
              </w:tc>
              <w:tc>
                <w:tcPr>
                  <w:tcW w:w="1565" w:type="dxa"/>
                  <w:vMerge w:val="continue"/>
                  <w:vAlign w:val="center"/>
                </w:tcPr>
                <w:p w14:paraId="659DC5AE">
                  <w:pPr>
                    <w:pStyle w:val="1111"/>
                    <w:bidi w:val="0"/>
                    <w:rPr>
                      <w:rFonts w:hint="default"/>
                      <w:lang w:val="en-US" w:eastAsia="zh-CN"/>
                    </w:rPr>
                  </w:pPr>
                </w:p>
              </w:tc>
              <w:tc>
                <w:tcPr>
                  <w:tcW w:w="1566" w:type="dxa"/>
                  <w:vAlign w:val="center"/>
                </w:tcPr>
                <w:p w14:paraId="7499AFE4">
                  <w:pPr>
                    <w:pStyle w:val="1111"/>
                    <w:bidi w:val="0"/>
                    <w:rPr>
                      <w:rFonts w:hint="default"/>
                      <w:vertAlign w:val="baseline"/>
                      <w:lang w:val="en-US" w:eastAsia="zh-CN"/>
                    </w:rPr>
                  </w:pPr>
                  <w:r>
                    <w:rPr>
                      <w:rFonts w:hint="eastAsia"/>
                      <w:vertAlign w:val="baseline"/>
                      <w:lang w:val="en-US" w:eastAsia="zh-CN"/>
                    </w:rPr>
                    <w:t>环评批复</w:t>
                  </w:r>
                </w:p>
              </w:tc>
              <w:tc>
                <w:tcPr>
                  <w:tcW w:w="1566" w:type="dxa"/>
                  <w:vAlign w:val="center"/>
                </w:tcPr>
                <w:p w14:paraId="50E75B1C">
                  <w:pPr>
                    <w:pStyle w:val="1111"/>
                    <w:bidi w:val="0"/>
                    <w:rPr>
                      <w:rFonts w:hint="default"/>
                      <w:vertAlign w:val="baseline"/>
                      <w:lang w:val="en-US" w:eastAsia="zh-CN"/>
                    </w:rPr>
                  </w:pPr>
                  <w:r>
                    <w:rPr>
                      <w:rFonts w:hint="eastAsia"/>
                      <w:vertAlign w:val="baseline"/>
                      <w:lang w:val="en-US" w:eastAsia="zh-CN"/>
                    </w:rPr>
                    <w:t>环保验收</w:t>
                  </w:r>
                </w:p>
              </w:tc>
            </w:tr>
            <w:tr w14:paraId="455BC7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5" w:type="dxa"/>
                  <w:vAlign w:val="center"/>
                </w:tcPr>
                <w:p w14:paraId="0010DEE6">
                  <w:pPr>
                    <w:pStyle w:val="1111"/>
                    <w:bidi w:val="0"/>
                    <w:rPr>
                      <w:rFonts w:hint="default"/>
                      <w:vertAlign w:val="baseline"/>
                      <w:lang w:val="en-US" w:eastAsia="zh-CN"/>
                    </w:rPr>
                  </w:pPr>
                  <w:r>
                    <w:rPr>
                      <w:rFonts w:hint="eastAsia"/>
                      <w:lang w:val="en-US" w:eastAsia="zh-CN"/>
                    </w:rPr>
                    <w:t>江苏鑫科医药产业投资有限公司</w:t>
                  </w:r>
                </w:p>
              </w:tc>
              <w:tc>
                <w:tcPr>
                  <w:tcW w:w="1565" w:type="dxa"/>
                  <w:vAlign w:val="center"/>
                </w:tcPr>
                <w:p w14:paraId="1C2712B2">
                  <w:pPr>
                    <w:pStyle w:val="1111"/>
                    <w:bidi w:val="0"/>
                    <w:rPr>
                      <w:rFonts w:hint="default"/>
                      <w:vertAlign w:val="baseline"/>
                      <w:lang w:val="en-US" w:eastAsia="zh-CN"/>
                    </w:rPr>
                  </w:pPr>
                  <w:r>
                    <w:rPr>
                      <w:rFonts w:hint="eastAsia"/>
                      <w:vertAlign w:val="baseline"/>
                      <w:lang w:val="en-US" w:eastAsia="zh-CN"/>
                    </w:rPr>
                    <w:t>高端化学制剂产业园项目-仓库</w:t>
                  </w:r>
                </w:p>
              </w:tc>
              <w:tc>
                <w:tcPr>
                  <w:tcW w:w="1565" w:type="dxa"/>
                  <w:vAlign w:val="center"/>
                </w:tcPr>
                <w:p w14:paraId="3324DBFE">
                  <w:pPr>
                    <w:pStyle w:val="1111"/>
                    <w:bidi w:val="0"/>
                    <w:rPr>
                      <w:rFonts w:hint="default"/>
                      <w:lang w:val="en-US" w:eastAsia="zh-CN"/>
                    </w:rPr>
                  </w:pPr>
                  <w:r>
                    <w:rPr>
                      <w:rFonts w:hint="eastAsia"/>
                      <w:lang w:val="en-US" w:eastAsia="zh-CN"/>
                    </w:rPr>
                    <w:t>危险品库</w:t>
                  </w:r>
                  <w:r>
                    <w:t>747.72m</w:t>
                  </w:r>
                  <w:r>
                    <w:rPr>
                      <w:vertAlign w:val="superscript"/>
                    </w:rPr>
                    <w:t>2</w:t>
                  </w:r>
                  <w:r>
                    <w:t>、危废品库747.72m</w:t>
                  </w:r>
                  <w:r>
                    <w:rPr>
                      <w:vertAlign w:val="superscript"/>
                    </w:rPr>
                    <w:t>2</w:t>
                  </w:r>
                </w:p>
              </w:tc>
              <w:tc>
                <w:tcPr>
                  <w:tcW w:w="1566" w:type="dxa"/>
                  <w:vAlign w:val="center"/>
                </w:tcPr>
                <w:p w14:paraId="2087ACAC">
                  <w:pPr>
                    <w:pStyle w:val="1111"/>
                    <w:bidi w:val="0"/>
                    <w:rPr>
                      <w:rFonts w:hint="default"/>
                      <w:vertAlign w:val="baseline"/>
                      <w:lang w:val="en-US" w:eastAsia="zh-CN"/>
                    </w:rPr>
                  </w:pPr>
                  <w:r>
                    <w:rPr>
                      <w:rFonts w:hint="eastAsia"/>
                      <w:vertAlign w:val="baseline"/>
                      <w:lang w:val="en-US" w:eastAsia="zh-CN"/>
                    </w:rPr>
                    <w:t>连开审批复[2023]57号</w:t>
                  </w:r>
                </w:p>
              </w:tc>
              <w:tc>
                <w:tcPr>
                  <w:tcW w:w="1566" w:type="dxa"/>
                  <w:vAlign w:val="center"/>
                </w:tcPr>
                <w:p w14:paraId="7FAE1109">
                  <w:pPr>
                    <w:pStyle w:val="1111"/>
                    <w:bidi w:val="0"/>
                    <w:rPr>
                      <w:rFonts w:hint="default"/>
                      <w:vertAlign w:val="baseline"/>
                      <w:lang w:val="en-US" w:eastAsia="zh-CN"/>
                    </w:rPr>
                  </w:pPr>
                  <w:r>
                    <w:rPr>
                      <w:rFonts w:hint="eastAsia"/>
                      <w:vertAlign w:val="baseline"/>
                      <w:lang w:val="en-US" w:eastAsia="zh-CN"/>
                    </w:rPr>
                    <w:t>未进行验收</w:t>
                  </w:r>
                </w:p>
              </w:tc>
            </w:tr>
          </w:tbl>
          <w:p w14:paraId="502A8BF2">
            <w:pPr>
              <w:pStyle w:val="512"/>
            </w:pPr>
            <w:r>
              <w:rPr>
                <w:rFonts w:hint="eastAsia"/>
                <w:lang w:val="en-US" w:eastAsia="zh-CN"/>
              </w:rPr>
              <w:t>3</w:t>
            </w:r>
            <w:r>
              <w:rPr>
                <w:rFonts w:hint="eastAsia"/>
              </w:rPr>
              <w:t>、现有项目污染物排放情况</w:t>
            </w:r>
          </w:p>
          <w:p w14:paraId="0B3EB444">
            <w:pPr>
              <w:pStyle w:val="512"/>
            </w:pPr>
            <w:r>
              <w:rPr>
                <w:rFonts w:hint="eastAsia"/>
              </w:rPr>
              <w:t>目前现有项目没有</w:t>
            </w:r>
            <w:r>
              <w:rPr>
                <w:rFonts w:hint="eastAsia"/>
                <w:lang w:eastAsia="zh-CN"/>
              </w:rPr>
              <w:t>运营</w:t>
            </w:r>
            <w:r>
              <w:rPr>
                <w:rFonts w:hint="eastAsia"/>
              </w:rPr>
              <w:t>，污染物排放情况根据现有项目环境影响报告表《</w:t>
            </w:r>
            <w:r>
              <w:rPr>
                <w:rFonts w:hint="eastAsia"/>
                <w:vertAlign w:val="baseline"/>
                <w:lang w:val="en-US" w:eastAsia="zh-CN"/>
              </w:rPr>
              <w:t>高端化学制剂产业园项目-仓库</w:t>
            </w:r>
            <w:r>
              <w:rPr>
                <w:rFonts w:hint="eastAsia"/>
              </w:rPr>
              <w:t>》计算。</w:t>
            </w:r>
          </w:p>
          <w:p w14:paraId="5860AC6F">
            <w:pPr>
              <w:pStyle w:val="512"/>
            </w:pPr>
            <w:r>
              <w:rPr>
                <w:rFonts w:hint="eastAsia"/>
              </w:rPr>
              <w:t>（1）废气</w:t>
            </w:r>
          </w:p>
          <w:p w14:paraId="6776D9BD">
            <w:pPr>
              <w:pStyle w:val="512"/>
            </w:pPr>
            <w:r>
              <w:rPr>
                <w:rFonts w:hint="eastAsia"/>
              </w:rPr>
              <w:t>现有项目废气预计排放情况见下表：</w:t>
            </w:r>
          </w:p>
          <w:p w14:paraId="1914E7A4">
            <w:pPr>
              <w:pStyle w:val="1111"/>
            </w:pPr>
            <w:r>
              <w:rPr>
                <w:rFonts w:hint="eastAsia"/>
              </w:rPr>
              <w:t>表2</w:t>
            </w:r>
            <w:r>
              <w:t>-</w:t>
            </w:r>
            <w:r>
              <w:rPr>
                <w:rFonts w:hint="eastAsia"/>
                <w:lang w:val="en-US" w:eastAsia="zh-CN"/>
              </w:rPr>
              <w:t>11</w:t>
            </w:r>
            <w:r>
              <w:t xml:space="preserve"> </w:t>
            </w:r>
            <w:r>
              <w:rPr>
                <w:rFonts w:hint="eastAsia"/>
              </w:rPr>
              <w:t>现有项目废气排放情况一览表</w:t>
            </w:r>
          </w:p>
          <w:tbl>
            <w:tblPr>
              <w:tblStyle w:val="7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2"/>
              <w:gridCol w:w="1352"/>
              <w:gridCol w:w="1503"/>
              <w:gridCol w:w="2553"/>
              <w:gridCol w:w="1585"/>
            </w:tblGrid>
            <w:tr w14:paraId="79CB99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2" w:type="dxa"/>
                  <w:shd w:val="clear" w:color="auto" w:fill="auto"/>
                  <w:vAlign w:val="center"/>
                </w:tcPr>
                <w:p w14:paraId="514F6DAD">
                  <w:pPr>
                    <w:pStyle w:val="1111"/>
                  </w:pPr>
                  <w:r>
                    <w:rPr>
                      <w:rFonts w:hint="eastAsia"/>
                    </w:rPr>
                    <w:t>排放源</w:t>
                  </w:r>
                </w:p>
              </w:tc>
              <w:tc>
                <w:tcPr>
                  <w:tcW w:w="1352" w:type="dxa"/>
                  <w:shd w:val="clear" w:color="auto" w:fill="auto"/>
                  <w:vAlign w:val="center"/>
                </w:tcPr>
                <w:p w14:paraId="74AD8D99">
                  <w:pPr>
                    <w:pStyle w:val="1111"/>
                  </w:pPr>
                  <w:r>
                    <w:rPr>
                      <w:rFonts w:hint="eastAsia"/>
                    </w:rPr>
                    <w:t>污染物</w:t>
                  </w:r>
                </w:p>
              </w:tc>
              <w:tc>
                <w:tcPr>
                  <w:tcW w:w="1503" w:type="dxa"/>
                  <w:shd w:val="clear" w:color="auto" w:fill="auto"/>
                  <w:vAlign w:val="center"/>
                </w:tcPr>
                <w:p w14:paraId="162416D6">
                  <w:pPr>
                    <w:pStyle w:val="1111"/>
                  </w:pPr>
                  <w:r>
                    <w:t>排放量（t/a）</w:t>
                  </w:r>
                </w:p>
              </w:tc>
              <w:tc>
                <w:tcPr>
                  <w:tcW w:w="2553" w:type="dxa"/>
                  <w:shd w:val="clear" w:color="auto" w:fill="auto"/>
                  <w:vAlign w:val="center"/>
                </w:tcPr>
                <w:p w14:paraId="3DC43BA9">
                  <w:pPr>
                    <w:pStyle w:val="1111"/>
                  </w:pPr>
                  <w:r>
                    <w:t>治理方式</w:t>
                  </w:r>
                </w:p>
              </w:tc>
              <w:tc>
                <w:tcPr>
                  <w:tcW w:w="1585" w:type="dxa"/>
                  <w:shd w:val="clear" w:color="auto" w:fill="auto"/>
                  <w:vAlign w:val="center"/>
                </w:tcPr>
                <w:p w14:paraId="109873B0">
                  <w:pPr>
                    <w:pStyle w:val="1111"/>
                  </w:pPr>
                  <w:r>
                    <w:t>排放高度</w:t>
                  </w:r>
                  <w:r>
                    <w:rPr>
                      <w:rFonts w:hint="eastAsia"/>
                    </w:rPr>
                    <w:t>（m）</w:t>
                  </w:r>
                </w:p>
              </w:tc>
            </w:tr>
            <w:tr w14:paraId="275484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932" w:type="dxa"/>
                  <w:shd w:val="clear" w:color="auto" w:fill="auto"/>
                  <w:vAlign w:val="center"/>
                </w:tcPr>
                <w:p w14:paraId="5BF8C995">
                  <w:pPr>
                    <w:pStyle w:val="1111"/>
                    <w:rPr>
                      <w:rFonts w:hint="eastAsia" w:eastAsia="宋体"/>
                      <w:lang w:eastAsia="zh-CN"/>
                    </w:rPr>
                  </w:pPr>
                  <w:r>
                    <w:rPr>
                      <w:rFonts w:hint="eastAsia"/>
                      <w:lang w:eastAsia="zh-CN"/>
                    </w:rPr>
                    <w:t>危废库</w:t>
                  </w:r>
                </w:p>
              </w:tc>
              <w:tc>
                <w:tcPr>
                  <w:tcW w:w="1352" w:type="dxa"/>
                  <w:shd w:val="clear" w:color="auto" w:fill="auto"/>
                  <w:vAlign w:val="center"/>
                </w:tcPr>
                <w:p w14:paraId="382931FB">
                  <w:pPr>
                    <w:pStyle w:val="1111"/>
                  </w:pPr>
                  <w:r>
                    <w:t>非甲烷总烃</w:t>
                  </w:r>
                </w:p>
              </w:tc>
              <w:tc>
                <w:tcPr>
                  <w:tcW w:w="1503" w:type="dxa"/>
                  <w:shd w:val="clear" w:color="auto" w:fill="auto"/>
                  <w:vAlign w:val="center"/>
                </w:tcPr>
                <w:p w14:paraId="5BE0FE75">
                  <w:pPr>
                    <w:pStyle w:val="1111"/>
                    <w:rPr>
                      <w:rFonts w:hint="default" w:eastAsia="宋体"/>
                      <w:lang w:val="en-US" w:eastAsia="zh-CN"/>
                    </w:rPr>
                  </w:pPr>
                  <w:r>
                    <w:t>0.</w:t>
                  </w:r>
                  <w:r>
                    <w:rPr>
                      <w:rFonts w:hint="eastAsia"/>
                      <w:lang w:val="en-US" w:eastAsia="zh-CN"/>
                    </w:rPr>
                    <w:t>019</w:t>
                  </w:r>
                </w:p>
              </w:tc>
              <w:tc>
                <w:tcPr>
                  <w:tcW w:w="2553" w:type="dxa"/>
                  <w:shd w:val="clear" w:color="auto" w:fill="auto"/>
                  <w:vAlign w:val="center"/>
                </w:tcPr>
                <w:p w14:paraId="6C23102D">
                  <w:pPr>
                    <w:pStyle w:val="1111"/>
                  </w:pPr>
                  <w:r>
                    <w:rPr>
                      <w:rFonts w:hint="eastAsia" w:ascii="Times New Roman" w:eastAsia="宋体"/>
                      <w:sz w:val="21"/>
                      <w:szCs w:val="21"/>
                    </w:rPr>
                    <w:t>一级水吸收+一级</w:t>
                  </w:r>
                  <w:r>
                    <w:rPr>
                      <w:rFonts w:ascii="Times New Roman" w:eastAsia="宋体"/>
                      <w:sz w:val="21"/>
                      <w:szCs w:val="21"/>
                    </w:rPr>
                    <w:t>活性炭吸附</w:t>
                  </w:r>
                  <w:r>
                    <w:t>废气处理装置</w:t>
                  </w:r>
                </w:p>
              </w:tc>
              <w:tc>
                <w:tcPr>
                  <w:tcW w:w="1585" w:type="dxa"/>
                  <w:shd w:val="clear" w:color="auto" w:fill="auto"/>
                  <w:vAlign w:val="center"/>
                </w:tcPr>
                <w:p w14:paraId="7B26B22F">
                  <w:pPr>
                    <w:pStyle w:val="1111"/>
                  </w:pPr>
                  <w:r>
                    <w:rPr>
                      <w:rFonts w:hint="eastAsia"/>
                    </w:rPr>
                    <w:t>1</w:t>
                  </w:r>
                  <w:r>
                    <w:t>5</w:t>
                  </w:r>
                </w:p>
              </w:tc>
            </w:tr>
          </w:tbl>
          <w:p w14:paraId="29B30B66">
            <w:pPr>
              <w:pStyle w:val="512"/>
            </w:pPr>
            <w:r>
              <w:rPr>
                <w:rFonts w:hint="eastAsia"/>
              </w:rPr>
              <w:t>（2）废水</w:t>
            </w:r>
          </w:p>
          <w:p w14:paraId="51338367">
            <w:pPr>
              <w:pStyle w:val="512"/>
            </w:pPr>
            <w:r>
              <w:rPr>
                <w:rFonts w:hint="eastAsia"/>
              </w:rPr>
              <w:t>现有项目废水为</w:t>
            </w:r>
            <w:r>
              <w:rPr>
                <w:rFonts w:hint="eastAsia"/>
                <w:lang w:eastAsia="zh-CN"/>
              </w:rPr>
              <w:t>废气吸收废水</w:t>
            </w:r>
            <w:r>
              <w:rPr>
                <w:rFonts w:hint="eastAsia"/>
              </w:rPr>
              <w:t>以及员工日常生活产生的生活污水，废水排放量为</w:t>
            </w:r>
            <w:r>
              <w:rPr>
                <w:rFonts w:hint="eastAsia"/>
                <w:lang w:val="en-US" w:eastAsia="zh-CN"/>
              </w:rPr>
              <w:t>192</w:t>
            </w:r>
            <w:r>
              <w:t>t/a</w:t>
            </w:r>
            <w:r>
              <w:rPr>
                <w:rFonts w:hint="eastAsia"/>
              </w:rPr>
              <w:t>。</w:t>
            </w:r>
          </w:p>
          <w:p w14:paraId="35ADEAE7">
            <w:pPr>
              <w:pStyle w:val="1111"/>
            </w:pPr>
            <w:r>
              <w:t>表2-</w:t>
            </w:r>
            <w:r>
              <w:rPr>
                <w:rFonts w:hint="eastAsia"/>
                <w:lang w:val="en-US" w:eastAsia="zh-CN"/>
              </w:rPr>
              <w:t>12</w:t>
            </w:r>
            <w:r>
              <w:t xml:space="preserve"> 现有项目污水排放情况一览表</w:t>
            </w:r>
          </w:p>
          <w:tbl>
            <w:tblPr>
              <w:tblStyle w:val="7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3"/>
              <w:gridCol w:w="662"/>
              <w:gridCol w:w="856"/>
              <w:gridCol w:w="1119"/>
              <w:gridCol w:w="939"/>
              <w:gridCol w:w="1340"/>
              <w:gridCol w:w="1118"/>
              <w:gridCol w:w="1018"/>
            </w:tblGrid>
            <w:tr w14:paraId="46F1C8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 w:hRule="atLeast"/>
                <w:jc w:val="center"/>
              </w:trPr>
              <w:tc>
                <w:tcPr>
                  <w:tcW w:w="863" w:type="dxa"/>
                  <w:vMerge w:val="restart"/>
                  <w:shd w:val="clear" w:color="auto" w:fill="auto"/>
                  <w:vAlign w:val="center"/>
                </w:tcPr>
                <w:p w14:paraId="27421BAE">
                  <w:pPr>
                    <w:pStyle w:val="1111"/>
                  </w:pPr>
                  <w:r>
                    <w:t>废水来源</w:t>
                  </w:r>
                </w:p>
              </w:tc>
              <w:tc>
                <w:tcPr>
                  <w:tcW w:w="655" w:type="dxa"/>
                  <w:vMerge w:val="restart"/>
                  <w:shd w:val="clear" w:color="auto" w:fill="auto"/>
                  <w:vAlign w:val="center"/>
                </w:tcPr>
                <w:p w14:paraId="434ABE1C">
                  <w:pPr>
                    <w:pStyle w:val="1111"/>
                  </w:pPr>
                  <w:r>
                    <w:t>废水量t/a</w:t>
                  </w:r>
                </w:p>
              </w:tc>
              <w:tc>
                <w:tcPr>
                  <w:tcW w:w="845" w:type="dxa"/>
                  <w:vMerge w:val="restart"/>
                  <w:shd w:val="clear" w:color="auto" w:fill="auto"/>
                  <w:vAlign w:val="center"/>
                </w:tcPr>
                <w:p w14:paraId="401515C6">
                  <w:pPr>
                    <w:pStyle w:val="1111"/>
                  </w:pPr>
                  <w:r>
                    <w:t>污染物名称</w:t>
                  </w:r>
                </w:p>
              </w:tc>
              <w:tc>
                <w:tcPr>
                  <w:tcW w:w="5464" w:type="dxa"/>
                  <w:gridSpan w:val="5"/>
                  <w:vAlign w:val="center"/>
                </w:tcPr>
                <w:p w14:paraId="68E1C2E8">
                  <w:pPr>
                    <w:pStyle w:val="1111"/>
                  </w:pPr>
                  <w:r>
                    <w:t>污染物排放情况</w:t>
                  </w:r>
                </w:p>
              </w:tc>
            </w:tr>
            <w:tr w14:paraId="6997C7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 w:hRule="atLeast"/>
                <w:jc w:val="center"/>
              </w:trPr>
              <w:tc>
                <w:tcPr>
                  <w:tcW w:w="863" w:type="dxa"/>
                  <w:vMerge w:val="continue"/>
                  <w:shd w:val="clear" w:color="auto" w:fill="auto"/>
                  <w:vAlign w:val="center"/>
                </w:tcPr>
                <w:p w14:paraId="31CB245F">
                  <w:pPr>
                    <w:pStyle w:val="1111"/>
                  </w:pPr>
                </w:p>
              </w:tc>
              <w:tc>
                <w:tcPr>
                  <w:tcW w:w="655" w:type="dxa"/>
                  <w:vMerge w:val="continue"/>
                  <w:shd w:val="clear" w:color="auto" w:fill="auto"/>
                  <w:vAlign w:val="center"/>
                </w:tcPr>
                <w:p w14:paraId="0F434610">
                  <w:pPr>
                    <w:pStyle w:val="1111"/>
                  </w:pPr>
                </w:p>
              </w:tc>
              <w:tc>
                <w:tcPr>
                  <w:tcW w:w="845" w:type="dxa"/>
                  <w:vMerge w:val="continue"/>
                  <w:shd w:val="clear" w:color="auto" w:fill="auto"/>
                  <w:vAlign w:val="center"/>
                </w:tcPr>
                <w:p w14:paraId="5E61EBCE">
                  <w:pPr>
                    <w:pStyle w:val="1111"/>
                  </w:pPr>
                </w:p>
              </w:tc>
              <w:tc>
                <w:tcPr>
                  <w:tcW w:w="1105" w:type="dxa"/>
                  <w:vAlign w:val="center"/>
                </w:tcPr>
                <w:p w14:paraId="2A40B929">
                  <w:pPr>
                    <w:pStyle w:val="1111"/>
                  </w:pPr>
                  <w:r>
                    <w:rPr>
                      <w:rFonts w:hint="eastAsia"/>
                    </w:rPr>
                    <w:t>接管</w:t>
                  </w:r>
                  <w:r>
                    <w:t>浓度（mg/L）</w:t>
                  </w:r>
                </w:p>
              </w:tc>
              <w:tc>
                <w:tcPr>
                  <w:tcW w:w="927" w:type="dxa"/>
                  <w:vAlign w:val="center"/>
                </w:tcPr>
                <w:p w14:paraId="3BCBFABE">
                  <w:pPr>
                    <w:pStyle w:val="1111"/>
                  </w:pPr>
                  <w:r>
                    <w:rPr>
                      <w:rFonts w:hint="eastAsia"/>
                    </w:rPr>
                    <w:t>接管</w:t>
                  </w:r>
                  <w:r>
                    <w:t>量（t/a）</w:t>
                  </w:r>
                </w:p>
              </w:tc>
              <w:tc>
                <w:tcPr>
                  <w:tcW w:w="1323" w:type="dxa"/>
                  <w:vAlign w:val="center"/>
                </w:tcPr>
                <w:p w14:paraId="12B50FFD">
                  <w:pPr>
                    <w:pStyle w:val="1111"/>
                    <w:bidi w:val="0"/>
                  </w:pPr>
                  <w:r>
                    <w:t>治理方式</w:t>
                  </w:r>
                  <w:r>
                    <w:rPr>
                      <w:rFonts w:hint="eastAsia"/>
                    </w:rPr>
                    <w:t>及</w:t>
                  </w:r>
                  <w:r>
                    <w:t>排放去向</w:t>
                  </w:r>
                </w:p>
              </w:tc>
              <w:tc>
                <w:tcPr>
                  <w:tcW w:w="1104" w:type="dxa"/>
                  <w:shd w:val="clear" w:color="auto" w:fill="auto"/>
                  <w:vAlign w:val="center"/>
                </w:tcPr>
                <w:p w14:paraId="3A865C40">
                  <w:pPr>
                    <w:pStyle w:val="1111"/>
                  </w:pPr>
                  <w:r>
                    <w:rPr>
                      <w:rFonts w:hint="eastAsia"/>
                    </w:rPr>
                    <w:t>外排</w:t>
                  </w:r>
                  <w:r>
                    <w:t>浓度（mg/L）</w:t>
                  </w:r>
                </w:p>
              </w:tc>
              <w:tc>
                <w:tcPr>
                  <w:tcW w:w="1005" w:type="dxa"/>
                  <w:shd w:val="clear" w:color="auto" w:fill="auto"/>
                  <w:vAlign w:val="center"/>
                </w:tcPr>
                <w:p w14:paraId="75F26B8C">
                  <w:pPr>
                    <w:pStyle w:val="1111"/>
                  </w:pPr>
                  <w:r>
                    <w:rPr>
                      <w:rFonts w:hint="eastAsia"/>
                    </w:rPr>
                    <w:t>外排</w:t>
                  </w:r>
                  <w:r>
                    <w:t>量（t/a）</w:t>
                  </w:r>
                </w:p>
              </w:tc>
            </w:tr>
            <w:tr w14:paraId="06C688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3" w:type="dxa"/>
                  <w:vMerge w:val="restart"/>
                  <w:shd w:val="clear" w:color="auto" w:fill="auto"/>
                  <w:vAlign w:val="center"/>
                </w:tcPr>
                <w:p w14:paraId="5610D9BE">
                  <w:pPr>
                    <w:pStyle w:val="1111"/>
                  </w:pPr>
                  <w:r>
                    <w:t>生活污水</w:t>
                  </w:r>
                </w:p>
              </w:tc>
              <w:tc>
                <w:tcPr>
                  <w:tcW w:w="655" w:type="dxa"/>
                  <w:vMerge w:val="restart"/>
                  <w:shd w:val="clear" w:color="auto" w:fill="auto"/>
                  <w:vAlign w:val="center"/>
                </w:tcPr>
                <w:p w14:paraId="67844115">
                  <w:pPr>
                    <w:pStyle w:val="1111"/>
                    <w:rPr>
                      <w:rFonts w:hint="default" w:eastAsia="宋体"/>
                      <w:lang w:val="en-US" w:eastAsia="zh-CN"/>
                    </w:rPr>
                  </w:pPr>
                  <w:r>
                    <w:rPr>
                      <w:rFonts w:hint="eastAsia"/>
                      <w:lang w:val="en-US" w:eastAsia="zh-CN"/>
                    </w:rPr>
                    <w:t>72</w:t>
                  </w:r>
                </w:p>
              </w:tc>
              <w:tc>
                <w:tcPr>
                  <w:tcW w:w="845" w:type="dxa"/>
                  <w:shd w:val="clear" w:color="auto" w:fill="auto"/>
                  <w:vAlign w:val="center"/>
                </w:tcPr>
                <w:p w14:paraId="502FECEC">
                  <w:pPr>
                    <w:pStyle w:val="1111"/>
                    <w:bidi w:val="0"/>
                  </w:pPr>
                  <w:r>
                    <w:t>COD</w:t>
                  </w:r>
                </w:p>
              </w:tc>
              <w:tc>
                <w:tcPr>
                  <w:tcW w:w="1105" w:type="dxa"/>
                  <w:vAlign w:val="center"/>
                </w:tcPr>
                <w:p w14:paraId="7763EF39">
                  <w:pPr>
                    <w:pStyle w:val="1111"/>
                    <w:bidi w:val="0"/>
                  </w:pPr>
                  <w:r>
                    <w:t>400</w:t>
                  </w:r>
                </w:p>
              </w:tc>
              <w:tc>
                <w:tcPr>
                  <w:tcW w:w="927" w:type="dxa"/>
                  <w:vAlign w:val="center"/>
                </w:tcPr>
                <w:p w14:paraId="7F6EC796">
                  <w:pPr>
                    <w:pStyle w:val="1111"/>
                    <w:bidi w:val="0"/>
                  </w:pPr>
                  <w:r>
                    <w:t>0.0288</w:t>
                  </w:r>
                </w:p>
              </w:tc>
              <w:tc>
                <w:tcPr>
                  <w:tcW w:w="1323" w:type="dxa"/>
                  <w:vMerge w:val="restart"/>
                  <w:vAlign w:val="center"/>
                </w:tcPr>
                <w:p w14:paraId="7E930D09">
                  <w:pPr>
                    <w:pStyle w:val="1111"/>
                    <w:bidi w:val="0"/>
                    <w:rPr>
                      <w:lang w:val="zh-CN" w:eastAsia="zh-CN"/>
                    </w:rPr>
                  </w:pPr>
                  <w:r>
                    <w:t>依托园区中华药港污水站预处理后开发区临港污水处理厂集中处理。</w:t>
                  </w:r>
                </w:p>
              </w:tc>
              <w:tc>
                <w:tcPr>
                  <w:tcW w:w="1104" w:type="dxa"/>
                  <w:shd w:val="clear" w:color="auto" w:fill="auto"/>
                  <w:vAlign w:val="center"/>
                </w:tcPr>
                <w:p w14:paraId="75885C0F">
                  <w:pPr>
                    <w:pStyle w:val="1111"/>
                  </w:pPr>
                  <w:r>
                    <w:t>50</w:t>
                  </w:r>
                </w:p>
              </w:tc>
              <w:tc>
                <w:tcPr>
                  <w:tcW w:w="1005" w:type="dxa"/>
                  <w:shd w:val="clear" w:color="auto" w:fill="auto"/>
                  <w:vAlign w:val="center"/>
                </w:tcPr>
                <w:p w14:paraId="134F70B3">
                  <w:pPr>
                    <w:pStyle w:val="1111"/>
                    <w:rPr>
                      <w:rFonts w:hint="default" w:eastAsia="宋体"/>
                      <w:color w:val="000000"/>
                      <w:szCs w:val="21"/>
                      <w:lang w:val="en-US" w:eastAsia="zh-CN"/>
                    </w:rPr>
                  </w:pPr>
                  <w:r>
                    <w:rPr>
                      <w:color w:val="000000"/>
                      <w:szCs w:val="21"/>
                    </w:rPr>
                    <w:t>0.</w:t>
                  </w:r>
                  <w:r>
                    <w:rPr>
                      <w:rFonts w:hint="eastAsia"/>
                      <w:color w:val="000000"/>
                      <w:szCs w:val="21"/>
                      <w:lang w:val="en-US" w:eastAsia="zh-CN"/>
                    </w:rPr>
                    <w:t>0036</w:t>
                  </w:r>
                </w:p>
              </w:tc>
            </w:tr>
            <w:tr w14:paraId="1B68B6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3" w:type="dxa"/>
                  <w:vMerge w:val="continue"/>
                  <w:shd w:val="clear" w:color="auto" w:fill="auto"/>
                  <w:vAlign w:val="center"/>
                </w:tcPr>
                <w:p w14:paraId="60762104">
                  <w:pPr>
                    <w:pStyle w:val="1111"/>
                  </w:pPr>
                </w:p>
              </w:tc>
              <w:tc>
                <w:tcPr>
                  <w:tcW w:w="655" w:type="dxa"/>
                  <w:vMerge w:val="continue"/>
                  <w:shd w:val="clear" w:color="auto" w:fill="auto"/>
                  <w:vAlign w:val="center"/>
                </w:tcPr>
                <w:p w14:paraId="5330CAF7">
                  <w:pPr>
                    <w:pStyle w:val="1111"/>
                  </w:pPr>
                </w:p>
              </w:tc>
              <w:tc>
                <w:tcPr>
                  <w:tcW w:w="845" w:type="dxa"/>
                  <w:shd w:val="clear" w:color="auto" w:fill="auto"/>
                  <w:vAlign w:val="center"/>
                </w:tcPr>
                <w:p w14:paraId="4800AF88">
                  <w:pPr>
                    <w:pStyle w:val="1111"/>
                  </w:pPr>
                  <w:r>
                    <w:t>SS</w:t>
                  </w:r>
                </w:p>
              </w:tc>
              <w:tc>
                <w:tcPr>
                  <w:tcW w:w="1105" w:type="dxa"/>
                  <w:vAlign w:val="center"/>
                </w:tcPr>
                <w:p w14:paraId="0CAA24F7">
                  <w:pPr>
                    <w:pStyle w:val="1111"/>
                    <w:bidi w:val="0"/>
                  </w:pPr>
                  <w:r>
                    <w:t>120</w:t>
                  </w:r>
                </w:p>
              </w:tc>
              <w:tc>
                <w:tcPr>
                  <w:tcW w:w="927" w:type="dxa"/>
                  <w:vAlign w:val="center"/>
                </w:tcPr>
                <w:p w14:paraId="7AD09DA2">
                  <w:pPr>
                    <w:pStyle w:val="1111"/>
                    <w:bidi w:val="0"/>
                  </w:pPr>
                  <w:r>
                    <w:t>0.0086</w:t>
                  </w:r>
                </w:p>
              </w:tc>
              <w:tc>
                <w:tcPr>
                  <w:tcW w:w="1323" w:type="dxa"/>
                  <w:vMerge w:val="continue"/>
                  <w:vAlign w:val="center"/>
                </w:tcPr>
                <w:p w14:paraId="2739561F">
                  <w:pPr>
                    <w:pStyle w:val="1111"/>
                  </w:pPr>
                </w:p>
              </w:tc>
              <w:tc>
                <w:tcPr>
                  <w:tcW w:w="1104" w:type="dxa"/>
                  <w:shd w:val="clear" w:color="auto" w:fill="auto"/>
                  <w:vAlign w:val="center"/>
                </w:tcPr>
                <w:p w14:paraId="567BB6BE">
                  <w:pPr>
                    <w:pStyle w:val="1111"/>
                  </w:pPr>
                  <w:r>
                    <w:t>10</w:t>
                  </w:r>
                </w:p>
              </w:tc>
              <w:tc>
                <w:tcPr>
                  <w:tcW w:w="1005" w:type="dxa"/>
                  <w:shd w:val="clear" w:color="auto" w:fill="auto"/>
                  <w:vAlign w:val="center"/>
                </w:tcPr>
                <w:p w14:paraId="1140317E">
                  <w:pPr>
                    <w:pStyle w:val="1111"/>
                    <w:rPr>
                      <w:rFonts w:hint="default" w:eastAsia="宋体"/>
                      <w:color w:val="000000"/>
                      <w:szCs w:val="21"/>
                      <w:lang w:val="en-US" w:eastAsia="zh-CN"/>
                    </w:rPr>
                  </w:pPr>
                  <w:r>
                    <w:rPr>
                      <w:color w:val="000000"/>
                      <w:szCs w:val="21"/>
                    </w:rPr>
                    <w:t>0.0</w:t>
                  </w:r>
                  <w:r>
                    <w:rPr>
                      <w:rFonts w:hint="eastAsia"/>
                      <w:color w:val="000000"/>
                      <w:szCs w:val="21"/>
                      <w:lang w:val="en-US" w:eastAsia="zh-CN"/>
                    </w:rPr>
                    <w:t>0072</w:t>
                  </w:r>
                </w:p>
              </w:tc>
            </w:tr>
            <w:tr w14:paraId="381B72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3" w:type="dxa"/>
                  <w:vMerge w:val="continue"/>
                  <w:shd w:val="clear" w:color="auto" w:fill="auto"/>
                  <w:vAlign w:val="center"/>
                </w:tcPr>
                <w:p w14:paraId="3218CBA6">
                  <w:pPr>
                    <w:pStyle w:val="1111"/>
                  </w:pPr>
                </w:p>
              </w:tc>
              <w:tc>
                <w:tcPr>
                  <w:tcW w:w="655" w:type="dxa"/>
                  <w:vMerge w:val="continue"/>
                  <w:shd w:val="clear" w:color="auto" w:fill="auto"/>
                  <w:vAlign w:val="center"/>
                </w:tcPr>
                <w:p w14:paraId="22414734">
                  <w:pPr>
                    <w:pStyle w:val="1111"/>
                  </w:pPr>
                </w:p>
              </w:tc>
              <w:tc>
                <w:tcPr>
                  <w:tcW w:w="845" w:type="dxa"/>
                  <w:shd w:val="clear" w:color="auto" w:fill="auto"/>
                  <w:vAlign w:val="center"/>
                </w:tcPr>
                <w:p w14:paraId="0B86615C">
                  <w:pPr>
                    <w:pStyle w:val="1111"/>
                  </w:pPr>
                  <w:r>
                    <w:t>NH</w:t>
                  </w:r>
                  <w:r>
                    <w:rPr>
                      <w:vertAlign w:val="subscript"/>
                    </w:rPr>
                    <w:t>3</w:t>
                  </w:r>
                  <w:r>
                    <w:t>-N</w:t>
                  </w:r>
                </w:p>
              </w:tc>
              <w:tc>
                <w:tcPr>
                  <w:tcW w:w="1105" w:type="dxa"/>
                  <w:vAlign w:val="center"/>
                </w:tcPr>
                <w:p w14:paraId="6DC85455">
                  <w:pPr>
                    <w:pStyle w:val="1111"/>
                    <w:bidi w:val="0"/>
                  </w:pPr>
                  <w:r>
                    <w:t>35</w:t>
                  </w:r>
                </w:p>
              </w:tc>
              <w:tc>
                <w:tcPr>
                  <w:tcW w:w="927" w:type="dxa"/>
                  <w:vAlign w:val="center"/>
                </w:tcPr>
                <w:p w14:paraId="6E39D6A3">
                  <w:pPr>
                    <w:pStyle w:val="1111"/>
                    <w:bidi w:val="0"/>
                  </w:pPr>
                  <w:r>
                    <w:t>0.0025</w:t>
                  </w:r>
                </w:p>
              </w:tc>
              <w:tc>
                <w:tcPr>
                  <w:tcW w:w="1323" w:type="dxa"/>
                  <w:vMerge w:val="continue"/>
                  <w:vAlign w:val="center"/>
                </w:tcPr>
                <w:p w14:paraId="2C6B3C3A">
                  <w:pPr>
                    <w:pStyle w:val="1111"/>
                  </w:pPr>
                </w:p>
              </w:tc>
              <w:tc>
                <w:tcPr>
                  <w:tcW w:w="1104" w:type="dxa"/>
                  <w:shd w:val="clear" w:color="auto" w:fill="auto"/>
                  <w:vAlign w:val="center"/>
                </w:tcPr>
                <w:p w14:paraId="2F25298E">
                  <w:pPr>
                    <w:pStyle w:val="1111"/>
                  </w:pPr>
                  <w:r>
                    <w:t>5</w:t>
                  </w:r>
                </w:p>
              </w:tc>
              <w:tc>
                <w:tcPr>
                  <w:tcW w:w="1005" w:type="dxa"/>
                  <w:shd w:val="clear" w:color="auto" w:fill="auto"/>
                  <w:vAlign w:val="center"/>
                </w:tcPr>
                <w:p w14:paraId="68523319">
                  <w:pPr>
                    <w:pStyle w:val="1111"/>
                    <w:rPr>
                      <w:rFonts w:hint="default" w:eastAsia="宋体"/>
                      <w:color w:val="000000"/>
                      <w:szCs w:val="21"/>
                      <w:lang w:val="en-US" w:eastAsia="zh-CN"/>
                    </w:rPr>
                  </w:pPr>
                  <w:r>
                    <w:rPr>
                      <w:color w:val="000000"/>
                      <w:szCs w:val="21"/>
                    </w:rPr>
                    <w:t>0.0</w:t>
                  </w:r>
                  <w:r>
                    <w:rPr>
                      <w:rFonts w:hint="eastAsia"/>
                      <w:color w:val="000000"/>
                      <w:szCs w:val="21"/>
                      <w:lang w:val="en-US" w:eastAsia="zh-CN"/>
                    </w:rPr>
                    <w:t>0036</w:t>
                  </w:r>
                </w:p>
              </w:tc>
            </w:tr>
            <w:tr w14:paraId="27710C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 w:hRule="atLeast"/>
                <w:jc w:val="center"/>
              </w:trPr>
              <w:tc>
                <w:tcPr>
                  <w:tcW w:w="863" w:type="dxa"/>
                  <w:vMerge w:val="continue"/>
                  <w:shd w:val="clear" w:color="auto" w:fill="auto"/>
                  <w:vAlign w:val="center"/>
                </w:tcPr>
                <w:p w14:paraId="2F8FDBD1">
                  <w:pPr>
                    <w:pStyle w:val="1111"/>
                  </w:pPr>
                </w:p>
              </w:tc>
              <w:tc>
                <w:tcPr>
                  <w:tcW w:w="655" w:type="dxa"/>
                  <w:vMerge w:val="continue"/>
                  <w:shd w:val="clear" w:color="auto" w:fill="auto"/>
                  <w:vAlign w:val="center"/>
                </w:tcPr>
                <w:p w14:paraId="42334695">
                  <w:pPr>
                    <w:pStyle w:val="1111"/>
                  </w:pPr>
                </w:p>
              </w:tc>
              <w:tc>
                <w:tcPr>
                  <w:tcW w:w="845" w:type="dxa"/>
                  <w:shd w:val="clear" w:color="auto" w:fill="auto"/>
                  <w:vAlign w:val="center"/>
                </w:tcPr>
                <w:p w14:paraId="5B2818DC">
                  <w:pPr>
                    <w:pStyle w:val="1111"/>
                  </w:pPr>
                  <w:r>
                    <w:t>TN</w:t>
                  </w:r>
                </w:p>
              </w:tc>
              <w:tc>
                <w:tcPr>
                  <w:tcW w:w="1105" w:type="dxa"/>
                  <w:vAlign w:val="center"/>
                </w:tcPr>
                <w:p w14:paraId="47DE0F60">
                  <w:pPr>
                    <w:pStyle w:val="1111"/>
                    <w:bidi w:val="0"/>
                  </w:pPr>
                  <w:r>
                    <w:t>50</w:t>
                  </w:r>
                </w:p>
              </w:tc>
              <w:tc>
                <w:tcPr>
                  <w:tcW w:w="927" w:type="dxa"/>
                  <w:vAlign w:val="center"/>
                </w:tcPr>
                <w:p w14:paraId="44511445">
                  <w:pPr>
                    <w:pStyle w:val="1111"/>
                    <w:bidi w:val="0"/>
                  </w:pPr>
                  <w:r>
                    <w:t>0.0036</w:t>
                  </w:r>
                </w:p>
              </w:tc>
              <w:tc>
                <w:tcPr>
                  <w:tcW w:w="1323" w:type="dxa"/>
                  <w:vMerge w:val="continue"/>
                  <w:vAlign w:val="center"/>
                </w:tcPr>
                <w:p w14:paraId="3C6A441B">
                  <w:pPr>
                    <w:pStyle w:val="1111"/>
                  </w:pPr>
                </w:p>
              </w:tc>
              <w:tc>
                <w:tcPr>
                  <w:tcW w:w="1104" w:type="dxa"/>
                  <w:shd w:val="clear" w:color="auto" w:fill="auto"/>
                  <w:vAlign w:val="center"/>
                </w:tcPr>
                <w:p w14:paraId="44E04EF8">
                  <w:pPr>
                    <w:pStyle w:val="1111"/>
                  </w:pPr>
                  <w:r>
                    <w:t>15</w:t>
                  </w:r>
                </w:p>
              </w:tc>
              <w:tc>
                <w:tcPr>
                  <w:tcW w:w="1005" w:type="dxa"/>
                  <w:shd w:val="clear" w:color="auto" w:fill="auto"/>
                  <w:vAlign w:val="center"/>
                </w:tcPr>
                <w:p w14:paraId="127ADA34">
                  <w:pPr>
                    <w:pStyle w:val="1111"/>
                    <w:rPr>
                      <w:rFonts w:hint="default" w:eastAsia="宋体"/>
                      <w:color w:val="000000"/>
                      <w:szCs w:val="21"/>
                      <w:lang w:val="en-US" w:eastAsia="zh-CN"/>
                    </w:rPr>
                  </w:pPr>
                  <w:r>
                    <w:rPr>
                      <w:color w:val="000000"/>
                      <w:szCs w:val="21"/>
                    </w:rPr>
                    <w:t>0.0</w:t>
                  </w:r>
                  <w:r>
                    <w:rPr>
                      <w:rFonts w:hint="eastAsia"/>
                      <w:color w:val="000000"/>
                      <w:szCs w:val="21"/>
                      <w:lang w:val="en-US" w:eastAsia="zh-CN"/>
                    </w:rPr>
                    <w:t>0108</w:t>
                  </w:r>
                </w:p>
              </w:tc>
            </w:tr>
            <w:tr w14:paraId="673AC5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3" w:type="dxa"/>
                  <w:vMerge w:val="continue"/>
                  <w:shd w:val="clear" w:color="auto" w:fill="auto"/>
                  <w:vAlign w:val="center"/>
                </w:tcPr>
                <w:p w14:paraId="09C53A65">
                  <w:pPr>
                    <w:pStyle w:val="1111"/>
                  </w:pPr>
                </w:p>
              </w:tc>
              <w:tc>
                <w:tcPr>
                  <w:tcW w:w="655" w:type="dxa"/>
                  <w:vMerge w:val="continue"/>
                  <w:shd w:val="clear" w:color="auto" w:fill="auto"/>
                  <w:vAlign w:val="center"/>
                </w:tcPr>
                <w:p w14:paraId="5425EC1C">
                  <w:pPr>
                    <w:pStyle w:val="1111"/>
                  </w:pPr>
                </w:p>
              </w:tc>
              <w:tc>
                <w:tcPr>
                  <w:tcW w:w="845" w:type="dxa"/>
                  <w:shd w:val="clear" w:color="auto" w:fill="auto"/>
                  <w:vAlign w:val="center"/>
                </w:tcPr>
                <w:p w14:paraId="61F84ADA">
                  <w:pPr>
                    <w:pStyle w:val="1111"/>
                  </w:pPr>
                  <w:r>
                    <w:t>TP</w:t>
                  </w:r>
                </w:p>
              </w:tc>
              <w:tc>
                <w:tcPr>
                  <w:tcW w:w="1105" w:type="dxa"/>
                  <w:vAlign w:val="center"/>
                </w:tcPr>
                <w:p w14:paraId="0D96CD0D">
                  <w:pPr>
                    <w:pStyle w:val="1111"/>
                    <w:bidi w:val="0"/>
                  </w:pPr>
                  <w:r>
                    <w:t>5</w:t>
                  </w:r>
                </w:p>
              </w:tc>
              <w:tc>
                <w:tcPr>
                  <w:tcW w:w="927" w:type="dxa"/>
                  <w:vAlign w:val="center"/>
                </w:tcPr>
                <w:p w14:paraId="4D1BF93D">
                  <w:pPr>
                    <w:pStyle w:val="1111"/>
                    <w:bidi w:val="0"/>
                  </w:pPr>
                  <w:r>
                    <w:t>0.0004</w:t>
                  </w:r>
                </w:p>
              </w:tc>
              <w:tc>
                <w:tcPr>
                  <w:tcW w:w="1323" w:type="dxa"/>
                  <w:vMerge w:val="continue"/>
                  <w:vAlign w:val="center"/>
                </w:tcPr>
                <w:p w14:paraId="60121C8C">
                  <w:pPr>
                    <w:pStyle w:val="1111"/>
                  </w:pPr>
                </w:p>
              </w:tc>
              <w:tc>
                <w:tcPr>
                  <w:tcW w:w="1104" w:type="dxa"/>
                  <w:shd w:val="clear" w:color="auto" w:fill="auto"/>
                  <w:vAlign w:val="center"/>
                </w:tcPr>
                <w:p w14:paraId="1AE8D2EE">
                  <w:pPr>
                    <w:pStyle w:val="1111"/>
                  </w:pPr>
                  <w:r>
                    <w:t>0.5</w:t>
                  </w:r>
                </w:p>
              </w:tc>
              <w:tc>
                <w:tcPr>
                  <w:tcW w:w="1005" w:type="dxa"/>
                  <w:shd w:val="clear" w:color="auto" w:fill="auto"/>
                  <w:vAlign w:val="center"/>
                </w:tcPr>
                <w:p w14:paraId="79744407">
                  <w:pPr>
                    <w:pStyle w:val="1111"/>
                    <w:rPr>
                      <w:rFonts w:hint="default" w:eastAsia="宋体"/>
                      <w:color w:val="000000"/>
                      <w:szCs w:val="21"/>
                      <w:lang w:val="en-US" w:eastAsia="zh-CN"/>
                    </w:rPr>
                  </w:pPr>
                  <w:r>
                    <w:rPr>
                      <w:color w:val="000000"/>
                      <w:szCs w:val="21"/>
                    </w:rPr>
                    <w:t>0.00</w:t>
                  </w:r>
                  <w:r>
                    <w:rPr>
                      <w:rFonts w:hint="eastAsia"/>
                      <w:color w:val="000000"/>
                      <w:szCs w:val="21"/>
                      <w:lang w:val="en-US" w:eastAsia="zh-CN"/>
                    </w:rPr>
                    <w:t>0036</w:t>
                  </w:r>
                </w:p>
              </w:tc>
            </w:tr>
            <w:tr w14:paraId="3F9A06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63" w:type="dxa"/>
                  <w:vMerge w:val="restart"/>
                  <w:shd w:val="clear" w:color="auto" w:fill="auto"/>
                  <w:vAlign w:val="center"/>
                </w:tcPr>
                <w:p w14:paraId="00BA7F9C">
                  <w:pPr>
                    <w:pStyle w:val="1111"/>
                    <w:rPr>
                      <w:rFonts w:hint="eastAsia" w:eastAsia="宋体"/>
                      <w:lang w:eastAsia="zh-CN"/>
                    </w:rPr>
                  </w:pPr>
                  <w:r>
                    <w:rPr>
                      <w:rFonts w:hint="eastAsia"/>
                      <w:lang w:eastAsia="zh-CN"/>
                    </w:rPr>
                    <w:t>废气吸收废水</w:t>
                  </w:r>
                </w:p>
              </w:tc>
              <w:tc>
                <w:tcPr>
                  <w:tcW w:w="655" w:type="dxa"/>
                  <w:vMerge w:val="restart"/>
                  <w:shd w:val="clear" w:color="auto" w:fill="auto"/>
                  <w:vAlign w:val="center"/>
                </w:tcPr>
                <w:p w14:paraId="37DA11AA">
                  <w:pPr>
                    <w:pStyle w:val="1111"/>
                    <w:rPr>
                      <w:rFonts w:hint="default" w:eastAsia="宋体"/>
                      <w:lang w:val="en-US" w:eastAsia="zh-CN"/>
                    </w:rPr>
                  </w:pPr>
                  <w:r>
                    <w:rPr>
                      <w:rFonts w:hint="eastAsia"/>
                      <w:lang w:val="en-US" w:eastAsia="zh-CN"/>
                    </w:rPr>
                    <w:t>120</w:t>
                  </w:r>
                </w:p>
              </w:tc>
              <w:tc>
                <w:tcPr>
                  <w:tcW w:w="845" w:type="dxa"/>
                  <w:shd w:val="clear" w:color="auto" w:fill="auto"/>
                  <w:vAlign w:val="center"/>
                </w:tcPr>
                <w:p w14:paraId="13B2541C">
                  <w:pPr>
                    <w:pStyle w:val="1111"/>
                  </w:pPr>
                  <w:r>
                    <w:rPr>
                      <w:rFonts w:hint="eastAsia"/>
                    </w:rPr>
                    <w:t>C</w:t>
                  </w:r>
                  <w:r>
                    <w:t>OD</w:t>
                  </w:r>
                </w:p>
              </w:tc>
              <w:tc>
                <w:tcPr>
                  <w:tcW w:w="1105" w:type="dxa"/>
                  <w:vAlign w:val="center"/>
                </w:tcPr>
                <w:p w14:paraId="5A4B163D">
                  <w:pPr>
                    <w:pStyle w:val="1111"/>
                    <w:bidi w:val="0"/>
                  </w:pPr>
                  <w:r>
                    <w:rPr>
                      <w:rFonts w:hint="eastAsia"/>
                    </w:rPr>
                    <w:t>500</w:t>
                  </w:r>
                </w:p>
              </w:tc>
              <w:tc>
                <w:tcPr>
                  <w:tcW w:w="927" w:type="dxa"/>
                  <w:vAlign w:val="center"/>
                </w:tcPr>
                <w:p w14:paraId="79E6024A">
                  <w:pPr>
                    <w:pStyle w:val="1111"/>
                    <w:bidi w:val="0"/>
                  </w:pPr>
                  <w:r>
                    <w:rPr>
                      <w:rFonts w:hint="eastAsia"/>
                    </w:rPr>
                    <w:t>0.06</w:t>
                  </w:r>
                </w:p>
              </w:tc>
              <w:tc>
                <w:tcPr>
                  <w:tcW w:w="1323" w:type="dxa"/>
                  <w:vMerge w:val="continue"/>
                  <w:vAlign w:val="center"/>
                </w:tcPr>
                <w:p w14:paraId="617B9A8A">
                  <w:pPr>
                    <w:pStyle w:val="1111"/>
                  </w:pPr>
                </w:p>
              </w:tc>
              <w:tc>
                <w:tcPr>
                  <w:tcW w:w="1104" w:type="dxa"/>
                  <w:shd w:val="clear" w:color="auto" w:fill="auto"/>
                  <w:vAlign w:val="center"/>
                </w:tcPr>
                <w:p w14:paraId="5B18A522">
                  <w:pPr>
                    <w:pStyle w:val="1111"/>
                  </w:pPr>
                  <w:r>
                    <w:t>50</w:t>
                  </w:r>
                </w:p>
              </w:tc>
              <w:tc>
                <w:tcPr>
                  <w:tcW w:w="1005" w:type="dxa"/>
                  <w:shd w:val="clear" w:color="auto" w:fill="auto"/>
                  <w:vAlign w:val="center"/>
                </w:tcPr>
                <w:p w14:paraId="1BCF281D">
                  <w:pPr>
                    <w:pStyle w:val="1111"/>
                    <w:rPr>
                      <w:rFonts w:hint="default" w:eastAsia="宋体"/>
                      <w:lang w:val="en-US" w:eastAsia="zh-CN"/>
                    </w:rPr>
                  </w:pPr>
                  <w:r>
                    <w:rPr>
                      <w:rFonts w:hint="eastAsia"/>
                    </w:rPr>
                    <w:t>0</w:t>
                  </w:r>
                  <w:r>
                    <w:t>.</w:t>
                  </w:r>
                  <w:r>
                    <w:rPr>
                      <w:rFonts w:hint="eastAsia"/>
                      <w:lang w:val="en-US" w:eastAsia="zh-CN"/>
                    </w:rPr>
                    <w:t>006</w:t>
                  </w:r>
                </w:p>
              </w:tc>
            </w:tr>
            <w:tr w14:paraId="60DABD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3" w:type="dxa"/>
                  <w:vMerge w:val="continue"/>
                  <w:shd w:val="clear" w:color="auto" w:fill="auto"/>
                  <w:vAlign w:val="center"/>
                </w:tcPr>
                <w:p w14:paraId="3E0FD916">
                  <w:pPr>
                    <w:pStyle w:val="1111"/>
                  </w:pPr>
                </w:p>
              </w:tc>
              <w:tc>
                <w:tcPr>
                  <w:tcW w:w="655" w:type="dxa"/>
                  <w:vMerge w:val="continue"/>
                  <w:shd w:val="clear" w:color="auto" w:fill="auto"/>
                  <w:vAlign w:val="center"/>
                </w:tcPr>
                <w:p w14:paraId="317097D2">
                  <w:pPr>
                    <w:pStyle w:val="1111"/>
                  </w:pPr>
                </w:p>
              </w:tc>
              <w:tc>
                <w:tcPr>
                  <w:tcW w:w="845" w:type="dxa"/>
                  <w:shd w:val="clear" w:color="auto" w:fill="auto"/>
                  <w:vAlign w:val="center"/>
                </w:tcPr>
                <w:p w14:paraId="38C09AD2">
                  <w:pPr>
                    <w:pStyle w:val="1111"/>
                  </w:pPr>
                  <w:r>
                    <w:rPr>
                      <w:rFonts w:hint="eastAsia"/>
                    </w:rPr>
                    <w:t>S</w:t>
                  </w:r>
                  <w:r>
                    <w:t>S</w:t>
                  </w:r>
                </w:p>
              </w:tc>
              <w:tc>
                <w:tcPr>
                  <w:tcW w:w="1105" w:type="dxa"/>
                  <w:vAlign w:val="center"/>
                </w:tcPr>
                <w:p w14:paraId="09C7A913">
                  <w:pPr>
                    <w:pStyle w:val="1111"/>
                    <w:bidi w:val="0"/>
                  </w:pPr>
                  <w:r>
                    <w:rPr>
                      <w:rFonts w:hint="eastAsia"/>
                    </w:rPr>
                    <w:t>120</w:t>
                  </w:r>
                </w:p>
              </w:tc>
              <w:tc>
                <w:tcPr>
                  <w:tcW w:w="927" w:type="dxa"/>
                  <w:vAlign w:val="center"/>
                </w:tcPr>
                <w:p w14:paraId="4D5108A3">
                  <w:pPr>
                    <w:pStyle w:val="1111"/>
                    <w:bidi w:val="0"/>
                  </w:pPr>
                  <w:r>
                    <w:rPr>
                      <w:rFonts w:hint="eastAsia"/>
                    </w:rPr>
                    <w:t>0.014</w:t>
                  </w:r>
                </w:p>
              </w:tc>
              <w:tc>
                <w:tcPr>
                  <w:tcW w:w="1323" w:type="dxa"/>
                  <w:vMerge w:val="continue"/>
                  <w:vAlign w:val="center"/>
                </w:tcPr>
                <w:p w14:paraId="74BF8DB1">
                  <w:pPr>
                    <w:pStyle w:val="1111"/>
                  </w:pPr>
                </w:p>
              </w:tc>
              <w:tc>
                <w:tcPr>
                  <w:tcW w:w="1104" w:type="dxa"/>
                  <w:shd w:val="clear" w:color="auto" w:fill="auto"/>
                  <w:vAlign w:val="center"/>
                </w:tcPr>
                <w:p w14:paraId="54851C18">
                  <w:pPr>
                    <w:pStyle w:val="1111"/>
                  </w:pPr>
                  <w:r>
                    <w:rPr>
                      <w:rFonts w:hint="eastAsia"/>
                    </w:rPr>
                    <w:t>1</w:t>
                  </w:r>
                  <w:r>
                    <w:t>0</w:t>
                  </w:r>
                </w:p>
              </w:tc>
              <w:tc>
                <w:tcPr>
                  <w:tcW w:w="1005" w:type="dxa"/>
                  <w:shd w:val="clear" w:color="auto" w:fill="auto"/>
                  <w:vAlign w:val="center"/>
                </w:tcPr>
                <w:p w14:paraId="5EA5A435">
                  <w:pPr>
                    <w:pStyle w:val="1111"/>
                    <w:rPr>
                      <w:rFonts w:hint="default" w:eastAsia="宋体"/>
                      <w:lang w:val="en-US" w:eastAsia="zh-CN"/>
                    </w:rPr>
                  </w:pPr>
                  <w:r>
                    <w:rPr>
                      <w:rFonts w:hint="eastAsia"/>
                    </w:rPr>
                    <w:t>0</w:t>
                  </w:r>
                  <w:r>
                    <w:t>.0</w:t>
                  </w:r>
                  <w:r>
                    <w:rPr>
                      <w:rFonts w:hint="eastAsia"/>
                      <w:lang w:val="en-US" w:eastAsia="zh-CN"/>
                    </w:rPr>
                    <w:t>012</w:t>
                  </w:r>
                </w:p>
              </w:tc>
            </w:tr>
          </w:tbl>
          <w:p w14:paraId="2FF86BF4">
            <w:pPr>
              <w:pStyle w:val="512"/>
            </w:pPr>
            <w:r>
              <w:rPr>
                <w:rFonts w:hint="eastAsia"/>
              </w:rPr>
              <w:t>（3）固废</w:t>
            </w:r>
          </w:p>
          <w:p w14:paraId="63DAD4AE">
            <w:pPr>
              <w:spacing w:line="500" w:lineRule="exact"/>
              <w:ind w:firstLine="560"/>
              <w:rPr>
                <w:sz w:val="24"/>
              </w:rPr>
            </w:pPr>
            <w:r>
              <w:rPr>
                <w:rStyle w:val="511"/>
                <w:rFonts w:hint="eastAsia"/>
              </w:rPr>
              <w:t>现有项目固体废弃物主要为</w:t>
            </w:r>
            <w:r>
              <w:rPr>
                <w:rStyle w:val="511"/>
              </w:rPr>
              <w:t>废活性炭</w:t>
            </w:r>
            <w:r>
              <w:rPr>
                <w:rStyle w:val="511"/>
                <w:rFonts w:hint="eastAsia"/>
                <w:lang w:eastAsia="zh-CN"/>
              </w:rPr>
              <w:t>和</w:t>
            </w:r>
            <w:r>
              <w:rPr>
                <w:rStyle w:val="511"/>
              </w:rPr>
              <w:t>员工生活垃圾。其中废活性炭</w:t>
            </w:r>
            <w:r>
              <w:rPr>
                <w:rStyle w:val="511"/>
                <w:rFonts w:hint="eastAsia"/>
                <w:lang w:val="en-US" w:eastAsia="zh-CN"/>
              </w:rPr>
              <w:t>1.076</w:t>
            </w:r>
            <w:r>
              <w:rPr>
                <w:rStyle w:val="511"/>
              </w:rPr>
              <w:t>t/a委托有资质单位处置；生活垃圾</w:t>
            </w:r>
            <w:r>
              <w:rPr>
                <w:rStyle w:val="511"/>
                <w:rFonts w:hint="eastAsia"/>
                <w:lang w:val="en-US" w:eastAsia="zh-CN"/>
              </w:rPr>
              <w:t>0.9</w:t>
            </w:r>
            <w:r>
              <w:rPr>
                <w:rStyle w:val="511"/>
              </w:rPr>
              <w:t>t/a委托环卫部门定期清运</w:t>
            </w:r>
            <w:r>
              <w:rPr>
                <w:sz w:val="24"/>
              </w:rPr>
              <w:t>。</w:t>
            </w:r>
          </w:p>
          <w:p w14:paraId="3F7F8277">
            <w:pPr>
              <w:pStyle w:val="512"/>
            </w:pPr>
            <w:r>
              <w:rPr>
                <w:rFonts w:hint="eastAsia"/>
              </w:rPr>
              <w:t>（4）噪声</w:t>
            </w:r>
          </w:p>
          <w:p w14:paraId="72D70E46">
            <w:pPr>
              <w:pStyle w:val="512"/>
            </w:pPr>
            <w:r>
              <w:t>现有项目噪声主要来自生产过程中各种设备的噪声，噪声经厂房隔声、距离衰减后，能达到《工业企业厂界环境噪声排放标准》（GB12348-2008）中的</w:t>
            </w:r>
            <w:r>
              <w:rPr>
                <w:rFonts w:hint="eastAsia"/>
                <w:lang w:val="en-US" w:eastAsia="zh-CN"/>
              </w:rPr>
              <w:t>2</w:t>
            </w:r>
            <w:r>
              <w:t>类标准。</w:t>
            </w:r>
          </w:p>
          <w:p w14:paraId="320D2C8E">
            <w:pPr>
              <w:pStyle w:val="512"/>
            </w:pPr>
            <w:r>
              <w:rPr>
                <w:rFonts w:hint="eastAsia"/>
              </w:rPr>
              <w:t>（5）原有项目环评批复总量</w:t>
            </w:r>
          </w:p>
          <w:p w14:paraId="23C7BCAF">
            <w:pPr>
              <w:pStyle w:val="512"/>
              <w:bidi w:val="0"/>
              <w:rPr>
                <w:rFonts w:hint="default"/>
                <w:lang w:val="en-US" w:eastAsia="zh-CN"/>
              </w:rPr>
            </w:pPr>
            <w:r>
              <w:rPr>
                <w:rFonts w:hint="eastAsia"/>
                <w:lang w:val="en-US" w:eastAsia="zh-CN"/>
              </w:rPr>
              <w:t>水污染物（接管量）：废水量192m</w:t>
            </w:r>
            <w:r>
              <w:rPr>
                <w:rFonts w:hint="eastAsia"/>
                <w:vertAlign w:val="superscript"/>
                <w:lang w:val="en-US" w:eastAsia="zh-CN"/>
              </w:rPr>
              <w:t>3</w:t>
            </w:r>
            <w:r>
              <w:rPr>
                <w:rFonts w:hint="eastAsia"/>
                <w:lang w:val="en-US" w:eastAsia="zh-CN"/>
              </w:rPr>
              <w:t>/a、</w:t>
            </w:r>
            <w:r>
              <w:rPr>
                <w:rFonts w:hint="eastAsia"/>
              </w:rPr>
              <w:t>C</w:t>
            </w:r>
            <w:r>
              <w:t>OD</w:t>
            </w:r>
            <w:r>
              <w:rPr>
                <w:rFonts w:hint="eastAsia"/>
                <w:lang w:val="en-US" w:eastAsia="zh-CN"/>
              </w:rPr>
              <w:t>0.0888</w:t>
            </w:r>
            <w:r>
              <w:t>t/a</w:t>
            </w:r>
            <w:r>
              <w:rPr>
                <w:rFonts w:hint="eastAsia"/>
              </w:rPr>
              <w:t>、</w:t>
            </w:r>
            <w:r>
              <w:t>SS0.</w:t>
            </w:r>
            <w:r>
              <w:rPr>
                <w:rFonts w:hint="eastAsia"/>
                <w:lang w:val="en-US" w:eastAsia="zh-CN"/>
              </w:rPr>
              <w:t>0226</w:t>
            </w:r>
            <w:r>
              <w:t>t/a</w:t>
            </w:r>
            <w:r>
              <w:rPr>
                <w:rFonts w:hint="eastAsia"/>
              </w:rPr>
              <w:t>、</w:t>
            </w:r>
            <w:r>
              <w:t>NH</w:t>
            </w:r>
            <w:r>
              <w:rPr>
                <w:vertAlign w:val="subscript"/>
              </w:rPr>
              <w:t>3</w:t>
            </w:r>
            <w:r>
              <w:t>-N0.0</w:t>
            </w:r>
            <w:r>
              <w:rPr>
                <w:rFonts w:hint="eastAsia"/>
                <w:lang w:val="en-US" w:eastAsia="zh-CN"/>
              </w:rPr>
              <w:t>025</w:t>
            </w:r>
            <w:r>
              <w:t>t/a</w:t>
            </w:r>
            <w:r>
              <w:rPr>
                <w:rFonts w:hint="eastAsia"/>
              </w:rPr>
              <w:t>、</w:t>
            </w:r>
            <w:r>
              <w:t>TN0.0</w:t>
            </w:r>
            <w:r>
              <w:rPr>
                <w:rFonts w:hint="eastAsia"/>
                <w:lang w:val="en-US" w:eastAsia="zh-CN"/>
              </w:rPr>
              <w:t>036</w:t>
            </w:r>
            <w:r>
              <w:t>t/a</w:t>
            </w:r>
            <w:r>
              <w:rPr>
                <w:rFonts w:hint="eastAsia"/>
              </w:rPr>
              <w:t>、T</w:t>
            </w:r>
            <w:r>
              <w:t>P</w:t>
            </w:r>
            <w:r>
              <w:rPr>
                <w:rFonts w:hint="eastAsia"/>
              </w:rPr>
              <w:t>0.0</w:t>
            </w:r>
            <w:r>
              <w:rPr>
                <w:rFonts w:hint="eastAsia"/>
                <w:lang w:val="en-US" w:eastAsia="zh-CN"/>
              </w:rPr>
              <w:t>004</w:t>
            </w:r>
            <w:r>
              <w:t>t/</w:t>
            </w:r>
            <w:r>
              <w:rPr>
                <w:rFonts w:hint="eastAsia"/>
                <w:lang w:eastAsia="zh-CN"/>
              </w:rPr>
              <w:t>。</w:t>
            </w:r>
            <w:r>
              <w:rPr>
                <w:rFonts w:hint="eastAsia"/>
              </w:rPr>
              <w:t>；</w:t>
            </w:r>
          </w:p>
          <w:p w14:paraId="3CE13D15">
            <w:pPr>
              <w:pStyle w:val="512"/>
              <w:bidi w:val="0"/>
              <w:rPr>
                <w:rFonts w:hint="eastAsia"/>
                <w:lang w:val="en-US" w:eastAsia="zh-CN"/>
              </w:rPr>
            </w:pPr>
            <w:r>
              <w:rPr>
                <w:rFonts w:hint="eastAsia"/>
                <w:lang w:val="en-US" w:eastAsia="zh-CN"/>
              </w:rPr>
              <w:t>大气污染物：非甲烷总烃0.019t/a。</w:t>
            </w:r>
          </w:p>
          <w:p w14:paraId="16378B1F">
            <w:pPr>
              <w:pStyle w:val="512"/>
              <w:bidi w:val="0"/>
              <w:rPr>
                <w:rFonts w:hint="eastAsia"/>
                <w:lang w:val="en-US" w:eastAsia="zh-CN"/>
              </w:rPr>
            </w:pPr>
            <w:r>
              <w:rPr>
                <w:rFonts w:hint="eastAsia"/>
                <w:lang w:val="en-US" w:eastAsia="zh-CN"/>
              </w:rPr>
              <w:t>固体废物：零排放。</w:t>
            </w:r>
          </w:p>
          <w:p w14:paraId="4FA0D6D3">
            <w:pPr>
              <w:pStyle w:val="512"/>
              <w:bidi w:val="0"/>
              <w:rPr>
                <w:rFonts w:hint="default"/>
                <w:lang w:val="en-US" w:eastAsia="zh-CN"/>
              </w:rPr>
            </w:pPr>
          </w:p>
        </w:tc>
      </w:tr>
      <w:bookmarkEnd w:id="6"/>
    </w:tbl>
    <w:p w14:paraId="6193ECF8">
      <w:pPr>
        <w:pStyle w:val="71"/>
        <w:jc w:val="center"/>
        <w:rPr>
          <w:rFonts w:ascii="Times New Roman" w:hAnsi="Times New Roman"/>
          <w:snapToGrid w:val="0"/>
          <w:sz w:val="36"/>
          <w:szCs w:val="36"/>
        </w:rPr>
        <w:sectPr>
          <w:pgSz w:w="11906" w:h="16838"/>
          <w:pgMar w:top="1440" w:right="1800" w:bottom="1440" w:left="1800" w:header="851" w:footer="851" w:gutter="0"/>
          <w:pgBorders>
            <w:top w:val="none" w:sz="0" w:space="0"/>
            <w:left w:val="none" w:sz="0" w:space="0"/>
            <w:bottom w:val="none" w:sz="0" w:space="0"/>
            <w:right w:val="none" w:sz="0" w:space="0"/>
          </w:pgBorders>
          <w:cols w:space="720" w:num="1"/>
          <w:docGrid w:linePitch="312" w:charSpace="0"/>
        </w:sectPr>
      </w:pPr>
    </w:p>
    <w:p w14:paraId="554AB2CA">
      <w:pPr>
        <w:pStyle w:val="71"/>
        <w:outlineLvl w:val="0"/>
        <w:rPr>
          <w:rFonts w:ascii="Times New Roman" w:hAnsi="Times New Roman"/>
          <w:snapToGrid w:val="0"/>
          <w:sz w:val="30"/>
          <w:szCs w:val="30"/>
        </w:rPr>
      </w:pPr>
      <w:r>
        <w:rPr>
          <w:rFonts w:ascii="Times New Roman" w:hAnsi="Times New Roman"/>
          <w:snapToGrid w:val="0"/>
          <w:sz w:val="30"/>
          <w:szCs w:val="30"/>
        </w:rPr>
        <w:t>三</w:t>
      </w:r>
      <w:r>
        <w:rPr>
          <w:rFonts w:hint="eastAsia" w:ascii="Times New Roman" w:hAnsi="Times New Roman" w:eastAsia="微软雅黑"/>
          <w:snapToGrid w:val="0"/>
          <w:sz w:val="30"/>
          <w:szCs w:val="30"/>
          <w:lang w:eastAsia="zh-CN"/>
        </w:rPr>
        <w:t>、</w:t>
      </w:r>
      <w:r>
        <w:rPr>
          <w:rFonts w:ascii="Times New Roman" w:hAnsi="Times New Roman"/>
          <w:snapToGrid w:val="0"/>
          <w:sz w:val="30"/>
          <w:szCs w:val="30"/>
        </w:rPr>
        <w:t>区域环境质量现状</w:t>
      </w:r>
      <w:r>
        <w:rPr>
          <w:rFonts w:hint="eastAsia" w:ascii="Times New Roman" w:hAnsi="Times New Roman" w:eastAsia="微软雅黑"/>
          <w:snapToGrid w:val="0"/>
          <w:sz w:val="30"/>
          <w:szCs w:val="30"/>
          <w:lang w:eastAsia="zh-CN"/>
        </w:rPr>
        <w:t>、</w:t>
      </w:r>
      <w:r>
        <w:rPr>
          <w:rFonts w:ascii="Times New Roman" w:hAnsi="Times New Roman"/>
          <w:snapToGrid w:val="0"/>
          <w:sz w:val="30"/>
          <w:szCs w:val="30"/>
        </w:rPr>
        <w:t>环境保护目标及评价标准</w:t>
      </w:r>
    </w:p>
    <w:tbl>
      <w:tblPr>
        <w:tblStyle w:val="77"/>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33"/>
        <w:gridCol w:w="8090"/>
      </w:tblGrid>
      <w:tr w14:paraId="0FF1DD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800" w:type="dxa"/>
            <w:vAlign w:val="center"/>
          </w:tcPr>
          <w:p w14:paraId="586BFBE5">
            <w:pPr>
              <w:adjustRightInd w:val="0"/>
              <w:snapToGrid w:val="0"/>
              <w:jc w:val="center"/>
              <w:rPr>
                <w:kern w:val="0"/>
                <w:sz w:val="24"/>
              </w:rPr>
            </w:pPr>
            <w:r>
              <w:rPr>
                <w:kern w:val="0"/>
                <w:sz w:val="24"/>
              </w:rPr>
              <w:t>区域</w:t>
            </w:r>
          </w:p>
          <w:p w14:paraId="18D0054A">
            <w:pPr>
              <w:adjustRightInd w:val="0"/>
              <w:snapToGrid w:val="0"/>
              <w:jc w:val="center"/>
              <w:rPr>
                <w:kern w:val="0"/>
                <w:sz w:val="24"/>
              </w:rPr>
            </w:pPr>
            <w:r>
              <w:rPr>
                <w:kern w:val="0"/>
                <w:sz w:val="24"/>
              </w:rPr>
              <w:t>环境</w:t>
            </w:r>
          </w:p>
          <w:p w14:paraId="0C60ABCD">
            <w:pPr>
              <w:adjustRightInd w:val="0"/>
              <w:snapToGrid w:val="0"/>
              <w:jc w:val="center"/>
              <w:rPr>
                <w:kern w:val="0"/>
                <w:sz w:val="24"/>
              </w:rPr>
            </w:pPr>
            <w:r>
              <w:rPr>
                <w:kern w:val="0"/>
                <w:sz w:val="24"/>
              </w:rPr>
              <w:t>质量</w:t>
            </w:r>
          </w:p>
          <w:p w14:paraId="3EDCCC8F">
            <w:pPr>
              <w:adjustRightInd w:val="0"/>
              <w:snapToGrid w:val="0"/>
              <w:jc w:val="center"/>
              <w:rPr>
                <w:kern w:val="0"/>
                <w:sz w:val="24"/>
              </w:rPr>
            </w:pPr>
            <w:r>
              <w:rPr>
                <w:kern w:val="0"/>
                <w:sz w:val="24"/>
              </w:rPr>
              <w:t>现状</w:t>
            </w:r>
          </w:p>
        </w:tc>
        <w:tc>
          <w:tcPr>
            <w:tcW w:w="8190" w:type="dxa"/>
            <w:vAlign w:val="center"/>
          </w:tcPr>
          <w:p w14:paraId="3DFD6A3B">
            <w:pPr>
              <w:pStyle w:val="512"/>
            </w:pPr>
            <w:r>
              <w:rPr>
                <w:rFonts w:hint="eastAsia"/>
              </w:rPr>
              <w:t>1、环境空气质量状况</w:t>
            </w:r>
          </w:p>
          <w:p w14:paraId="10DB4516">
            <w:pPr>
              <w:pStyle w:val="512"/>
            </w:pPr>
            <w:r>
              <w:rPr>
                <w:rFonts w:hint="eastAsia"/>
              </w:rPr>
              <w:t>（1）大气环境质量标准</w:t>
            </w:r>
          </w:p>
          <w:p w14:paraId="4D687C3E">
            <w:pPr>
              <w:pStyle w:val="512"/>
            </w:pPr>
            <w:r>
              <w:rPr>
                <w:rFonts w:hint="eastAsia"/>
              </w:rPr>
              <w:t>根据《连云港市环境空气质量功能区划分规定》，本项目所在区域为环境空气质量功能二类区，执行《环境空气质量标准》（G</w:t>
            </w:r>
            <w:r>
              <w:t>B3095-2012</w:t>
            </w:r>
            <w:r>
              <w:rPr>
                <w:rFonts w:hint="eastAsia"/>
              </w:rPr>
              <w:t>）二级标准；具体指标见表3</w:t>
            </w:r>
            <w:r>
              <w:t>-1</w:t>
            </w:r>
            <w:r>
              <w:rPr>
                <w:rFonts w:hint="eastAsia"/>
              </w:rPr>
              <w:t>。</w:t>
            </w:r>
          </w:p>
          <w:p w14:paraId="326F018E">
            <w:pPr>
              <w:pStyle w:val="1111"/>
            </w:pPr>
            <w:r>
              <w:rPr>
                <w:rFonts w:hint="eastAsia"/>
              </w:rPr>
              <w:t>表3</w:t>
            </w:r>
            <w:r>
              <w:t xml:space="preserve">-1 </w:t>
            </w:r>
            <w:r>
              <w:rPr>
                <w:rFonts w:hint="eastAsia"/>
              </w:rPr>
              <w:t>环境空气质量标准</w:t>
            </w:r>
          </w:p>
          <w:tbl>
            <w:tblPr>
              <w:tblStyle w:val="7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46"/>
              <w:gridCol w:w="1314"/>
              <w:gridCol w:w="1452"/>
              <w:gridCol w:w="1455"/>
              <w:gridCol w:w="1994"/>
            </w:tblGrid>
            <w:tr w14:paraId="7EBE64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7" w:type="pct"/>
                  <w:vMerge w:val="restart"/>
                  <w:vAlign w:val="center"/>
                </w:tcPr>
                <w:p w14:paraId="70058511">
                  <w:pPr>
                    <w:pStyle w:val="1111"/>
                  </w:pPr>
                  <w:r>
                    <w:rPr>
                      <w:rFonts w:hint="eastAsia"/>
                    </w:rPr>
                    <w:t>污染物</w:t>
                  </w:r>
                </w:p>
              </w:tc>
              <w:tc>
                <w:tcPr>
                  <w:tcW w:w="2684" w:type="pct"/>
                  <w:gridSpan w:val="3"/>
                  <w:vAlign w:val="center"/>
                </w:tcPr>
                <w:p w14:paraId="493A0582">
                  <w:pPr>
                    <w:pStyle w:val="1111"/>
                  </w:pPr>
                  <w:r>
                    <w:rPr>
                      <w:rFonts w:hint="eastAsia"/>
                    </w:rPr>
                    <w:t>浓度限值，</w:t>
                  </w:r>
                  <w:r>
                    <w:t>μg/Nm</w:t>
                  </w:r>
                  <w:r>
                    <w:rPr>
                      <w:vertAlign w:val="superscript"/>
                    </w:rPr>
                    <w:t>3</w:t>
                  </w:r>
                </w:p>
              </w:tc>
              <w:tc>
                <w:tcPr>
                  <w:tcW w:w="1268" w:type="pct"/>
                  <w:vMerge w:val="restart"/>
                  <w:vAlign w:val="center"/>
                </w:tcPr>
                <w:p w14:paraId="5EE13F8B">
                  <w:pPr>
                    <w:pStyle w:val="1111"/>
                  </w:pPr>
                  <w:r>
                    <w:rPr>
                      <w:rFonts w:hint="eastAsia"/>
                    </w:rPr>
                    <w:t>标准来源</w:t>
                  </w:r>
                </w:p>
              </w:tc>
            </w:tr>
            <w:tr w14:paraId="1F3EFB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7" w:type="pct"/>
                  <w:vMerge w:val="continue"/>
                  <w:vAlign w:val="center"/>
                </w:tcPr>
                <w:p w14:paraId="4FC347E6">
                  <w:pPr>
                    <w:pStyle w:val="1111"/>
                  </w:pPr>
                </w:p>
              </w:tc>
              <w:tc>
                <w:tcPr>
                  <w:tcW w:w="836" w:type="pct"/>
                  <w:vAlign w:val="center"/>
                </w:tcPr>
                <w:p w14:paraId="4560EE3B">
                  <w:pPr>
                    <w:pStyle w:val="1111"/>
                    <w:rPr>
                      <w:szCs w:val="21"/>
                    </w:rPr>
                  </w:pPr>
                  <w:r>
                    <w:rPr>
                      <w:rFonts w:hint="eastAsia"/>
                    </w:rPr>
                    <w:t>年平均</w:t>
                  </w:r>
                </w:p>
              </w:tc>
              <w:tc>
                <w:tcPr>
                  <w:tcW w:w="923" w:type="pct"/>
                  <w:vAlign w:val="center"/>
                </w:tcPr>
                <w:p w14:paraId="311F5101">
                  <w:pPr>
                    <w:pStyle w:val="1111"/>
                    <w:rPr>
                      <w:szCs w:val="21"/>
                    </w:rPr>
                  </w:pPr>
                  <w:r>
                    <w:rPr>
                      <w:rFonts w:hint="eastAsia"/>
                    </w:rPr>
                    <w:t>日平均</w:t>
                  </w:r>
                </w:p>
              </w:tc>
              <w:tc>
                <w:tcPr>
                  <w:tcW w:w="924" w:type="pct"/>
                  <w:vAlign w:val="center"/>
                </w:tcPr>
                <w:p w14:paraId="797F9A66">
                  <w:pPr>
                    <w:pStyle w:val="1111"/>
                    <w:rPr>
                      <w:szCs w:val="21"/>
                    </w:rPr>
                  </w:pPr>
                  <w:r>
                    <w:rPr>
                      <w:rFonts w:hint="eastAsia"/>
                    </w:rPr>
                    <w:t>小时平均</w:t>
                  </w:r>
                </w:p>
              </w:tc>
              <w:tc>
                <w:tcPr>
                  <w:tcW w:w="1268" w:type="pct"/>
                  <w:vMerge w:val="continue"/>
                  <w:vAlign w:val="center"/>
                </w:tcPr>
                <w:p w14:paraId="244D52C7">
                  <w:pPr>
                    <w:pStyle w:val="1111"/>
                  </w:pPr>
                </w:p>
              </w:tc>
            </w:tr>
            <w:tr w14:paraId="146733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7" w:type="pct"/>
                  <w:vAlign w:val="center"/>
                </w:tcPr>
                <w:p w14:paraId="1A5B5E00">
                  <w:pPr>
                    <w:pStyle w:val="1111"/>
                    <w:rPr>
                      <w:szCs w:val="21"/>
                    </w:rPr>
                  </w:pPr>
                  <w:r>
                    <w:t>TSP</w:t>
                  </w:r>
                </w:p>
              </w:tc>
              <w:tc>
                <w:tcPr>
                  <w:tcW w:w="836" w:type="pct"/>
                  <w:vAlign w:val="center"/>
                </w:tcPr>
                <w:p w14:paraId="3A0F9DE5">
                  <w:pPr>
                    <w:pStyle w:val="1111"/>
                    <w:rPr>
                      <w:szCs w:val="21"/>
                    </w:rPr>
                  </w:pPr>
                  <w:r>
                    <w:t>200</w:t>
                  </w:r>
                </w:p>
              </w:tc>
              <w:tc>
                <w:tcPr>
                  <w:tcW w:w="923" w:type="pct"/>
                  <w:vAlign w:val="center"/>
                </w:tcPr>
                <w:p w14:paraId="7617A136">
                  <w:pPr>
                    <w:pStyle w:val="1111"/>
                    <w:rPr>
                      <w:szCs w:val="21"/>
                    </w:rPr>
                  </w:pPr>
                  <w:r>
                    <w:t>300</w:t>
                  </w:r>
                </w:p>
              </w:tc>
              <w:tc>
                <w:tcPr>
                  <w:tcW w:w="924" w:type="pct"/>
                  <w:vAlign w:val="center"/>
                </w:tcPr>
                <w:p w14:paraId="2C14F83B">
                  <w:pPr>
                    <w:pStyle w:val="1111"/>
                    <w:rPr>
                      <w:szCs w:val="21"/>
                    </w:rPr>
                  </w:pPr>
                  <w:r>
                    <w:t>/</w:t>
                  </w:r>
                </w:p>
              </w:tc>
              <w:tc>
                <w:tcPr>
                  <w:tcW w:w="1268" w:type="pct"/>
                  <w:vMerge w:val="restart"/>
                  <w:vAlign w:val="center"/>
                </w:tcPr>
                <w:p w14:paraId="50262F62">
                  <w:pPr>
                    <w:pStyle w:val="1111"/>
                  </w:pPr>
                  <w:r>
                    <w:rPr>
                      <w:rFonts w:hint="eastAsia"/>
                    </w:rPr>
                    <w:t>《环境空气质量标准》（</w:t>
                  </w:r>
                  <w:r>
                    <w:t>GB3095–2012</w:t>
                  </w:r>
                  <w:r>
                    <w:rPr>
                      <w:rFonts w:hint="eastAsia"/>
                    </w:rPr>
                    <w:t>）二级标准</w:t>
                  </w:r>
                </w:p>
              </w:tc>
            </w:tr>
            <w:tr w14:paraId="7C42ED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7" w:type="pct"/>
                  <w:vAlign w:val="center"/>
                </w:tcPr>
                <w:p w14:paraId="4A1629D7">
                  <w:pPr>
                    <w:pStyle w:val="1111"/>
                    <w:rPr>
                      <w:szCs w:val="21"/>
                    </w:rPr>
                  </w:pPr>
                  <w:r>
                    <w:t>PM</w:t>
                  </w:r>
                  <w:r>
                    <w:rPr>
                      <w:vertAlign w:val="subscript"/>
                    </w:rPr>
                    <w:t>10</w:t>
                  </w:r>
                </w:p>
              </w:tc>
              <w:tc>
                <w:tcPr>
                  <w:tcW w:w="836" w:type="pct"/>
                  <w:vAlign w:val="center"/>
                </w:tcPr>
                <w:p w14:paraId="66C33C0D">
                  <w:pPr>
                    <w:pStyle w:val="1111"/>
                    <w:rPr>
                      <w:szCs w:val="21"/>
                    </w:rPr>
                  </w:pPr>
                  <w:r>
                    <w:t>70</w:t>
                  </w:r>
                </w:p>
              </w:tc>
              <w:tc>
                <w:tcPr>
                  <w:tcW w:w="923" w:type="pct"/>
                  <w:vAlign w:val="center"/>
                </w:tcPr>
                <w:p w14:paraId="21841A51">
                  <w:pPr>
                    <w:pStyle w:val="1111"/>
                    <w:rPr>
                      <w:szCs w:val="21"/>
                    </w:rPr>
                  </w:pPr>
                  <w:r>
                    <w:t>150</w:t>
                  </w:r>
                </w:p>
              </w:tc>
              <w:tc>
                <w:tcPr>
                  <w:tcW w:w="924" w:type="pct"/>
                  <w:vAlign w:val="center"/>
                </w:tcPr>
                <w:p w14:paraId="17B938DB">
                  <w:pPr>
                    <w:pStyle w:val="1111"/>
                    <w:rPr>
                      <w:szCs w:val="21"/>
                    </w:rPr>
                  </w:pPr>
                  <w:r>
                    <w:t>/</w:t>
                  </w:r>
                </w:p>
              </w:tc>
              <w:tc>
                <w:tcPr>
                  <w:tcW w:w="1268" w:type="pct"/>
                  <w:vMerge w:val="continue"/>
                  <w:vAlign w:val="center"/>
                </w:tcPr>
                <w:p w14:paraId="7A4E45A1">
                  <w:pPr>
                    <w:pStyle w:val="1111"/>
                  </w:pPr>
                </w:p>
              </w:tc>
            </w:tr>
            <w:tr w14:paraId="76E2BA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7" w:type="pct"/>
                  <w:vAlign w:val="center"/>
                </w:tcPr>
                <w:p w14:paraId="09F04250">
                  <w:pPr>
                    <w:pStyle w:val="1111"/>
                    <w:rPr>
                      <w:szCs w:val="21"/>
                    </w:rPr>
                  </w:pPr>
                  <w:r>
                    <w:t>PM</w:t>
                  </w:r>
                  <w:r>
                    <w:rPr>
                      <w:vertAlign w:val="subscript"/>
                    </w:rPr>
                    <w:t>2.5</w:t>
                  </w:r>
                </w:p>
              </w:tc>
              <w:tc>
                <w:tcPr>
                  <w:tcW w:w="836" w:type="pct"/>
                  <w:vAlign w:val="center"/>
                </w:tcPr>
                <w:p w14:paraId="2097E9B1">
                  <w:pPr>
                    <w:pStyle w:val="1111"/>
                    <w:rPr>
                      <w:szCs w:val="21"/>
                    </w:rPr>
                  </w:pPr>
                  <w:r>
                    <w:t>35</w:t>
                  </w:r>
                </w:p>
              </w:tc>
              <w:tc>
                <w:tcPr>
                  <w:tcW w:w="923" w:type="pct"/>
                  <w:vAlign w:val="center"/>
                </w:tcPr>
                <w:p w14:paraId="0F48015D">
                  <w:pPr>
                    <w:pStyle w:val="1111"/>
                    <w:rPr>
                      <w:szCs w:val="21"/>
                    </w:rPr>
                  </w:pPr>
                  <w:r>
                    <w:t>75</w:t>
                  </w:r>
                </w:p>
              </w:tc>
              <w:tc>
                <w:tcPr>
                  <w:tcW w:w="924" w:type="pct"/>
                  <w:vAlign w:val="center"/>
                </w:tcPr>
                <w:p w14:paraId="0A8565E9">
                  <w:pPr>
                    <w:pStyle w:val="1111"/>
                    <w:rPr>
                      <w:szCs w:val="21"/>
                    </w:rPr>
                  </w:pPr>
                  <w:r>
                    <w:t>/</w:t>
                  </w:r>
                </w:p>
              </w:tc>
              <w:tc>
                <w:tcPr>
                  <w:tcW w:w="1268" w:type="pct"/>
                  <w:vMerge w:val="continue"/>
                  <w:vAlign w:val="center"/>
                </w:tcPr>
                <w:p w14:paraId="6E73DCBC">
                  <w:pPr>
                    <w:pStyle w:val="1111"/>
                  </w:pPr>
                </w:p>
              </w:tc>
            </w:tr>
            <w:tr w14:paraId="7A642B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7" w:type="pct"/>
                  <w:vAlign w:val="center"/>
                </w:tcPr>
                <w:p w14:paraId="58F6C284">
                  <w:pPr>
                    <w:pStyle w:val="1111"/>
                    <w:rPr>
                      <w:szCs w:val="21"/>
                    </w:rPr>
                  </w:pPr>
                  <w:r>
                    <w:rPr>
                      <w:rFonts w:hint="eastAsia"/>
                    </w:rPr>
                    <w:t>二氧化硫</w:t>
                  </w:r>
                </w:p>
              </w:tc>
              <w:tc>
                <w:tcPr>
                  <w:tcW w:w="836" w:type="pct"/>
                  <w:vAlign w:val="center"/>
                </w:tcPr>
                <w:p w14:paraId="4CEA89FE">
                  <w:pPr>
                    <w:pStyle w:val="1111"/>
                    <w:rPr>
                      <w:szCs w:val="21"/>
                    </w:rPr>
                  </w:pPr>
                  <w:r>
                    <w:t>60</w:t>
                  </w:r>
                </w:p>
              </w:tc>
              <w:tc>
                <w:tcPr>
                  <w:tcW w:w="923" w:type="pct"/>
                  <w:vAlign w:val="center"/>
                </w:tcPr>
                <w:p w14:paraId="71CC3732">
                  <w:pPr>
                    <w:pStyle w:val="1111"/>
                    <w:rPr>
                      <w:szCs w:val="21"/>
                    </w:rPr>
                  </w:pPr>
                  <w:r>
                    <w:t>150</w:t>
                  </w:r>
                </w:p>
              </w:tc>
              <w:tc>
                <w:tcPr>
                  <w:tcW w:w="924" w:type="pct"/>
                  <w:vAlign w:val="center"/>
                </w:tcPr>
                <w:p w14:paraId="454E13C8">
                  <w:pPr>
                    <w:pStyle w:val="1111"/>
                    <w:rPr>
                      <w:szCs w:val="21"/>
                    </w:rPr>
                  </w:pPr>
                  <w:r>
                    <w:t>500</w:t>
                  </w:r>
                </w:p>
              </w:tc>
              <w:tc>
                <w:tcPr>
                  <w:tcW w:w="1268" w:type="pct"/>
                  <w:vMerge w:val="continue"/>
                  <w:vAlign w:val="center"/>
                </w:tcPr>
                <w:p w14:paraId="24A75E20">
                  <w:pPr>
                    <w:pStyle w:val="1111"/>
                  </w:pPr>
                </w:p>
              </w:tc>
            </w:tr>
            <w:tr w14:paraId="565F9C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7" w:type="pct"/>
                  <w:vAlign w:val="center"/>
                </w:tcPr>
                <w:p w14:paraId="2226ACB1">
                  <w:pPr>
                    <w:pStyle w:val="1111"/>
                    <w:rPr>
                      <w:szCs w:val="21"/>
                    </w:rPr>
                  </w:pPr>
                  <w:r>
                    <w:rPr>
                      <w:rFonts w:hint="eastAsia"/>
                    </w:rPr>
                    <w:t>二氧化氮</w:t>
                  </w:r>
                </w:p>
              </w:tc>
              <w:tc>
                <w:tcPr>
                  <w:tcW w:w="836" w:type="pct"/>
                  <w:vAlign w:val="center"/>
                </w:tcPr>
                <w:p w14:paraId="44DFBC46">
                  <w:pPr>
                    <w:pStyle w:val="1111"/>
                    <w:rPr>
                      <w:szCs w:val="21"/>
                    </w:rPr>
                  </w:pPr>
                  <w:r>
                    <w:t>40</w:t>
                  </w:r>
                </w:p>
              </w:tc>
              <w:tc>
                <w:tcPr>
                  <w:tcW w:w="923" w:type="pct"/>
                  <w:vAlign w:val="center"/>
                </w:tcPr>
                <w:p w14:paraId="2C5517AD">
                  <w:pPr>
                    <w:pStyle w:val="1111"/>
                    <w:rPr>
                      <w:szCs w:val="21"/>
                    </w:rPr>
                  </w:pPr>
                  <w:r>
                    <w:t>80</w:t>
                  </w:r>
                </w:p>
              </w:tc>
              <w:tc>
                <w:tcPr>
                  <w:tcW w:w="924" w:type="pct"/>
                  <w:vAlign w:val="center"/>
                </w:tcPr>
                <w:p w14:paraId="47DF782F">
                  <w:pPr>
                    <w:pStyle w:val="1111"/>
                    <w:rPr>
                      <w:szCs w:val="21"/>
                    </w:rPr>
                  </w:pPr>
                  <w:r>
                    <w:t>200</w:t>
                  </w:r>
                </w:p>
              </w:tc>
              <w:tc>
                <w:tcPr>
                  <w:tcW w:w="1268" w:type="pct"/>
                  <w:vMerge w:val="continue"/>
                  <w:vAlign w:val="center"/>
                </w:tcPr>
                <w:p w14:paraId="44778ED9">
                  <w:pPr>
                    <w:pStyle w:val="1111"/>
                  </w:pPr>
                </w:p>
              </w:tc>
            </w:tr>
            <w:tr w14:paraId="4A65D7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7" w:type="pct"/>
                  <w:vAlign w:val="center"/>
                </w:tcPr>
                <w:p w14:paraId="723569B7">
                  <w:pPr>
                    <w:pStyle w:val="1111"/>
                    <w:rPr>
                      <w:szCs w:val="21"/>
                    </w:rPr>
                  </w:pPr>
                  <w:r>
                    <w:rPr>
                      <w:rFonts w:hint="eastAsia"/>
                    </w:rPr>
                    <w:t>氮氧化物</w:t>
                  </w:r>
                </w:p>
              </w:tc>
              <w:tc>
                <w:tcPr>
                  <w:tcW w:w="836" w:type="pct"/>
                  <w:vAlign w:val="center"/>
                </w:tcPr>
                <w:p w14:paraId="62B14FAD">
                  <w:pPr>
                    <w:pStyle w:val="1111"/>
                    <w:rPr>
                      <w:szCs w:val="21"/>
                    </w:rPr>
                  </w:pPr>
                  <w:r>
                    <w:t>50</w:t>
                  </w:r>
                </w:p>
              </w:tc>
              <w:tc>
                <w:tcPr>
                  <w:tcW w:w="923" w:type="pct"/>
                  <w:vAlign w:val="center"/>
                </w:tcPr>
                <w:p w14:paraId="6402B942">
                  <w:pPr>
                    <w:pStyle w:val="1111"/>
                    <w:rPr>
                      <w:szCs w:val="21"/>
                    </w:rPr>
                  </w:pPr>
                  <w:r>
                    <w:t>100</w:t>
                  </w:r>
                </w:p>
              </w:tc>
              <w:tc>
                <w:tcPr>
                  <w:tcW w:w="924" w:type="pct"/>
                  <w:vAlign w:val="center"/>
                </w:tcPr>
                <w:p w14:paraId="5F07AF1E">
                  <w:pPr>
                    <w:pStyle w:val="1111"/>
                    <w:rPr>
                      <w:szCs w:val="21"/>
                    </w:rPr>
                  </w:pPr>
                  <w:r>
                    <w:t>250</w:t>
                  </w:r>
                </w:p>
              </w:tc>
              <w:tc>
                <w:tcPr>
                  <w:tcW w:w="1268" w:type="pct"/>
                  <w:vMerge w:val="continue"/>
                  <w:vAlign w:val="center"/>
                </w:tcPr>
                <w:p w14:paraId="766E8641">
                  <w:pPr>
                    <w:pStyle w:val="1111"/>
                  </w:pPr>
                </w:p>
              </w:tc>
            </w:tr>
            <w:tr w14:paraId="15D03A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7" w:type="pct"/>
                  <w:vAlign w:val="center"/>
                </w:tcPr>
                <w:p w14:paraId="4FC5BA23">
                  <w:pPr>
                    <w:pStyle w:val="1111"/>
                    <w:rPr>
                      <w:szCs w:val="21"/>
                    </w:rPr>
                  </w:pPr>
                  <w:r>
                    <w:rPr>
                      <w:rFonts w:hint="eastAsia"/>
                    </w:rPr>
                    <w:t>臭氧</w:t>
                  </w:r>
                </w:p>
              </w:tc>
              <w:tc>
                <w:tcPr>
                  <w:tcW w:w="836" w:type="pct"/>
                  <w:vAlign w:val="center"/>
                </w:tcPr>
                <w:p w14:paraId="240FC02A">
                  <w:pPr>
                    <w:pStyle w:val="1111"/>
                    <w:rPr>
                      <w:szCs w:val="21"/>
                    </w:rPr>
                  </w:pPr>
                  <w:r>
                    <w:t>/</w:t>
                  </w:r>
                </w:p>
              </w:tc>
              <w:tc>
                <w:tcPr>
                  <w:tcW w:w="923" w:type="pct"/>
                  <w:vAlign w:val="center"/>
                </w:tcPr>
                <w:p w14:paraId="0414495F">
                  <w:pPr>
                    <w:pStyle w:val="1111"/>
                    <w:rPr>
                      <w:szCs w:val="21"/>
                    </w:rPr>
                  </w:pPr>
                  <w:r>
                    <w:t>160</w:t>
                  </w:r>
                  <w:r>
                    <w:rPr>
                      <w:rFonts w:hint="eastAsia"/>
                    </w:rPr>
                    <w:t>（日最大</w:t>
                  </w:r>
                  <w:r>
                    <w:t>8</w:t>
                  </w:r>
                  <w:r>
                    <w:rPr>
                      <w:rFonts w:hint="eastAsia"/>
                    </w:rPr>
                    <w:t>小时平均）</w:t>
                  </w:r>
                </w:p>
              </w:tc>
              <w:tc>
                <w:tcPr>
                  <w:tcW w:w="924" w:type="pct"/>
                  <w:vAlign w:val="center"/>
                </w:tcPr>
                <w:p w14:paraId="39AA0558">
                  <w:pPr>
                    <w:pStyle w:val="1111"/>
                    <w:rPr>
                      <w:szCs w:val="21"/>
                    </w:rPr>
                  </w:pPr>
                  <w:r>
                    <w:t>200</w:t>
                  </w:r>
                </w:p>
              </w:tc>
              <w:tc>
                <w:tcPr>
                  <w:tcW w:w="1268" w:type="pct"/>
                  <w:vMerge w:val="continue"/>
                  <w:vAlign w:val="center"/>
                </w:tcPr>
                <w:p w14:paraId="7E568637">
                  <w:pPr>
                    <w:pStyle w:val="1111"/>
                  </w:pPr>
                </w:p>
              </w:tc>
            </w:tr>
            <w:tr w14:paraId="7F8F27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7" w:type="pct"/>
                  <w:vAlign w:val="center"/>
                </w:tcPr>
                <w:p w14:paraId="13FD5172">
                  <w:pPr>
                    <w:pStyle w:val="1111"/>
                    <w:rPr>
                      <w:szCs w:val="21"/>
                    </w:rPr>
                  </w:pPr>
                  <w:r>
                    <w:rPr>
                      <w:rFonts w:hint="eastAsia"/>
                    </w:rPr>
                    <w:t>一氧化碳（mg/</w:t>
                  </w:r>
                  <w:r>
                    <w:t>N</w:t>
                  </w:r>
                  <w:r>
                    <w:rPr>
                      <w:rFonts w:hint="eastAsia"/>
                    </w:rPr>
                    <w:t>m</w:t>
                  </w:r>
                  <w:r>
                    <w:rPr>
                      <w:rFonts w:hint="eastAsia"/>
                      <w:vertAlign w:val="superscript"/>
                    </w:rPr>
                    <w:t>3</w:t>
                  </w:r>
                  <w:r>
                    <w:rPr>
                      <w:rFonts w:hint="eastAsia"/>
                    </w:rPr>
                    <w:t>）</w:t>
                  </w:r>
                </w:p>
              </w:tc>
              <w:tc>
                <w:tcPr>
                  <w:tcW w:w="836" w:type="pct"/>
                  <w:vAlign w:val="center"/>
                </w:tcPr>
                <w:p w14:paraId="758A87FB">
                  <w:pPr>
                    <w:pStyle w:val="1111"/>
                    <w:rPr>
                      <w:szCs w:val="21"/>
                    </w:rPr>
                  </w:pPr>
                  <w:r>
                    <w:t>/</w:t>
                  </w:r>
                </w:p>
              </w:tc>
              <w:tc>
                <w:tcPr>
                  <w:tcW w:w="923" w:type="pct"/>
                  <w:vAlign w:val="center"/>
                </w:tcPr>
                <w:p w14:paraId="4F9982FD">
                  <w:pPr>
                    <w:pStyle w:val="1111"/>
                    <w:rPr>
                      <w:szCs w:val="21"/>
                    </w:rPr>
                  </w:pPr>
                  <w:r>
                    <w:t>4</w:t>
                  </w:r>
                </w:p>
              </w:tc>
              <w:tc>
                <w:tcPr>
                  <w:tcW w:w="924" w:type="pct"/>
                  <w:vAlign w:val="center"/>
                </w:tcPr>
                <w:p w14:paraId="7C7CF748">
                  <w:pPr>
                    <w:pStyle w:val="1111"/>
                    <w:rPr>
                      <w:szCs w:val="21"/>
                    </w:rPr>
                  </w:pPr>
                  <w:r>
                    <w:t>10</w:t>
                  </w:r>
                </w:p>
              </w:tc>
              <w:tc>
                <w:tcPr>
                  <w:tcW w:w="1268" w:type="pct"/>
                  <w:vMerge w:val="continue"/>
                  <w:vAlign w:val="center"/>
                </w:tcPr>
                <w:p w14:paraId="1E34933C">
                  <w:pPr>
                    <w:pStyle w:val="1111"/>
                  </w:pPr>
                </w:p>
              </w:tc>
            </w:tr>
            <w:tr w14:paraId="7365E8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7" w:type="pct"/>
                  <w:vAlign w:val="center"/>
                </w:tcPr>
                <w:p w14:paraId="03B08FD1">
                  <w:pPr>
                    <w:pStyle w:val="1111"/>
                  </w:pPr>
                  <w:r>
                    <w:rPr>
                      <w:rFonts w:hint="eastAsia"/>
                    </w:rPr>
                    <w:t>非甲烷总烃（mg/</w:t>
                  </w:r>
                  <w:r>
                    <w:t>N</w:t>
                  </w:r>
                  <w:r>
                    <w:rPr>
                      <w:rFonts w:hint="eastAsia"/>
                    </w:rPr>
                    <w:t>m</w:t>
                  </w:r>
                  <w:r>
                    <w:rPr>
                      <w:rFonts w:hint="eastAsia"/>
                      <w:vertAlign w:val="superscript"/>
                    </w:rPr>
                    <w:t>3</w:t>
                  </w:r>
                  <w:r>
                    <w:rPr>
                      <w:rFonts w:hint="eastAsia"/>
                    </w:rPr>
                    <w:t>）</w:t>
                  </w:r>
                </w:p>
              </w:tc>
              <w:tc>
                <w:tcPr>
                  <w:tcW w:w="836" w:type="pct"/>
                  <w:vAlign w:val="center"/>
                </w:tcPr>
                <w:p w14:paraId="40F2A5E9">
                  <w:pPr>
                    <w:pStyle w:val="1111"/>
                  </w:pPr>
                  <w:r>
                    <w:t>/</w:t>
                  </w:r>
                </w:p>
              </w:tc>
              <w:tc>
                <w:tcPr>
                  <w:tcW w:w="923" w:type="pct"/>
                  <w:vAlign w:val="center"/>
                </w:tcPr>
                <w:p w14:paraId="4E19313D">
                  <w:pPr>
                    <w:pStyle w:val="1111"/>
                  </w:pPr>
                  <w:r>
                    <w:t>/</w:t>
                  </w:r>
                </w:p>
              </w:tc>
              <w:tc>
                <w:tcPr>
                  <w:tcW w:w="924" w:type="pct"/>
                  <w:vAlign w:val="center"/>
                </w:tcPr>
                <w:p w14:paraId="764B608D">
                  <w:pPr>
                    <w:pStyle w:val="1111"/>
                  </w:pPr>
                  <w:r>
                    <w:rPr>
                      <w:rFonts w:hint="eastAsia"/>
                    </w:rPr>
                    <w:t>2</w:t>
                  </w:r>
                  <w:r>
                    <w:t>.0</w:t>
                  </w:r>
                </w:p>
              </w:tc>
              <w:tc>
                <w:tcPr>
                  <w:tcW w:w="1268" w:type="pct"/>
                  <w:vAlign w:val="center"/>
                </w:tcPr>
                <w:p w14:paraId="61BCF7A5">
                  <w:pPr>
                    <w:pStyle w:val="1111"/>
                  </w:pPr>
                  <w:r>
                    <w:t>《大气污染物综合排放标准详解》</w:t>
                  </w:r>
                  <w:r>
                    <w:rPr>
                      <w:rFonts w:hint="eastAsia"/>
                    </w:rPr>
                    <w:t>（G</w:t>
                  </w:r>
                  <w:r>
                    <w:t>B16927-1996</w:t>
                  </w:r>
                  <w:r>
                    <w:rPr>
                      <w:rFonts w:hint="eastAsia"/>
                    </w:rPr>
                    <w:t>）</w:t>
                  </w:r>
                </w:p>
              </w:tc>
            </w:tr>
            <w:tr w14:paraId="0F9369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7" w:type="pct"/>
                  <w:vAlign w:val="center"/>
                </w:tcPr>
                <w:p w14:paraId="0606D717">
                  <w:pPr>
                    <w:pStyle w:val="1111"/>
                    <w:rPr>
                      <w:rFonts w:hint="eastAsia" w:ascii="Times New Roman" w:hAnsi="Times New Roman" w:eastAsia="宋体" w:cs="Times New Roman"/>
                      <w:kern w:val="0"/>
                      <w:sz w:val="21"/>
                      <w:szCs w:val="20"/>
                      <w:lang w:val="en-US" w:eastAsia="zh-CN" w:bidi="ar-SA"/>
                    </w:rPr>
                  </w:pPr>
                  <w:r>
                    <w:rPr>
                      <w:rFonts w:hint="eastAsia"/>
                      <w:szCs w:val="21"/>
                    </w:rPr>
                    <w:t>臭气浓度</w:t>
                  </w:r>
                </w:p>
              </w:tc>
              <w:tc>
                <w:tcPr>
                  <w:tcW w:w="2684" w:type="pct"/>
                  <w:gridSpan w:val="3"/>
                  <w:vAlign w:val="center"/>
                </w:tcPr>
                <w:p w14:paraId="59FB650A">
                  <w:pPr>
                    <w:pStyle w:val="1111"/>
                    <w:rPr>
                      <w:rFonts w:hint="eastAsia"/>
                    </w:rPr>
                  </w:pPr>
                  <w:r>
                    <w:rPr>
                      <w:rFonts w:hint="eastAsia"/>
                    </w:rPr>
                    <w:t>2</w:t>
                  </w:r>
                  <w:r>
                    <w:t>0</w:t>
                  </w:r>
                  <w:r>
                    <w:rPr>
                      <w:rFonts w:hint="eastAsia"/>
                    </w:rPr>
                    <w:t>（无量纲）</w:t>
                  </w:r>
                </w:p>
              </w:tc>
              <w:tc>
                <w:tcPr>
                  <w:tcW w:w="1268" w:type="pct"/>
                  <w:vAlign w:val="center"/>
                </w:tcPr>
                <w:p w14:paraId="2DB27076">
                  <w:pPr>
                    <w:pStyle w:val="1111"/>
                  </w:pPr>
                  <w:r>
                    <w:t>《环境影响评价导则大气环境》（HJ2.2-2018）附录D中参考限值</w:t>
                  </w:r>
                </w:p>
              </w:tc>
            </w:tr>
          </w:tbl>
          <w:p w14:paraId="4D4FD88E">
            <w:pPr>
              <w:pStyle w:val="1111"/>
            </w:pPr>
          </w:p>
          <w:p w14:paraId="5BFFACFD">
            <w:pPr>
              <w:pStyle w:val="512"/>
            </w:pPr>
            <w:r>
              <w:rPr>
                <w:rFonts w:hint="eastAsia"/>
              </w:rPr>
              <w:t>（2）大气环境质量现状</w:t>
            </w:r>
          </w:p>
          <w:p w14:paraId="3D621F7F">
            <w:pPr>
              <w:pStyle w:val="512"/>
              <w:bidi w:val="0"/>
            </w:pPr>
            <w:r>
              <w:rPr>
                <w:rFonts w:hint="eastAsia" w:ascii="宋体" w:hAnsi="宋体"/>
              </w:rPr>
              <w:t>①基本污染物环境</w:t>
            </w:r>
            <w:r>
              <w:rPr>
                <w:rFonts w:hint="eastAsia"/>
              </w:rPr>
              <w:t>质量现状</w:t>
            </w:r>
          </w:p>
          <w:p w14:paraId="1BFB43CD">
            <w:pPr>
              <w:pStyle w:val="512"/>
              <w:bidi w:val="0"/>
            </w:pPr>
            <w:r>
              <w:rPr>
                <w:rFonts w:hint="eastAsia"/>
                <w:lang w:eastAsia="zh-CN"/>
              </w:rPr>
              <w:t>根据</w:t>
            </w:r>
            <w:r>
              <w:rPr>
                <w:rFonts w:hint="eastAsia"/>
              </w:rPr>
              <w:t>《</w:t>
            </w:r>
            <w:r>
              <w:rPr>
                <w:rFonts w:hint="eastAsia"/>
                <w:lang w:eastAsia="zh-CN"/>
              </w:rPr>
              <w:t>2023年度连云港市生态环境状况公报</w:t>
            </w:r>
            <w:r>
              <w:rPr>
                <w:rFonts w:hint="eastAsia"/>
              </w:rPr>
              <w:t>》，市区大气监测结果详见表3</w:t>
            </w:r>
            <w:r>
              <w:t>-2</w:t>
            </w:r>
            <w:r>
              <w:rPr>
                <w:rFonts w:hint="eastAsia"/>
              </w:rPr>
              <w:t>。</w:t>
            </w:r>
          </w:p>
          <w:p w14:paraId="05CA2C26">
            <w:pPr>
              <w:pStyle w:val="1111"/>
              <w:bidi w:val="0"/>
            </w:pPr>
            <w:r>
              <w:rPr>
                <w:rFonts w:hint="eastAsia"/>
              </w:rPr>
              <w:t>表3</w:t>
            </w:r>
            <w:r>
              <w:t xml:space="preserve">-2 </w:t>
            </w:r>
            <w:r>
              <w:rPr>
                <w:rFonts w:hint="eastAsia"/>
                <w:lang w:val="en-US" w:eastAsia="zh-CN"/>
              </w:rPr>
              <w:t xml:space="preserve"> </w:t>
            </w:r>
            <w:r>
              <w:t>202</w:t>
            </w:r>
            <w:r>
              <w:rPr>
                <w:rFonts w:hint="eastAsia"/>
                <w:lang w:val="en-US" w:eastAsia="zh-CN"/>
              </w:rPr>
              <w:t>3</w:t>
            </w:r>
            <w:r>
              <w:rPr>
                <w:rFonts w:hint="eastAsia"/>
              </w:rPr>
              <w:t>年市区环境空气质量监测结果表</w:t>
            </w:r>
          </w:p>
          <w:tbl>
            <w:tblPr>
              <w:tblStyle w:val="7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42"/>
              <w:gridCol w:w="2867"/>
              <w:gridCol w:w="1172"/>
              <w:gridCol w:w="1192"/>
              <w:gridCol w:w="1188"/>
            </w:tblGrid>
            <w:tr w14:paraId="007B99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7" w:type="pct"/>
                  <w:vAlign w:val="center"/>
                </w:tcPr>
                <w:p w14:paraId="57CB1437">
                  <w:pPr>
                    <w:pStyle w:val="1111"/>
                    <w:bidi w:val="0"/>
                  </w:pPr>
                  <w:r>
                    <w:t>污染物</w:t>
                  </w:r>
                </w:p>
              </w:tc>
              <w:tc>
                <w:tcPr>
                  <w:tcW w:w="1823" w:type="pct"/>
                  <w:vAlign w:val="center"/>
                </w:tcPr>
                <w:p w14:paraId="6CDFE846">
                  <w:pPr>
                    <w:pStyle w:val="1111"/>
                    <w:bidi w:val="0"/>
                  </w:pPr>
                  <w:r>
                    <w:t>年评价指标</w:t>
                  </w:r>
                </w:p>
              </w:tc>
              <w:tc>
                <w:tcPr>
                  <w:tcW w:w="745" w:type="pct"/>
                  <w:vAlign w:val="center"/>
                </w:tcPr>
                <w:p w14:paraId="6696B26C">
                  <w:pPr>
                    <w:pStyle w:val="1111"/>
                    <w:bidi w:val="0"/>
                  </w:pPr>
                  <w:r>
                    <w:t>现状浓度/μg/m</w:t>
                  </w:r>
                  <w:r>
                    <w:rPr>
                      <w:vertAlign w:val="superscript"/>
                    </w:rPr>
                    <w:t>3</w:t>
                  </w:r>
                </w:p>
              </w:tc>
              <w:tc>
                <w:tcPr>
                  <w:tcW w:w="758" w:type="pct"/>
                  <w:vAlign w:val="center"/>
                </w:tcPr>
                <w:p w14:paraId="4663B409">
                  <w:pPr>
                    <w:pStyle w:val="1111"/>
                    <w:bidi w:val="0"/>
                  </w:pPr>
                  <w:r>
                    <w:t>标准值/μg/m</w:t>
                  </w:r>
                  <w:r>
                    <w:rPr>
                      <w:vertAlign w:val="superscript"/>
                    </w:rPr>
                    <w:t>3</w:t>
                  </w:r>
                </w:p>
              </w:tc>
              <w:tc>
                <w:tcPr>
                  <w:tcW w:w="755" w:type="pct"/>
                  <w:vAlign w:val="center"/>
                </w:tcPr>
                <w:p w14:paraId="0D4534E5">
                  <w:pPr>
                    <w:pStyle w:val="1111"/>
                    <w:bidi w:val="0"/>
                  </w:pPr>
                  <w:r>
                    <w:t>占标率/%</w:t>
                  </w:r>
                </w:p>
              </w:tc>
            </w:tr>
            <w:tr w14:paraId="5FBAE128">
              <w:tblPrEx>
                <w:tblCellMar>
                  <w:top w:w="0" w:type="dxa"/>
                  <w:left w:w="108" w:type="dxa"/>
                  <w:bottom w:w="0" w:type="dxa"/>
                  <w:right w:w="108" w:type="dxa"/>
                </w:tblCellMar>
              </w:tblPrEx>
              <w:trPr>
                <w:jc w:val="center"/>
              </w:trPr>
              <w:tc>
                <w:tcPr>
                  <w:tcW w:w="917" w:type="pct"/>
                  <w:vAlign w:val="center"/>
                </w:tcPr>
                <w:p w14:paraId="375B7F5D">
                  <w:pPr>
                    <w:pStyle w:val="1111"/>
                    <w:bidi w:val="0"/>
                  </w:pPr>
                  <w:r>
                    <w:t>SO</w:t>
                  </w:r>
                  <w:r>
                    <w:rPr>
                      <w:vertAlign w:val="subscript"/>
                    </w:rPr>
                    <w:t>2</w:t>
                  </w:r>
                </w:p>
              </w:tc>
              <w:tc>
                <w:tcPr>
                  <w:tcW w:w="1823" w:type="pct"/>
                  <w:vAlign w:val="center"/>
                </w:tcPr>
                <w:p w14:paraId="0FD4C379">
                  <w:pPr>
                    <w:pStyle w:val="1111"/>
                    <w:bidi w:val="0"/>
                  </w:pPr>
                  <w:r>
                    <w:t>年平均质量浓度</w:t>
                  </w:r>
                </w:p>
              </w:tc>
              <w:tc>
                <w:tcPr>
                  <w:tcW w:w="745" w:type="pct"/>
                  <w:vAlign w:val="center"/>
                </w:tcPr>
                <w:p w14:paraId="0ABCF5F6">
                  <w:pPr>
                    <w:pStyle w:val="1111"/>
                    <w:bidi w:val="0"/>
                    <w:rPr>
                      <w:rFonts w:hint="eastAsia"/>
                      <w:lang w:eastAsia="zh-CN"/>
                    </w:rPr>
                  </w:pPr>
                  <w:r>
                    <w:rPr>
                      <w:rFonts w:hint="eastAsia"/>
                      <w:lang w:val="en-US" w:eastAsia="zh-CN"/>
                    </w:rPr>
                    <w:t>8</w:t>
                  </w:r>
                </w:p>
              </w:tc>
              <w:tc>
                <w:tcPr>
                  <w:tcW w:w="758" w:type="pct"/>
                  <w:vAlign w:val="center"/>
                </w:tcPr>
                <w:p w14:paraId="33E3C400">
                  <w:pPr>
                    <w:pStyle w:val="1111"/>
                  </w:pPr>
                  <w:r>
                    <w:t>60</w:t>
                  </w:r>
                </w:p>
              </w:tc>
              <w:tc>
                <w:tcPr>
                  <w:tcW w:w="755" w:type="pct"/>
                  <w:vAlign w:val="center"/>
                </w:tcPr>
                <w:p w14:paraId="74BF9763">
                  <w:pPr>
                    <w:pStyle w:val="1111"/>
                    <w:bidi w:val="0"/>
                  </w:pPr>
                  <w:r>
                    <w:t>1</w:t>
                  </w:r>
                  <w:r>
                    <w:rPr>
                      <w:rFonts w:hint="eastAsia"/>
                      <w:lang w:val="en-US" w:eastAsia="zh-CN"/>
                    </w:rPr>
                    <w:t>1</w:t>
                  </w:r>
                  <w:r>
                    <w:t>.67</w:t>
                  </w:r>
                </w:p>
              </w:tc>
            </w:tr>
            <w:tr w14:paraId="4BE681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7" w:type="pct"/>
                  <w:vAlign w:val="center"/>
                </w:tcPr>
                <w:p w14:paraId="43A5F18F">
                  <w:pPr>
                    <w:pStyle w:val="1111"/>
                    <w:bidi w:val="0"/>
                  </w:pPr>
                  <w:r>
                    <w:t>NO</w:t>
                  </w:r>
                  <w:r>
                    <w:rPr>
                      <w:vertAlign w:val="subscript"/>
                    </w:rPr>
                    <w:t>2</w:t>
                  </w:r>
                </w:p>
              </w:tc>
              <w:tc>
                <w:tcPr>
                  <w:tcW w:w="1823" w:type="pct"/>
                  <w:vAlign w:val="center"/>
                </w:tcPr>
                <w:p w14:paraId="14AF8F46">
                  <w:pPr>
                    <w:pStyle w:val="1111"/>
                    <w:bidi w:val="0"/>
                  </w:pPr>
                  <w:r>
                    <w:t>年平均质量浓度</w:t>
                  </w:r>
                </w:p>
              </w:tc>
              <w:tc>
                <w:tcPr>
                  <w:tcW w:w="745" w:type="pct"/>
                  <w:vAlign w:val="center"/>
                </w:tcPr>
                <w:p w14:paraId="2CBEE5CB">
                  <w:pPr>
                    <w:pStyle w:val="1111"/>
                    <w:bidi w:val="0"/>
                    <w:rPr>
                      <w:rFonts w:hint="default"/>
                      <w:lang w:val="en-US" w:eastAsia="zh-CN"/>
                    </w:rPr>
                  </w:pPr>
                  <w:r>
                    <w:rPr>
                      <w:rFonts w:hint="eastAsia"/>
                      <w:lang w:val="en-US" w:eastAsia="zh-CN"/>
                    </w:rPr>
                    <w:t>24</w:t>
                  </w:r>
                </w:p>
              </w:tc>
              <w:tc>
                <w:tcPr>
                  <w:tcW w:w="758" w:type="pct"/>
                  <w:vAlign w:val="center"/>
                </w:tcPr>
                <w:p w14:paraId="7CD9951C">
                  <w:pPr>
                    <w:pStyle w:val="1111"/>
                  </w:pPr>
                  <w:r>
                    <w:t>40</w:t>
                  </w:r>
                </w:p>
              </w:tc>
              <w:tc>
                <w:tcPr>
                  <w:tcW w:w="755" w:type="pct"/>
                  <w:vAlign w:val="center"/>
                </w:tcPr>
                <w:p w14:paraId="457546C8">
                  <w:pPr>
                    <w:pStyle w:val="1111"/>
                    <w:bidi w:val="0"/>
                    <w:rPr>
                      <w:rFonts w:hint="default"/>
                      <w:lang w:val="en-US" w:eastAsia="zh-CN"/>
                    </w:rPr>
                  </w:pPr>
                  <w:r>
                    <w:rPr>
                      <w:rFonts w:hint="eastAsia"/>
                      <w:lang w:val="en-US" w:eastAsia="zh-CN"/>
                    </w:rPr>
                    <w:t>55</w:t>
                  </w:r>
                </w:p>
              </w:tc>
            </w:tr>
            <w:tr w14:paraId="1B8432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7" w:type="pct"/>
                  <w:vAlign w:val="center"/>
                </w:tcPr>
                <w:p w14:paraId="53594CD8">
                  <w:pPr>
                    <w:pStyle w:val="1111"/>
                    <w:bidi w:val="0"/>
                  </w:pPr>
                  <w:r>
                    <w:t>臭氧</w:t>
                  </w:r>
                </w:p>
              </w:tc>
              <w:tc>
                <w:tcPr>
                  <w:tcW w:w="1823" w:type="pct"/>
                  <w:vAlign w:val="center"/>
                </w:tcPr>
                <w:p w14:paraId="0BB7F0AB">
                  <w:pPr>
                    <w:pStyle w:val="1111"/>
                    <w:bidi w:val="0"/>
                  </w:pPr>
                  <w:r>
                    <w:t>最大8小时90百分位浓度值</w:t>
                  </w:r>
                </w:p>
              </w:tc>
              <w:tc>
                <w:tcPr>
                  <w:tcW w:w="745" w:type="pct"/>
                  <w:vAlign w:val="center"/>
                </w:tcPr>
                <w:p w14:paraId="369E081E">
                  <w:pPr>
                    <w:pStyle w:val="1111"/>
                    <w:bidi w:val="0"/>
                    <w:rPr>
                      <w:rFonts w:hint="default" w:eastAsia="宋体"/>
                      <w:lang w:val="en-US" w:eastAsia="zh-CN"/>
                    </w:rPr>
                  </w:pPr>
                  <w:r>
                    <w:rPr>
                      <w:rFonts w:hint="eastAsia"/>
                      <w:lang w:val="en-US" w:eastAsia="zh-CN"/>
                    </w:rPr>
                    <w:t>164</w:t>
                  </w:r>
                </w:p>
              </w:tc>
              <w:tc>
                <w:tcPr>
                  <w:tcW w:w="758" w:type="pct"/>
                  <w:vAlign w:val="center"/>
                </w:tcPr>
                <w:p w14:paraId="7667F9B2">
                  <w:pPr>
                    <w:pStyle w:val="1111"/>
                  </w:pPr>
                  <w:r>
                    <w:t>160</w:t>
                  </w:r>
                </w:p>
              </w:tc>
              <w:tc>
                <w:tcPr>
                  <w:tcW w:w="755" w:type="pct"/>
                  <w:vAlign w:val="center"/>
                </w:tcPr>
                <w:p w14:paraId="6F684370">
                  <w:pPr>
                    <w:pStyle w:val="1111"/>
                    <w:bidi w:val="0"/>
                    <w:rPr>
                      <w:rFonts w:hint="default"/>
                      <w:lang w:val="en-US" w:eastAsia="zh-CN"/>
                    </w:rPr>
                  </w:pPr>
                  <w:r>
                    <w:rPr>
                      <w:rFonts w:hint="eastAsia"/>
                      <w:lang w:val="en-US" w:eastAsia="zh-CN"/>
                    </w:rPr>
                    <w:t>99.38</w:t>
                  </w:r>
                </w:p>
              </w:tc>
            </w:tr>
            <w:tr w14:paraId="3FDAED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7" w:type="pct"/>
                  <w:vAlign w:val="center"/>
                </w:tcPr>
                <w:p w14:paraId="091D539D">
                  <w:pPr>
                    <w:pStyle w:val="1111"/>
                    <w:bidi w:val="0"/>
                  </w:pPr>
                  <w:r>
                    <w:t>CO（mg/m</w:t>
                  </w:r>
                  <w:r>
                    <w:rPr>
                      <w:vertAlign w:val="superscript"/>
                    </w:rPr>
                    <w:t>3</w:t>
                  </w:r>
                  <w:r>
                    <w:t>）</w:t>
                  </w:r>
                </w:p>
              </w:tc>
              <w:tc>
                <w:tcPr>
                  <w:tcW w:w="1823" w:type="pct"/>
                  <w:vAlign w:val="center"/>
                </w:tcPr>
                <w:p w14:paraId="2D09A606">
                  <w:pPr>
                    <w:pStyle w:val="1111"/>
                    <w:bidi w:val="0"/>
                  </w:pPr>
                  <w:r>
                    <w:t>日均值95百分位浓度值</w:t>
                  </w:r>
                </w:p>
              </w:tc>
              <w:tc>
                <w:tcPr>
                  <w:tcW w:w="745" w:type="pct"/>
                  <w:vAlign w:val="center"/>
                </w:tcPr>
                <w:p w14:paraId="615B6167">
                  <w:pPr>
                    <w:pStyle w:val="1111"/>
                    <w:bidi w:val="0"/>
                    <w:rPr>
                      <w:rFonts w:hint="default"/>
                      <w:lang w:val="en-US" w:eastAsia="zh-CN"/>
                    </w:rPr>
                  </w:pPr>
                  <w:r>
                    <w:rPr>
                      <w:rFonts w:hint="eastAsia"/>
                      <w:lang w:val="en-US" w:eastAsia="zh-CN"/>
                    </w:rPr>
                    <w:t>1.0</w:t>
                  </w:r>
                </w:p>
              </w:tc>
              <w:tc>
                <w:tcPr>
                  <w:tcW w:w="758" w:type="pct"/>
                  <w:vAlign w:val="center"/>
                </w:tcPr>
                <w:p w14:paraId="2BCF37EC">
                  <w:pPr>
                    <w:pStyle w:val="1111"/>
                  </w:pPr>
                  <w:r>
                    <w:t>4</w:t>
                  </w:r>
                </w:p>
              </w:tc>
              <w:tc>
                <w:tcPr>
                  <w:tcW w:w="755" w:type="pct"/>
                  <w:vAlign w:val="center"/>
                </w:tcPr>
                <w:p w14:paraId="316F97BD">
                  <w:pPr>
                    <w:pStyle w:val="1111"/>
                    <w:bidi w:val="0"/>
                    <w:rPr>
                      <w:rFonts w:hint="default"/>
                      <w:lang w:val="en-US" w:eastAsia="zh-CN"/>
                    </w:rPr>
                  </w:pPr>
                  <w:r>
                    <w:rPr>
                      <w:rFonts w:hint="eastAsia"/>
                      <w:lang w:val="en-US" w:eastAsia="zh-CN"/>
                    </w:rPr>
                    <w:t>22.5</w:t>
                  </w:r>
                </w:p>
              </w:tc>
            </w:tr>
            <w:tr w14:paraId="47FF2C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7" w:type="pct"/>
                  <w:vAlign w:val="center"/>
                </w:tcPr>
                <w:p w14:paraId="5CC89DC6">
                  <w:pPr>
                    <w:pStyle w:val="1111"/>
                    <w:bidi w:val="0"/>
                  </w:pPr>
                  <w:r>
                    <w:t>PM</w:t>
                  </w:r>
                  <w:r>
                    <w:rPr>
                      <w:vertAlign w:val="subscript"/>
                    </w:rPr>
                    <w:t>10</w:t>
                  </w:r>
                </w:p>
              </w:tc>
              <w:tc>
                <w:tcPr>
                  <w:tcW w:w="1823" w:type="pct"/>
                  <w:vAlign w:val="center"/>
                </w:tcPr>
                <w:p w14:paraId="27FFB61A">
                  <w:pPr>
                    <w:pStyle w:val="1111"/>
                    <w:bidi w:val="0"/>
                  </w:pPr>
                  <w:r>
                    <w:t>年平均质量浓度</w:t>
                  </w:r>
                </w:p>
              </w:tc>
              <w:tc>
                <w:tcPr>
                  <w:tcW w:w="745" w:type="pct"/>
                  <w:vAlign w:val="center"/>
                </w:tcPr>
                <w:p w14:paraId="02123C63">
                  <w:pPr>
                    <w:pStyle w:val="1111"/>
                    <w:bidi w:val="0"/>
                    <w:rPr>
                      <w:rFonts w:hint="default"/>
                      <w:lang w:val="en-US" w:eastAsia="zh-CN"/>
                    </w:rPr>
                  </w:pPr>
                  <w:r>
                    <w:rPr>
                      <w:rFonts w:hint="eastAsia"/>
                      <w:lang w:val="en-US" w:eastAsia="zh-CN"/>
                    </w:rPr>
                    <w:t>58</w:t>
                  </w:r>
                </w:p>
              </w:tc>
              <w:tc>
                <w:tcPr>
                  <w:tcW w:w="758" w:type="pct"/>
                  <w:vAlign w:val="center"/>
                </w:tcPr>
                <w:p w14:paraId="0FDE7919">
                  <w:pPr>
                    <w:pStyle w:val="1111"/>
                  </w:pPr>
                  <w:r>
                    <w:t>70</w:t>
                  </w:r>
                </w:p>
              </w:tc>
              <w:tc>
                <w:tcPr>
                  <w:tcW w:w="755" w:type="pct"/>
                  <w:vAlign w:val="center"/>
                </w:tcPr>
                <w:p w14:paraId="3B668E36">
                  <w:pPr>
                    <w:pStyle w:val="1111"/>
                    <w:bidi w:val="0"/>
                    <w:rPr>
                      <w:rFonts w:hint="default"/>
                      <w:lang w:val="en-US" w:eastAsia="zh-CN"/>
                    </w:rPr>
                  </w:pPr>
                  <w:r>
                    <w:rPr>
                      <w:rFonts w:hint="eastAsia"/>
                      <w:lang w:val="en-US" w:eastAsia="zh-CN"/>
                    </w:rPr>
                    <w:t>77.14</w:t>
                  </w:r>
                </w:p>
              </w:tc>
            </w:tr>
            <w:tr w14:paraId="715118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7" w:type="pct"/>
                  <w:vAlign w:val="center"/>
                </w:tcPr>
                <w:p w14:paraId="47EFF395">
                  <w:pPr>
                    <w:pStyle w:val="1111"/>
                    <w:bidi w:val="0"/>
                  </w:pPr>
                  <w:r>
                    <w:t>PM</w:t>
                  </w:r>
                  <w:r>
                    <w:rPr>
                      <w:vertAlign w:val="subscript"/>
                    </w:rPr>
                    <w:t>2.5</w:t>
                  </w:r>
                </w:p>
              </w:tc>
              <w:tc>
                <w:tcPr>
                  <w:tcW w:w="1823" w:type="pct"/>
                  <w:vAlign w:val="center"/>
                </w:tcPr>
                <w:p w14:paraId="63351AA3">
                  <w:pPr>
                    <w:pStyle w:val="1111"/>
                    <w:bidi w:val="0"/>
                  </w:pPr>
                  <w:r>
                    <w:t>年平均质量浓度</w:t>
                  </w:r>
                </w:p>
              </w:tc>
              <w:tc>
                <w:tcPr>
                  <w:tcW w:w="745" w:type="pct"/>
                  <w:vAlign w:val="center"/>
                </w:tcPr>
                <w:p w14:paraId="0B3A38DC">
                  <w:pPr>
                    <w:pStyle w:val="1111"/>
                    <w:bidi w:val="0"/>
                    <w:rPr>
                      <w:rFonts w:hint="default"/>
                      <w:lang w:val="en-US" w:eastAsia="zh-CN"/>
                    </w:rPr>
                  </w:pPr>
                  <w:r>
                    <w:rPr>
                      <w:rFonts w:hint="eastAsia"/>
                      <w:lang w:val="en-US" w:eastAsia="zh-CN"/>
                    </w:rPr>
                    <w:t>32</w:t>
                  </w:r>
                </w:p>
              </w:tc>
              <w:tc>
                <w:tcPr>
                  <w:tcW w:w="758" w:type="pct"/>
                  <w:vAlign w:val="center"/>
                </w:tcPr>
                <w:p w14:paraId="359BFD44">
                  <w:pPr>
                    <w:pStyle w:val="1111"/>
                  </w:pPr>
                  <w:r>
                    <w:t>35</w:t>
                  </w:r>
                </w:p>
              </w:tc>
              <w:tc>
                <w:tcPr>
                  <w:tcW w:w="755" w:type="pct"/>
                  <w:vAlign w:val="center"/>
                </w:tcPr>
                <w:p w14:paraId="07058AC9">
                  <w:pPr>
                    <w:pStyle w:val="1111"/>
                    <w:bidi w:val="0"/>
                    <w:rPr>
                      <w:rFonts w:hint="default"/>
                      <w:lang w:val="en-US" w:eastAsia="zh-CN"/>
                    </w:rPr>
                  </w:pPr>
                  <w:r>
                    <w:rPr>
                      <w:rFonts w:hint="eastAsia"/>
                      <w:lang w:val="en-US" w:eastAsia="zh-CN"/>
                    </w:rPr>
                    <w:t>85.71</w:t>
                  </w:r>
                </w:p>
              </w:tc>
            </w:tr>
          </w:tbl>
          <w:p w14:paraId="1A88B8A3">
            <w:pPr>
              <w:pStyle w:val="512"/>
              <w:bidi w:val="0"/>
              <w:rPr>
                <w:rFonts w:hint="eastAsia"/>
              </w:rPr>
            </w:pPr>
            <w:r>
              <w:rPr>
                <w:rFonts w:hint="eastAsia"/>
              </w:rPr>
              <w:t>由此可知，202</w:t>
            </w:r>
            <w:r>
              <w:rPr>
                <w:rFonts w:hint="eastAsia"/>
                <w:lang w:val="en-US" w:eastAsia="zh-CN"/>
              </w:rPr>
              <w:t>3</w:t>
            </w:r>
            <w:r>
              <w:rPr>
                <w:rFonts w:hint="eastAsia"/>
              </w:rPr>
              <w:t>年连云港市</w:t>
            </w:r>
            <w:r>
              <w:rPr>
                <w:rFonts w:hint="eastAsia"/>
                <w:lang w:eastAsia="zh-CN"/>
              </w:rPr>
              <w:t>市区</w:t>
            </w:r>
            <w:r>
              <w:rPr>
                <w:rFonts w:hint="eastAsia"/>
              </w:rPr>
              <w:t>环境空气中，SO</w:t>
            </w:r>
            <w:r>
              <w:rPr>
                <w:rFonts w:hint="eastAsia"/>
                <w:vertAlign w:val="subscript"/>
              </w:rPr>
              <w:t>2</w:t>
            </w:r>
            <w:r>
              <w:rPr>
                <w:rFonts w:hint="eastAsia"/>
              </w:rPr>
              <w:t>、NO</w:t>
            </w:r>
            <w:r>
              <w:rPr>
                <w:rFonts w:hint="eastAsia"/>
                <w:vertAlign w:val="subscript"/>
              </w:rPr>
              <w:t>2</w:t>
            </w:r>
            <w:r>
              <w:rPr>
                <w:rFonts w:hint="eastAsia"/>
              </w:rPr>
              <w:t>、PM</w:t>
            </w:r>
            <w:r>
              <w:rPr>
                <w:rFonts w:hint="eastAsia"/>
                <w:vertAlign w:val="subscript"/>
              </w:rPr>
              <w:t>10</w:t>
            </w:r>
            <w:r>
              <w:rPr>
                <w:rFonts w:hint="eastAsia"/>
                <w:lang w:eastAsia="zh-CN"/>
              </w:rPr>
              <w:t>和</w:t>
            </w:r>
            <w:r>
              <w:rPr>
                <w:rFonts w:hint="eastAsia"/>
                <w:lang w:val="en-US" w:eastAsia="zh-CN"/>
              </w:rPr>
              <w:t>PM</w:t>
            </w:r>
            <w:r>
              <w:rPr>
                <w:rFonts w:hint="eastAsia"/>
                <w:vertAlign w:val="subscript"/>
                <w:lang w:val="en-US" w:eastAsia="zh-CN"/>
              </w:rPr>
              <w:t>2.5</w:t>
            </w:r>
            <w:r>
              <w:rPr>
                <w:rFonts w:hint="eastAsia"/>
              </w:rPr>
              <w:t>年平均浓度、CO日均值的第95百分位浓度</w:t>
            </w:r>
            <w:r>
              <w:rPr>
                <w:rFonts w:hint="eastAsia"/>
                <w:lang w:eastAsia="zh-CN"/>
              </w:rPr>
              <w:t>等</w:t>
            </w:r>
            <w:r>
              <w:rPr>
                <w:rFonts w:hint="eastAsia"/>
                <w:lang w:val="en-US" w:eastAsia="zh-CN"/>
              </w:rPr>
              <w:t>5项指标</w:t>
            </w:r>
            <w:r>
              <w:rPr>
                <w:rFonts w:hint="eastAsia"/>
              </w:rPr>
              <w:t>符合国家二级标准要求</w:t>
            </w:r>
            <w:r>
              <w:rPr>
                <w:rFonts w:hint="eastAsia"/>
                <w:lang w:eastAsia="zh-CN"/>
              </w:rPr>
              <w:t>；</w:t>
            </w:r>
            <w:r>
              <w:rPr>
                <w:lang w:val="en-US" w:eastAsia="zh-CN"/>
              </w:rPr>
              <w:t>臭氧日最大</w:t>
            </w:r>
            <w:r>
              <w:rPr>
                <w:rFonts w:hint="default"/>
                <w:lang w:val="en-US" w:eastAsia="zh-CN"/>
              </w:rPr>
              <w:t>8小时滑动平均值的第 90 百分位数浓度超过《环境空气质量标准》（GB3095-2012）二级标准要求</w:t>
            </w:r>
            <w:r>
              <w:rPr>
                <w:rFonts w:hint="eastAsia"/>
              </w:rPr>
              <w:t>。</w:t>
            </w:r>
            <w:r>
              <w:rPr>
                <w:rFonts w:hint="eastAsia"/>
                <w:lang w:eastAsia="zh-CN"/>
              </w:rPr>
              <w:t>根据</w:t>
            </w:r>
            <w:r>
              <w:rPr>
                <w:rFonts w:hint="eastAsia"/>
              </w:rPr>
              <w:t>《环境空气质量评价技术规范</w:t>
            </w:r>
            <w:r>
              <w:rPr>
                <w:rFonts w:hint="eastAsia"/>
                <w:lang w:eastAsia="zh-CN"/>
              </w:rPr>
              <w:t>（试行）</w:t>
            </w:r>
            <w:r>
              <w:rPr>
                <w:rFonts w:hint="eastAsia"/>
              </w:rPr>
              <w:t>》</w:t>
            </w:r>
            <w:r>
              <w:rPr>
                <w:rFonts w:hint="eastAsia"/>
                <w:lang w:eastAsia="zh-CN"/>
              </w:rPr>
              <w:t>（</w:t>
            </w:r>
            <w:r>
              <w:rPr>
                <w:rFonts w:hint="eastAsia"/>
              </w:rPr>
              <w:t>HJ663-2013</w:t>
            </w:r>
            <w:r>
              <w:rPr>
                <w:rFonts w:hint="eastAsia"/>
                <w:lang w:eastAsia="zh-CN"/>
              </w:rPr>
              <w:t>）</w:t>
            </w:r>
            <w:r>
              <w:rPr>
                <w:rFonts w:hint="eastAsia"/>
              </w:rPr>
              <w:t>，连云港市</w:t>
            </w:r>
            <w:r>
              <w:rPr>
                <w:rFonts w:hint="eastAsia"/>
                <w:lang w:eastAsia="zh-CN"/>
              </w:rPr>
              <w:t>市区</w:t>
            </w:r>
            <w:r>
              <w:rPr>
                <w:rFonts w:hint="eastAsia"/>
              </w:rPr>
              <w:t>环境空气属于</w:t>
            </w:r>
            <w:r>
              <w:rPr>
                <w:rFonts w:hint="eastAsia"/>
                <w:lang w:eastAsia="zh-CN"/>
              </w:rPr>
              <w:t>不</w:t>
            </w:r>
            <w:r>
              <w:rPr>
                <w:rFonts w:hint="eastAsia"/>
              </w:rPr>
              <w:t>达标区。</w:t>
            </w:r>
          </w:p>
          <w:p w14:paraId="1B81039B">
            <w:pPr>
              <w:pStyle w:val="512"/>
              <w:bidi w:val="0"/>
              <w:rPr>
                <w:rFonts w:hint="eastAsia"/>
              </w:rPr>
            </w:pPr>
            <w:r>
              <w:t>连云港市印发《关于印发连云港市202</w:t>
            </w:r>
            <w:r>
              <w:rPr>
                <w:rFonts w:hint="eastAsia"/>
                <w:lang w:val="en-US" w:eastAsia="zh-CN"/>
              </w:rPr>
              <w:t>4</w:t>
            </w:r>
            <w:r>
              <w:t>年大气污染防治工作计划的通知》（连大气办〔202</w:t>
            </w:r>
            <w:r>
              <w:rPr>
                <w:rFonts w:hint="eastAsia"/>
                <w:lang w:val="en-US" w:eastAsia="zh-CN"/>
              </w:rPr>
              <w:t>4</w:t>
            </w:r>
            <w:r>
              <w:t>〕</w:t>
            </w:r>
            <w:r>
              <w:rPr>
                <w:rFonts w:hint="eastAsia"/>
                <w:lang w:val="en-US" w:eastAsia="zh-CN"/>
              </w:rPr>
              <w:t>34</w:t>
            </w:r>
            <w:r>
              <w:t>号），文件提出了</w:t>
            </w:r>
            <w:r>
              <w:rPr>
                <w:lang w:val="en-US" w:eastAsia="zh-CN"/>
              </w:rPr>
              <w:t>坚持精准治污、科学治污、依法治污，突出源头治理、标本</w:t>
            </w:r>
            <w:r>
              <w:rPr>
                <w:rFonts w:hint="eastAsia"/>
                <w:lang w:val="en-US" w:eastAsia="zh-CN"/>
              </w:rPr>
              <w:t>兼治，重点攻坚、靶向减排，以</w:t>
            </w:r>
            <w:r>
              <w:rPr>
                <w:rFonts w:hint="default"/>
                <w:lang w:val="en-US" w:eastAsia="zh-CN"/>
              </w:rPr>
              <w:t>“</w:t>
            </w:r>
            <w:r>
              <w:rPr>
                <w:rFonts w:hint="eastAsia"/>
                <w:lang w:val="en-US" w:eastAsia="zh-CN"/>
              </w:rPr>
              <w:t>减煤、汰后、控车、治污和抑尘</w:t>
            </w:r>
            <w:r>
              <w:rPr>
                <w:rFonts w:hint="default"/>
                <w:lang w:val="en-US" w:eastAsia="zh-CN"/>
              </w:rPr>
              <w:t>”</w:t>
            </w:r>
            <w:r>
              <w:rPr>
                <w:rFonts w:hint="eastAsia"/>
                <w:lang w:val="en-US" w:eastAsia="zh-CN"/>
              </w:rPr>
              <w:t>为工作重点，以</w:t>
            </w:r>
            <w:r>
              <w:rPr>
                <w:rFonts w:hint="default"/>
                <w:lang w:val="en-US" w:eastAsia="zh-CN"/>
              </w:rPr>
              <w:t>“</w:t>
            </w:r>
            <w:r>
              <w:rPr>
                <w:rFonts w:hint="eastAsia"/>
                <w:lang w:val="en-US" w:eastAsia="zh-CN"/>
              </w:rPr>
              <w:t>盯大户、查高值、控源头、降扬尘、强执法、促整改、抓联动</w:t>
            </w:r>
            <w:r>
              <w:rPr>
                <w:rFonts w:hint="default"/>
                <w:lang w:val="en-US" w:eastAsia="zh-CN"/>
              </w:rPr>
              <w:t>”</w:t>
            </w:r>
            <w:r>
              <w:rPr>
                <w:rFonts w:hint="eastAsia"/>
                <w:lang w:val="en-US" w:eastAsia="zh-CN"/>
              </w:rPr>
              <w:t>为治气攻坚路径，围绕新“大气十条”，按照“从早谋划、从深考虑、从优争取、从实安排、从严执行，按序推进”要求推进各项工作取得实效</w:t>
            </w:r>
            <w:r>
              <w:t>等相关重点任务</w:t>
            </w:r>
            <w:r>
              <w:rPr>
                <w:rFonts w:hint="eastAsia"/>
                <w:lang w:eastAsia="zh-CN"/>
              </w:rPr>
              <w:t>。</w:t>
            </w:r>
            <w:r>
              <w:t>项目所在区域环境空气质量可得到改善。</w:t>
            </w:r>
          </w:p>
          <w:p w14:paraId="0715E09E">
            <w:pPr>
              <w:pStyle w:val="512"/>
              <w:bidi w:val="0"/>
            </w:pPr>
            <w:r>
              <w:rPr>
                <w:rFonts w:hint="eastAsia"/>
              </w:rPr>
              <w:t>②特征污染物环境质量状况</w:t>
            </w:r>
          </w:p>
          <w:p w14:paraId="3F7D4C8F">
            <w:pPr>
              <w:pStyle w:val="512"/>
              <w:bidi w:val="0"/>
            </w:pPr>
            <w:r>
              <w:t>为了解项目周边大气环境状况，引用江苏国正检测有限公司对《</w:t>
            </w:r>
            <w:r>
              <w:rPr>
                <w:rFonts w:hint="eastAsia"/>
                <w:lang w:eastAsia="zh-CN"/>
              </w:rPr>
              <w:t>连云港润众制药有限公司生物工程药物研发、生产基地建设五期技改</w:t>
            </w:r>
            <w:r>
              <w:t>项目》的监测数据（编号，监测时间为202</w:t>
            </w:r>
            <w:r>
              <w:rPr>
                <w:rFonts w:hint="eastAsia"/>
                <w:lang w:val="en-US" w:eastAsia="zh-CN"/>
              </w:rPr>
              <w:t>3</w:t>
            </w:r>
            <w:r>
              <w:t>年</w:t>
            </w:r>
            <w:r>
              <w:rPr>
                <w:rFonts w:hint="eastAsia"/>
                <w:lang w:val="en-US" w:eastAsia="zh-CN"/>
              </w:rPr>
              <w:t>5</w:t>
            </w:r>
            <w:r>
              <w:t>月</w:t>
            </w:r>
            <w:r>
              <w:rPr>
                <w:rFonts w:hint="eastAsia"/>
                <w:lang w:val="en-US" w:eastAsia="zh-CN"/>
              </w:rPr>
              <w:t>23</w:t>
            </w:r>
            <w:r>
              <w:t>日</w:t>
            </w:r>
            <w:r>
              <w:rPr>
                <w:rFonts w:hint="eastAsia"/>
                <w:lang w:val="en-US" w:eastAsia="zh-CN"/>
              </w:rPr>
              <w:t>~2023年5月29</w:t>
            </w:r>
            <w:r>
              <w:t>日）。具体监测数据见表3-</w:t>
            </w:r>
            <w:r>
              <w:rPr>
                <w:rFonts w:hint="eastAsia"/>
                <w:lang w:val="en-US" w:eastAsia="zh-CN"/>
              </w:rPr>
              <w:t>3</w:t>
            </w:r>
            <w:r>
              <w:t>。</w:t>
            </w:r>
          </w:p>
          <w:p w14:paraId="4AAD2D9A">
            <w:pPr>
              <w:pStyle w:val="1111"/>
              <w:bidi w:val="0"/>
            </w:pPr>
            <w:r>
              <w:t>表3-</w:t>
            </w:r>
            <w:r>
              <w:rPr>
                <w:rFonts w:hint="eastAsia"/>
                <w:lang w:val="en-US" w:eastAsia="zh-CN"/>
              </w:rPr>
              <w:t xml:space="preserve">3 </w:t>
            </w:r>
            <w:r>
              <w:t>大气监测点详细信息表</w:t>
            </w:r>
          </w:p>
          <w:tbl>
            <w:tblPr>
              <w:tblStyle w:val="7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19"/>
              <w:gridCol w:w="1050"/>
              <w:gridCol w:w="1097"/>
              <w:gridCol w:w="820"/>
              <w:gridCol w:w="1119"/>
              <w:gridCol w:w="1240"/>
              <w:gridCol w:w="1416"/>
            </w:tblGrid>
            <w:tr w14:paraId="30D41A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2" w:type="pct"/>
                  <w:vMerge w:val="restart"/>
                  <w:shd w:val="clear" w:color="auto" w:fill="auto"/>
                  <w:noWrap w:val="0"/>
                  <w:vAlign w:val="center"/>
                </w:tcPr>
                <w:p w14:paraId="1CCACAC7">
                  <w:pPr>
                    <w:pStyle w:val="1111"/>
                    <w:bidi w:val="0"/>
                    <w:rPr>
                      <w:rFonts w:hint="eastAsia"/>
                    </w:rPr>
                  </w:pPr>
                  <w:r>
                    <w:rPr>
                      <w:rFonts w:hint="eastAsia"/>
                    </w:rPr>
                    <w:t>点</w:t>
                  </w:r>
                  <w:r>
                    <w:rPr>
                      <w:rFonts w:hint="eastAsia"/>
                      <w:lang w:eastAsia="zh-CN"/>
                    </w:rPr>
                    <w:t>位</w:t>
                  </w:r>
                  <w:r>
                    <w:rPr>
                      <w:rFonts w:hint="eastAsia"/>
                    </w:rPr>
                    <w:t>名称</w:t>
                  </w:r>
                </w:p>
              </w:tc>
              <w:tc>
                <w:tcPr>
                  <w:tcW w:w="1365" w:type="pct"/>
                  <w:gridSpan w:val="2"/>
                  <w:shd w:val="clear" w:color="auto" w:fill="auto"/>
                  <w:noWrap w:val="0"/>
                  <w:vAlign w:val="center"/>
                </w:tcPr>
                <w:p w14:paraId="30554E0E">
                  <w:pPr>
                    <w:pStyle w:val="1111"/>
                    <w:bidi w:val="0"/>
                  </w:pPr>
                  <w:r>
                    <w:t>坐标/m</w:t>
                  </w:r>
                </w:p>
              </w:tc>
              <w:tc>
                <w:tcPr>
                  <w:tcW w:w="521" w:type="pct"/>
                  <w:vMerge w:val="restart"/>
                  <w:shd w:val="clear" w:color="auto" w:fill="auto"/>
                  <w:noWrap w:val="0"/>
                  <w:vAlign w:val="center"/>
                </w:tcPr>
                <w:p w14:paraId="113FF0BA">
                  <w:pPr>
                    <w:pStyle w:val="1111"/>
                    <w:bidi w:val="0"/>
                  </w:pPr>
                  <w:r>
                    <w:t>方位</w:t>
                  </w:r>
                </w:p>
              </w:tc>
              <w:tc>
                <w:tcPr>
                  <w:tcW w:w="711" w:type="pct"/>
                  <w:vMerge w:val="restart"/>
                  <w:shd w:val="clear" w:color="auto" w:fill="auto"/>
                  <w:noWrap w:val="0"/>
                  <w:vAlign w:val="center"/>
                </w:tcPr>
                <w:p w14:paraId="37086919">
                  <w:pPr>
                    <w:pStyle w:val="1111"/>
                    <w:bidi w:val="0"/>
                  </w:pPr>
                  <w:r>
                    <w:t>与本项目距离/m</w:t>
                  </w:r>
                </w:p>
              </w:tc>
              <w:tc>
                <w:tcPr>
                  <w:tcW w:w="1688" w:type="pct"/>
                  <w:gridSpan w:val="2"/>
                  <w:shd w:val="clear" w:color="auto" w:fill="auto"/>
                  <w:noWrap w:val="0"/>
                  <w:vAlign w:val="center"/>
                </w:tcPr>
                <w:p w14:paraId="347724A9">
                  <w:pPr>
                    <w:pStyle w:val="1111"/>
                    <w:bidi w:val="0"/>
                  </w:pPr>
                  <w:r>
                    <w:t>监测因子与时间</w:t>
                  </w:r>
                </w:p>
              </w:tc>
            </w:tr>
            <w:tr w14:paraId="116D0B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 w:hRule="atLeast"/>
              </w:trPr>
              <w:tc>
                <w:tcPr>
                  <w:tcW w:w="712" w:type="pct"/>
                  <w:vMerge w:val="continue"/>
                  <w:shd w:val="clear" w:color="auto" w:fill="auto"/>
                  <w:noWrap w:val="0"/>
                  <w:vAlign w:val="center"/>
                </w:tcPr>
                <w:p w14:paraId="049D6683">
                  <w:pPr>
                    <w:pStyle w:val="1111"/>
                    <w:bidi w:val="0"/>
                  </w:pPr>
                </w:p>
              </w:tc>
              <w:tc>
                <w:tcPr>
                  <w:tcW w:w="668" w:type="pct"/>
                  <w:shd w:val="clear" w:color="auto" w:fill="auto"/>
                  <w:noWrap w:val="0"/>
                  <w:vAlign w:val="center"/>
                </w:tcPr>
                <w:p w14:paraId="0302E067">
                  <w:pPr>
                    <w:pStyle w:val="1111"/>
                    <w:bidi w:val="0"/>
                  </w:pPr>
                  <w:r>
                    <w:t>X</w:t>
                  </w:r>
                </w:p>
              </w:tc>
              <w:tc>
                <w:tcPr>
                  <w:tcW w:w="697" w:type="pct"/>
                  <w:shd w:val="clear" w:color="auto" w:fill="auto"/>
                  <w:noWrap w:val="0"/>
                  <w:vAlign w:val="center"/>
                </w:tcPr>
                <w:p w14:paraId="5BE2211F">
                  <w:pPr>
                    <w:pStyle w:val="1111"/>
                    <w:bidi w:val="0"/>
                  </w:pPr>
                  <w:r>
                    <w:t>Y</w:t>
                  </w:r>
                </w:p>
              </w:tc>
              <w:tc>
                <w:tcPr>
                  <w:tcW w:w="521" w:type="pct"/>
                  <w:vMerge w:val="continue"/>
                  <w:shd w:val="clear" w:color="auto" w:fill="auto"/>
                  <w:noWrap w:val="0"/>
                  <w:vAlign w:val="center"/>
                </w:tcPr>
                <w:p w14:paraId="4A0B125B">
                  <w:pPr>
                    <w:pStyle w:val="1111"/>
                    <w:bidi w:val="0"/>
                  </w:pPr>
                </w:p>
              </w:tc>
              <w:tc>
                <w:tcPr>
                  <w:tcW w:w="711" w:type="pct"/>
                  <w:vMerge w:val="continue"/>
                  <w:shd w:val="clear" w:color="auto" w:fill="auto"/>
                  <w:noWrap w:val="0"/>
                  <w:vAlign w:val="center"/>
                </w:tcPr>
                <w:p w14:paraId="2E0DB716">
                  <w:pPr>
                    <w:pStyle w:val="1111"/>
                    <w:bidi w:val="0"/>
                  </w:pPr>
                </w:p>
              </w:tc>
              <w:tc>
                <w:tcPr>
                  <w:tcW w:w="788" w:type="pct"/>
                  <w:shd w:val="clear" w:color="auto" w:fill="auto"/>
                  <w:noWrap w:val="0"/>
                  <w:vAlign w:val="center"/>
                </w:tcPr>
                <w:p w14:paraId="74615239">
                  <w:pPr>
                    <w:pStyle w:val="1111"/>
                    <w:bidi w:val="0"/>
                  </w:pPr>
                  <w:r>
                    <w:t>监测因子</w:t>
                  </w:r>
                </w:p>
              </w:tc>
              <w:tc>
                <w:tcPr>
                  <w:tcW w:w="899" w:type="pct"/>
                  <w:shd w:val="clear" w:color="auto" w:fill="auto"/>
                  <w:noWrap w:val="0"/>
                  <w:vAlign w:val="center"/>
                </w:tcPr>
                <w:p w14:paraId="765D15BD">
                  <w:pPr>
                    <w:pStyle w:val="1111"/>
                    <w:bidi w:val="0"/>
                  </w:pPr>
                  <w:r>
                    <w:t>监测时间</w:t>
                  </w:r>
                </w:p>
              </w:tc>
            </w:tr>
            <w:tr w14:paraId="330B3C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2" w:type="pct"/>
                  <w:shd w:val="clear" w:color="auto" w:fill="auto"/>
                  <w:noWrap w:val="0"/>
                  <w:vAlign w:val="center"/>
                </w:tcPr>
                <w:p w14:paraId="71FE6943">
                  <w:pPr>
                    <w:pStyle w:val="1111"/>
                    <w:bidi w:val="0"/>
                  </w:pPr>
                  <w:r>
                    <w:rPr>
                      <w:rFonts w:hint="eastAsia"/>
                      <w:lang w:eastAsia="zh-CN"/>
                    </w:rPr>
                    <w:t>连云港润众制药有限公司</w:t>
                  </w:r>
                </w:p>
              </w:tc>
              <w:tc>
                <w:tcPr>
                  <w:tcW w:w="668" w:type="pct"/>
                  <w:shd w:val="clear" w:color="auto" w:fill="auto"/>
                  <w:noWrap w:val="0"/>
                  <w:vAlign w:val="center"/>
                </w:tcPr>
                <w:p w14:paraId="14E752AC">
                  <w:pPr>
                    <w:pStyle w:val="1111"/>
                    <w:bidi w:val="0"/>
                  </w:pPr>
                  <w:r>
                    <w:rPr>
                      <w:rFonts w:hint="eastAsia"/>
                    </w:rPr>
                    <w:t>-427.01</w:t>
                  </w:r>
                </w:p>
              </w:tc>
              <w:tc>
                <w:tcPr>
                  <w:tcW w:w="697" w:type="pct"/>
                  <w:shd w:val="clear" w:color="auto" w:fill="auto"/>
                  <w:noWrap w:val="0"/>
                  <w:vAlign w:val="center"/>
                </w:tcPr>
                <w:p w14:paraId="35533367">
                  <w:pPr>
                    <w:pStyle w:val="1111"/>
                    <w:bidi w:val="0"/>
                  </w:pPr>
                  <w:r>
                    <w:rPr>
                      <w:rFonts w:hint="eastAsia"/>
                    </w:rPr>
                    <w:t>1479.26</w:t>
                  </w:r>
                </w:p>
              </w:tc>
              <w:tc>
                <w:tcPr>
                  <w:tcW w:w="521" w:type="pct"/>
                  <w:shd w:val="clear" w:color="auto" w:fill="auto"/>
                  <w:noWrap w:val="0"/>
                  <w:vAlign w:val="center"/>
                </w:tcPr>
                <w:p w14:paraId="0B569211">
                  <w:pPr>
                    <w:pStyle w:val="1111"/>
                    <w:bidi w:val="0"/>
                  </w:pPr>
                  <w:r>
                    <w:t>NW</w:t>
                  </w:r>
                </w:p>
              </w:tc>
              <w:tc>
                <w:tcPr>
                  <w:tcW w:w="711" w:type="pct"/>
                  <w:shd w:val="clear" w:color="auto" w:fill="auto"/>
                  <w:noWrap w:val="0"/>
                  <w:vAlign w:val="center"/>
                </w:tcPr>
                <w:p w14:paraId="269F0085">
                  <w:pPr>
                    <w:pStyle w:val="1111"/>
                    <w:bidi w:val="0"/>
                    <w:rPr>
                      <w:rFonts w:hint="default"/>
                      <w:lang w:val="en-US" w:eastAsia="zh-CN"/>
                    </w:rPr>
                  </w:pPr>
                  <w:r>
                    <w:t>1</w:t>
                  </w:r>
                  <w:r>
                    <w:rPr>
                      <w:rFonts w:hint="eastAsia"/>
                      <w:lang w:val="en-US" w:eastAsia="zh-CN"/>
                    </w:rPr>
                    <w:t>520</w:t>
                  </w:r>
                </w:p>
              </w:tc>
              <w:tc>
                <w:tcPr>
                  <w:tcW w:w="788" w:type="pct"/>
                  <w:shd w:val="clear" w:color="auto" w:fill="auto"/>
                  <w:noWrap w:val="0"/>
                  <w:vAlign w:val="center"/>
                </w:tcPr>
                <w:p w14:paraId="2DFB056A">
                  <w:pPr>
                    <w:pStyle w:val="1111"/>
                    <w:bidi w:val="0"/>
                    <w:rPr>
                      <w:rFonts w:hint="default"/>
                      <w:lang w:val="en-US" w:eastAsia="zh-CN"/>
                    </w:rPr>
                  </w:pPr>
                  <w:r>
                    <w:t>非甲烷总烃</w:t>
                  </w:r>
                  <w:r>
                    <w:rPr>
                      <w:rFonts w:hint="eastAsia"/>
                      <w:lang w:val="en-US" w:eastAsia="zh-CN"/>
                    </w:rPr>
                    <w:t>、臭气浓度</w:t>
                  </w:r>
                </w:p>
              </w:tc>
              <w:tc>
                <w:tcPr>
                  <w:tcW w:w="899" w:type="pct"/>
                  <w:shd w:val="clear" w:color="auto" w:fill="auto"/>
                  <w:noWrap w:val="0"/>
                  <w:vAlign w:val="center"/>
                </w:tcPr>
                <w:p w14:paraId="7BEFDC4B">
                  <w:pPr>
                    <w:pStyle w:val="1111"/>
                    <w:bidi w:val="0"/>
                    <w:rPr>
                      <w:rFonts w:hint="default"/>
                      <w:lang w:val="en-US" w:eastAsia="zh-CN"/>
                    </w:rPr>
                  </w:pPr>
                  <w:r>
                    <w:t>202</w:t>
                  </w:r>
                  <w:r>
                    <w:rPr>
                      <w:rFonts w:hint="eastAsia"/>
                      <w:lang w:val="en-US" w:eastAsia="zh-CN"/>
                    </w:rPr>
                    <w:t>3</w:t>
                  </w:r>
                  <w:r>
                    <w:t>.0</w:t>
                  </w:r>
                  <w:r>
                    <w:rPr>
                      <w:rFonts w:hint="eastAsia"/>
                      <w:lang w:val="en-US" w:eastAsia="zh-CN"/>
                    </w:rPr>
                    <w:t>5</w:t>
                  </w:r>
                  <w:r>
                    <w:t>.</w:t>
                  </w:r>
                  <w:r>
                    <w:rPr>
                      <w:rFonts w:hint="eastAsia"/>
                      <w:lang w:val="en-US" w:eastAsia="zh-CN"/>
                    </w:rPr>
                    <w:t>23</w:t>
                  </w:r>
                  <w:r>
                    <w:t>至202</w:t>
                  </w:r>
                  <w:r>
                    <w:rPr>
                      <w:rFonts w:hint="eastAsia"/>
                      <w:lang w:val="en-US" w:eastAsia="zh-CN"/>
                    </w:rPr>
                    <w:t>3</w:t>
                  </w:r>
                  <w:r>
                    <w:t>.0</w:t>
                  </w:r>
                  <w:r>
                    <w:rPr>
                      <w:rFonts w:hint="eastAsia"/>
                      <w:lang w:val="en-US" w:eastAsia="zh-CN"/>
                    </w:rPr>
                    <w:t>5</w:t>
                  </w:r>
                  <w:r>
                    <w:t>.</w:t>
                  </w:r>
                  <w:r>
                    <w:rPr>
                      <w:rFonts w:hint="eastAsia"/>
                      <w:lang w:val="en-US" w:eastAsia="zh-CN"/>
                    </w:rPr>
                    <w:t>29</w:t>
                  </w:r>
                </w:p>
              </w:tc>
            </w:tr>
          </w:tbl>
          <w:p w14:paraId="2B893903">
            <w:pPr>
              <w:pStyle w:val="1111"/>
              <w:bidi w:val="0"/>
              <w:jc w:val="left"/>
            </w:pPr>
            <w:r>
              <w:t>注：以厂区东南角为坐标原点，东西向为X轴，南北向为Y轴</w:t>
            </w:r>
          </w:p>
          <w:p w14:paraId="47D530E9">
            <w:pPr>
              <w:pStyle w:val="1111"/>
              <w:bidi w:val="0"/>
            </w:pPr>
            <w:r>
              <w:t>表3-</w:t>
            </w:r>
            <w:r>
              <w:rPr>
                <w:rFonts w:hint="eastAsia"/>
                <w:lang w:val="en-US" w:eastAsia="zh-CN"/>
              </w:rPr>
              <w:t>4</w:t>
            </w:r>
            <w:r>
              <w:t xml:space="preserve"> 大气环境现状监测结果</w:t>
            </w:r>
          </w:p>
          <w:tbl>
            <w:tblPr>
              <w:tblStyle w:val="7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2"/>
              <w:gridCol w:w="1276"/>
              <w:gridCol w:w="798"/>
              <w:gridCol w:w="1385"/>
              <w:gridCol w:w="1271"/>
              <w:gridCol w:w="801"/>
              <w:gridCol w:w="620"/>
              <w:gridCol w:w="618"/>
            </w:tblGrid>
            <w:tr w14:paraId="3DC573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4" w:type="pct"/>
                  <w:shd w:val="clear" w:color="auto" w:fill="auto"/>
                  <w:noWrap w:val="0"/>
                  <w:vAlign w:val="center"/>
                </w:tcPr>
                <w:p w14:paraId="5DD8F4F7">
                  <w:pPr>
                    <w:pStyle w:val="1111"/>
                    <w:bidi w:val="0"/>
                  </w:pPr>
                  <w:r>
                    <w:t>监测点名称</w:t>
                  </w:r>
                </w:p>
              </w:tc>
              <w:tc>
                <w:tcPr>
                  <w:tcW w:w="811" w:type="pct"/>
                  <w:shd w:val="clear" w:color="auto" w:fill="auto"/>
                  <w:noWrap w:val="0"/>
                  <w:vAlign w:val="center"/>
                </w:tcPr>
                <w:p w14:paraId="01DB264D">
                  <w:pPr>
                    <w:pStyle w:val="1111"/>
                    <w:bidi w:val="0"/>
                  </w:pPr>
                  <w:r>
                    <w:t>监测因子</w:t>
                  </w:r>
                </w:p>
              </w:tc>
              <w:tc>
                <w:tcPr>
                  <w:tcW w:w="507" w:type="pct"/>
                  <w:shd w:val="clear" w:color="auto" w:fill="auto"/>
                  <w:noWrap w:val="0"/>
                  <w:vAlign w:val="center"/>
                </w:tcPr>
                <w:p w14:paraId="6223F1F7">
                  <w:pPr>
                    <w:pStyle w:val="1111"/>
                    <w:bidi w:val="0"/>
                  </w:pPr>
                  <w:r>
                    <w:t>平均时间</w:t>
                  </w:r>
                </w:p>
              </w:tc>
              <w:tc>
                <w:tcPr>
                  <w:tcW w:w="880" w:type="pct"/>
                  <w:shd w:val="clear" w:color="auto" w:fill="auto"/>
                  <w:noWrap w:val="0"/>
                  <w:vAlign w:val="center"/>
                </w:tcPr>
                <w:p w14:paraId="2674412D">
                  <w:pPr>
                    <w:pStyle w:val="1111"/>
                    <w:bidi w:val="0"/>
                  </w:pPr>
                  <w:r>
                    <w:t>评价标准（mg/Nm</w:t>
                  </w:r>
                  <w:r>
                    <w:rPr>
                      <w:vertAlign w:val="superscript"/>
                    </w:rPr>
                    <w:t>3</w:t>
                  </w:r>
                  <w:r>
                    <w:t>）</w:t>
                  </w:r>
                </w:p>
              </w:tc>
              <w:tc>
                <w:tcPr>
                  <w:tcW w:w="808" w:type="pct"/>
                  <w:shd w:val="clear" w:color="auto" w:fill="auto"/>
                  <w:noWrap w:val="0"/>
                  <w:vAlign w:val="center"/>
                </w:tcPr>
                <w:p w14:paraId="5E41A203">
                  <w:pPr>
                    <w:pStyle w:val="1111"/>
                    <w:bidi w:val="0"/>
                  </w:pPr>
                  <w:r>
                    <w:t>浓度范围（mg/m</w:t>
                  </w:r>
                  <w:r>
                    <w:rPr>
                      <w:vertAlign w:val="superscript"/>
                    </w:rPr>
                    <w:t>3</w:t>
                  </w:r>
                  <w:r>
                    <w:t>）</w:t>
                  </w:r>
                </w:p>
              </w:tc>
              <w:tc>
                <w:tcPr>
                  <w:tcW w:w="509" w:type="pct"/>
                  <w:shd w:val="clear" w:color="auto" w:fill="auto"/>
                  <w:noWrap w:val="0"/>
                  <w:vAlign w:val="center"/>
                </w:tcPr>
                <w:p w14:paraId="0BB4DAC6">
                  <w:pPr>
                    <w:pStyle w:val="1111"/>
                    <w:bidi w:val="0"/>
                  </w:pPr>
                  <w:r>
                    <w:t>最大浓度占标率/%</w:t>
                  </w:r>
                </w:p>
              </w:tc>
              <w:tc>
                <w:tcPr>
                  <w:tcW w:w="394" w:type="pct"/>
                  <w:shd w:val="clear" w:color="auto" w:fill="auto"/>
                  <w:noWrap w:val="0"/>
                  <w:vAlign w:val="center"/>
                </w:tcPr>
                <w:p w14:paraId="71CBA813">
                  <w:pPr>
                    <w:pStyle w:val="1111"/>
                    <w:bidi w:val="0"/>
                  </w:pPr>
                  <w:r>
                    <w:t>超标率/%</w:t>
                  </w:r>
                </w:p>
              </w:tc>
              <w:tc>
                <w:tcPr>
                  <w:tcW w:w="393" w:type="pct"/>
                  <w:shd w:val="clear" w:color="auto" w:fill="auto"/>
                  <w:noWrap w:val="0"/>
                  <w:vAlign w:val="center"/>
                </w:tcPr>
                <w:p w14:paraId="4E21FADC">
                  <w:pPr>
                    <w:pStyle w:val="1111"/>
                    <w:bidi w:val="0"/>
                  </w:pPr>
                  <w:r>
                    <w:t>达标情况</w:t>
                  </w:r>
                </w:p>
              </w:tc>
            </w:tr>
            <w:tr w14:paraId="49DECE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4" w:type="pct"/>
                  <w:vMerge w:val="restart"/>
                  <w:shd w:val="clear" w:color="auto" w:fill="auto"/>
                  <w:noWrap w:val="0"/>
                  <w:vAlign w:val="center"/>
                </w:tcPr>
                <w:p w14:paraId="28B3B91F">
                  <w:pPr>
                    <w:pStyle w:val="1111"/>
                    <w:bidi w:val="0"/>
                  </w:pPr>
                  <w:r>
                    <w:rPr>
                      <w:rFonts w:hint="eastAsia"/>
                      <w:lang w:eastAsia="zh-CN"/>
                    </w:rPr>
                    <w:t>连云港润众制药有限公司</w:t>
                  </w:r>
                </w:p>
              </w:tc>
              <w:tc>
                <w:tcPr>
                  <w:tcW w:w="811" w:type="pct"/>
                  <w:shd w:val="clear" w:color="auto" w:fill="auto"/>
                  <w:noWrap w:val="0"/>
                  <w:vAlign w:val="center"/>
                </w:tcPr>
                <w:p w14:paraId="1FAA009E">
                  <w:pPr>
                    <w:pStyle w:val="1111"/>
                    <w:bidi w:val="0"/>
                  </w:pPr>
                  <w:r>
                    <w:t>非甲烷总烃</w:t>
                  </w:r>
                </w:p>
              </w:tc>
              <w:tc>
                <w:tcPr>
                  <w:tcW w:w="507" w:type="pct"/>
                  <w:vMerge w:val="restart"/>
                  <w:shd w:val="clear" w:color="auto" w:fill="auto"/>
                  <w:noWrap w:val="0"/>
                  <w:vAlign w:val="center"/>
                </w:tcPr>
                <w:p w14:paraId="0C177B76">
                  <w:pPr>
                    <w:pStyle w:val="1111"/>
                    <w:bidi w:val="0"/>
                  </w:pPr>
                  <w:r>
                    <w:t>小时平均</w:t>
                  </w:r>
                </w:p>
              </w:tc>
              <w:tc>
                <w:tcPr>
                  <w:tcW w:w="880" w:type="pct"/>
                  <w:shd w:val="clear" w:color="auto" w:fill="auto"/>
                  <w:noWrap w:val="0"/>
                  <w:vAlign w:val="center"/>
                </w:tcPr>
                <w:p w14:paraId="675B438B">
                  <w:pPr>
                    <w:pStyle w:val="1111"/>
                    <w:bidi w:val="0"/>
                  </w:pPr>
                  <w:r>
                    <w:t>2.0</w:t>
                  </w:r>
                </w:p>
              </w:tc>
              <w:tc>
                <w:tcPr>
                  <w:tcW w:w="808" w:type="pct"/>
                  <w:shd w:val="clear" w:color="auto" w:fill="auto"/>
                  <w:noWrap w:val="0"/>
                  <w:vAlign w:val="center"/>
                </w:tcPr>
                <w:p w14:paraId="5D5B2718">
                  <w:pPr>
                    <w:pStyle w:val="1111"/>
                    <w:bidi w:val="0"/>
                    <w:rPr>
                      <w:rFonts w:hint="default" w:eastAsia="宋体"/>
                      <w:lang w:val="en-US" w:eastAsia="zh-CN"/>
                    </w:rPr>
                  </w:pPr>
                  <w:r>
                    <w:t>0.1</w:t>
                  </w:r>
                  <w:r>
                    <w:rPr>
                      <w:rFonts w:hint="eastAsia"/>
                      <w:lang w:val="en-US" w:eastAsia="zh-CN"/>
                    </w:rPr>
                    <w:t>0</w:t>
                  </w:r>
                  <w:r>
                    <w:t>~0.</w:t>
                  </w:r>
                  <w:r>
                    <w:rPr>
                      <w:rFonts w:hint="eastAsia"/>
                      <w:lang w:val="en-US" w:eastAsia="zh-CN"/>
                    </w:rPr>
                    <w:t>17</w:t>
                  </w:r>
                </w:p>
              </w:tc>
              <w:tc>
                <w:tcPr>
                  <w:tcW w:w="509" w:type="pct"/>
                  <w:shd w:val="clear" w:color="auto" w:fill="auto"/>
                  <w:noWrap w:val="0"/>
                  <w:vAlign w:val="center"/>
                </w:tcPr>
                <w:p w14:paraId="51D2FD47">
                  <w:pPr>
                    <w:pStyle w:val="1111"/>
                    <w:bidi w:val="0"/>
                    <w:rPr>
                      <w:rFonts w:hint="default" w:eastAsia="宋体"/>
                      <w:lang w:val="en-US" w:eastAsia="zh-CN"/>
                    </w:rPr>
                  </w:pPr>
                  <w:r>
                    <w:rPr>
                      <w:rFonts w:hint="eastAsia"/>
                      <w:lang w:val="en-US" w:eastAsia="zh-CN"/>
                    </w:rPr>
                    <w:t>8.5</w:t>
                  </w:r>
                </w:p>
              </w:tc>
              <w:tc>
                <w:tcPr>
                  <w:tcW w:w="394" w:type="pct"/>
                  <w:shd w:val="clear" w:color="auto" w:fill="auto"/>
                  <w:noWrap w:val="0"/>
                  <w:vAlign w:val="center"/>
                </w:tcPr>
                <w:p w14:paraId="67E34996">
                  <w:pPr>
                    <w:pStyle w:val="1111"/>
                    <w:bidi w:val="0"/>
                  </w:pPr>
                  <w:r>
                    <w:t>0</w:t>
                  </w:r>
                </w:p>
              </w:tc>
              <w:tc>
                <w:tcPr>
                  <w:tcW w:w="393" w:type="pct"/>
                  <w:shd w:val="clear" w:color="auto" w:fill="auto"/>
                  <w:noWrap w:val="0"/>
                  <w:vAlign w:val="center"/>
                </w:tcPr>
                <w:p w14:paraId="36705E6D">
                  <w:pPr>
                    <w:pStyle w:val="1111"/>
                    <w:bidi w:val="0"/>
                  </w:pPr>
                  <w:r>
                    <w:t>达标</w:t>
                  </w:r>
                </w:p>
              </w:tc>
            </w:tr>
            <w:tr w14:paraId="48B142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4" w:type="pct"/>
                  <w:vMerge w:val="continue"/>
                  <w:shd w:val="clear" w:color="auto" w:fill="auto"/>
                  <w:noWrap w:val="0"/>
                  <w:vAlign w:val="center"/>
                </w:tcPr>
                <w:p w14:paraId="6F2991B6">
                  <w:pPr>
                    <w:pStyle w:val="1111"/>
                    <w:bidi w:val="0"/>
                    <w:rPr>
                      <w:rFonts w:hint="eastAsia"/>
                      <w:lang w:eastAsia="zh-CN"/>
                    </w:rPr>
                  </w:pPr>
                </w:p>
              </w:tc>
              <w:tc>
                <w:tcPr>
                  <w:tcW w:w="811" w:type="pct"/>
                  <w:shd w:val="clear" w:color="auto" w:fill="auto"/>
                  <w:noWrap w:val="0"/>
                  <w:vAlign w:val="center"/>
                </w:tcPr>
                <w:p w14:paraId="1EAAEF3A">
                  <w:pPr>
                    <w:pStyle w:val="1111"/>
                    <w:bidi w:val="0"/>
                    <w:rPr>
                      <w:rFonts w:hint="eastAsia" w:eastAsia="宋体"/>
                      <w:lang w:eastAsia="zh-CN"/>
                    </w:rPr>
                  </w:pPr>
                  <w:r>
                    <w:rPr>
                      <w:rFonts w:hint="eastAsia"/>
                      <w:lang w:eastAsia="zh-CN"/>
                    </w:rPr>
                    <w:t>臭气浓度（无量纲）</w:t>
                  </w:r>
                </w:p>
              </w:tc>
              <w:tc>
                <w:tcPr>
                  <w:tcW w:w="507" w:type="pct"/>
                  <w:vMerge w:val="continue"/>
                  <w:shd w:val="clear" w:color="auto" w:fill="auto"/>
                  <w:noWrap w:val="0"/>
                  <w:vAlign w:val="center"/>
                </w:tcPr>
                <w:p w14:paraId="365D125F">
                  <w:pPr>
                    <w:pStyle w:val="1111"/>
                    <w:bidi w:val="0"/>
                  </w:pPr>
                </w:p>
              </w:tc>
              <w:tc>
                <w:tcPr>
                  <w:tcW w:w="880" w:type="pct"/>
                  <w:shd w:val="clear" w:color="auto" w:fill="auto"/>
                  <w:noWrap w:val="0"/>
                  <w:vAlign w:val="center"/>
                </w:tcPr>
                <w:p w14:paraId="643C0F17">
                  <w:pPr>
                    <w:pStyle w:val="1111"/>
                    <w:bidi w:val="0"/>
                    <w:rPr>
                      <w:rFonts w:hint="default" w:eastAsia="宋体"/>
                      <w:lang w:val="en-US" w:eastAsia="zh-CN"/>
                    </w:rPr>
                  </w:pPr>
                  <w:r>
                    <w:rPr>
                      <w:rFonts w:hint="eastAsia"/>
                      <w:lang w:val="en-US" w:eastAsia="zh-CN"/>
                    </w:rPr>
                    <w:t>20</w:t>
                  </w:r>
                </w:p>
              </w:tc>
              <w:tc>
                <w:tcPr>
                  <w:tcW w:w="808" w:type="pct"/>
                  <w:shd w:val="clear" w:color="auto" w:fill="auto"/>
                  <w:noWrap w:val="0"/>
                  <w:vAlign w:val="center"/>
                </w:tcPr>
                <w:p w14:paraId="0CBBB42A">
                  <w:pPr>
                    <w:pStyle w:val="1111"/>
                    <w:bidi w:val="0"/>
                  </w:pPr>
                  <w:r>
                    <w:rPr>
                      <w:rFonts w:hint="eastAsia"/>
                      <w:lang w:val="en-US" w:eastAsia="zh-CN"/>
                    </w:rPr>
                    <w:t>ND</w:t>
                  </w:r>
                </w:p>
              </w:tc>
              <w:tc>
                <w:tcPr>
                  <w:tcW w:w="509" w:type="pct"/>
                  <w:shd w:val="clear" w:color="auto" w:fill="auto"/>
                  <w:noWrap w:val="0"/>
                  <w:vAlign w:val="center"/>
                </w:tcPr>
                <w:p w14:paraId="5245DFB8">
                  <w:pPr>
                    <w:pStyle w:val="1111"/>
                    <w:bidi w:val="0"/>
                  </w:pPr>
                  <w:r>
                    <w:rPr>
                      <w:rFonts w:hint="eastAsia"/>
                      <w:lang w:val="en-US" w:eastAsia="zh-CN"/>
                    </w:rPr>
                    <w:t>-</w:t>
                  </w:r>
                </w:p>
              </w:tc>
              <w:tc>
                <w:tcPr>
                  <w:tcW w:w="394" w:type="pct"/>
                  <w:shd w:val="clear" w:color="auto" w:fill="auto"/>
                  <w:noWrap w:val="0"/>
                  <w:vAlign w:val="center"/>
                </w:tcPr>
                <w:p w14:paraId="41E3DCCE">
                  <w:pPr>
                    <w:pStyle w:val="1111"/>
                    <w:bidi w:val="0"/>
                  </w:pPr>
                  <w:r>
                    <w:rPr>
                      <w:rFonts w:hint="eastAsia"/>
                      <w:lang w:val="en-US" w:eastAsia="zh-CN"/>
                    </w:rPr>
                    <w:t>-</w:t>
                  </w:r>
                </w:p>
              </w:tc>
              <w:tc>
                <w:tcPr>
                  <w:tcW w:w="393" w:type="pct"/>
                  <w:shd w:val="clear" w:color="auto" w:fill="auto"/>
                  <w:noWrap w:val="0"/>
                  <w:vAlign w:val="center"/>
                </w:tcPr>
                <w:p w14:paraId="40D485AD">
                  <w:pPr>
                    <w:pStyle w:val="1111"/>
                    <w:bidi w:val="0"/>
                  </w:pPr>
                  <w:r>
                    <w:rPr>
                      <w:rFonts w:hint="eastAsia"/>
                      <w:lang w:val="en-US" w:eastAsia="zh-CN"/>
                    </w:rPr>
                    <w:t>-</w:t>
                  </w:r>
                </w:p>
              </w:tc>
            </w:tr>
          </w:tbl>
          <w:p w14:paraId="0A9E0A6D">
            <w:pPr>
              <w:pStyle w:val="512"/>
            </w:pPr>
            <w:r>
              <w:rPr>
                <w:rFonts w:hint="eastAsia"/>
              </w:rPr>
              <w:t>从引用的现有监测数据来看，</w:t>
            </w:r>
            <w:r>
              <w:t>评价区监测点的非甲烷总烃现状浓度满足《大气污染物综合排放标准详解》</w:t>
            </w:r>
            <w:r>
              <w:rPr>
                <w:rFonts w:hint="eastAsia"/>
              </w:rPr>
              <w:t>（G</w:t>
            </w:r>
            <w:r>
              <w:t>B16927-1996</w:t>
            </w:r>
            <w:r>
              <w:rPr>
                <w:rFonts w:hint="eastAsia"/>
              </w:rPr>
              <w:t>）</w:t>
            </w:r>
            <w:r>
              <w:t>P244推荐值</w:t>
            </w:r>
            <w:r>
              <w:rPr>
                <w:rFonts w:hint="eastAsia"/>
                <w:lang w:eastAsia="zh-CN"/>
              </w:rPr>
              <w:t>，</w:t>
            </w:r>
            <w:r>
              <w:rPr>
                <w:rFonts w:hint="eastAsia"/>
                <w:lang w:val="en-US" w:eastAsia="zh-CN"/>
              </w:rPr>
              <w:t>臭气浓度未检出</w:t>
            </w:r>
            <w:r>
              <w:t>。</w:t>
            </w:r>
          </w:p>
          <w:p w14:paraId="27C37DD7">
            <w:pPr>
              <w:pStyle w:val="512"/>
              <w:bidi w:val="0"/>
            </w:pPr>
            <w:r>
              <w:rPr>
                <w:rFonts w:hint="eastAsia"/>
              </w:rPr>
              <w:t>2、水环境质量状况</w:t>
            </w:r>
          </w:p>
          <w:p w14:paraId="6D2B0A4A">
            <w:pPr>
              <w:pStyle w:val="512"/>
              <w:bidi w:val="0"/>
            </w:pPr>
            <w:r>
              <w:rPr>
                <w:rFonts w:hint="eastAsia"/>
              </w:rPr>
              <w:t>项目</w:t>
            </w:r>
            <w:r>
              <w:t>附近河流主要为开泰</w:t>
            </w:r>
            <w:r>
              <w:rPr>
                <w:rFonts w:hint="eastAsia"/>
              </w:rPr>
              <w:t>河</w:t>
            </w:r>
            <w:r>
              <w:t>，纳污水体为大浦河排污通道。</w:t>
            </w:r>
            <w:r>
              <w:rPr>
                <w:rFonts w:hint="eastAsia"/>
              </w:rPr>
              <w:t>根据《江苏省地表水（环境）功能区划（2</w:t>
            </w:r>
            <w:r>
              <w:t>021-2030</w:t>
            </w:r>
            <w:r>
              <w:rPr>
                <w:rFonts w:hint="eastAsia"/>
              </w:rPr>
              <w:t>年）》，大浦河执行《地表水环境质量标准》（G</w:t>
            </w:r>
            <w:r>
              <w:t>B3838-2002</w:t>
            </w:r>
            <w:r>
              <w:rPr>
                <w:rFonts w:hint="eastAsia"/>
              </w:rPr>
              <w:t>）Ⅲ类标准，开泰河执行《地表水环境质量标准》（G</w:t>
            </w:r>
            <w:r>
              <w:t>B3838-2002</w:t>
            </w:r>
            <w:r>
              <w:rPr>
                <w:rFonts w:hint="eastAsia"/>
              </w:rPr>
              <w:t>）</w:t>
            </w:r>
            <w:r>
              <w:rPr>
                <w:rFonts w:hint="eastAsia" w:ascii="宋体" w:hAnsi="宋体"/>
              </w:rPr>
              <w:t>Ⅳ</w:t>
            </w:r>
            <w:r>
              <w:rPr>
                <w:rFonts w:hint="eastAsia"/>
              </w:rPr>
              <w:t>类标准。</w:t>
            </w:r>
            <w:r>
              <w:t>为了解项目周边地表水环境状况，本项目引用《连云港杰瑞药业有限公司DMT寡核苷酸等4个原料药与制剂技改项目环境影响报告书》地表水检测数据</w:t>
            </w:r>
            <w:r>
              <w:rPr>
                <w:rFonts w:hint="eastAsia"/>
                <w:lang w:eastAsia="zh-CN"/>
              </w:rPr>
              <w:t>和</w:t>
            </w:r>
            <w:r>
              <w:t>江苏国正检测有限公司出具的《连云港润众制药有限公司生物工程药物研发、生产基地建设二期技改项目环境质量现状监测检测报告》（检测报告编号为RP-20230118-001）</w:t>
            </w:r>
            <w:r>
              <w:rPr>
                <w:rFonts w:hint="eastAsia"/>
              </w:rPr>
              <w:t>对</w:t>
            </w:r>
            <w:r>
              <w:t>大浦河排污通道的监测数据。具体见表3-</w:t>
            </w:r>
            <w:r>
              <w:rPr>
                <w:rFonts w:hint="eastAsia"/>
                <w:lang w:val="en-US" w:eastAsia="zh-CN"/>
              </w:rPr>
              <w:t>5</w:t>
            </w:r>
            <w:r>
              <w:t>与表3-</w:t>
            </w:r>
            <w:r>
              <w:rPr>
                <w:rFonts w:hint="eastAsia"/>
                <w:lang w:val="en-US" w:eastAsia="zh-CN"/>
              </w:rPr>
              <w:t>7</w:t>
            </w:r>
            <w:r>
              <w:t>。</w:t>
            </w:r>
          </w:p>
          <w:p w14:paraId="54A7717D">
            <w:pPr>
              <w:pStyle w:val="1111"/>
            </w:pPr>
            <w:r>
              <w:rPr>
                <w:rFonts w:hint="eastAsia"/>
              </w:rPr>
              <w:t>表3</w:t>
            </w:r>
            <w:r>
              <w:t>-</w:t>
            </w:r>
            <w:r>
              <w:rPr>
                <w:rFonts w:hint="eastAsia"/>
                <w:lang w:val="en-US" w:eastAsia="zh-CN"/>
              </w:rPr>
              <w:t>5</w:t>
            </w:r>
            <w:r>
              <w:t xml:space="preserve"> </w:t>
            </w:r>
            <w:r>
              <w:rPr>
                <w:rFonts w:hint="eastAsia"/>
              </w:rPr>
              <w:t>开泰河监测数据（mg/L，pH除外）</w:t>
            </w:r>
          </w:p>
          <w:tbl>
            <w:tblPr>
              <w:tblStyle w:val="7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3"/>
              <w:gridCol w:w="872"/>
              <w:gridCol w:w="1773"/>
              <w:gridCol w:w="1603"/>
              <w:gridCol w:w="1457"/>
              <w:gridCol w:w="1276"/>
            </w:tblGrid>
            <w:tr w14:paraId="50A174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562" w:type="pct"/>
                  <w:vAlign w:val="center"/>
                </w:tcPr>
                <w:p w14:paraId="73E0D42F">
                  <w:pPr>
                    <w:pStyle w:val="1111"/>
                  </w:pPr>
                  <w:r>
                    <w:t>序号</w:t>
                  </w:r>
                </w:p>
              </w:tc>
              <w:tc>
                <w:tcPr>
                  <w:tcW w:w="554" w:type="pct"/>
                  <w:vAlign w:val="center"/>
                </w:tcPr>
                <w:p w14:paraId="0FDC2F7D">
                  <w:pPr>
                    <w:pStyle w:val="1111"/>
                  </w:pPr>
                  <w:r>
                    <w:t>断面</w:t>
                  </w:r>
                </w:p>
              </w:tc>
              <w:tc>
                <w:tcPr>
                  <w:tcW w:w="1127" w:type="pct"/>
                  <w:vAlign w:val="center"/>
                </w:tcPr>
                <w:p w14:paraId="1194E80F">
                  <w:pPr>
                    <w:pStyle w:val="1111"/>
                  </w:pPr>
                  <w:r>
                    <w:t>污染物名称</w:t>
                  </w:r>
                </w:p>
              </w:tc>
              <w:tc>
                <w:tcPr>
                  <w:tcW w:w="1019" w:type="pct"/>
                  <w:vAlign w:val="center"/>
                </w:tcPr>
                <w:p w14:paraId="696CABB6">
                  <w:pPr>
                    <w:pStyle w:val="1111"/>
                  </w:pPr>
                  <w:r>
                    <w:t>浓度范围</w:t>
                  </w:r>
                </w:p>
              </w:tc>
              <w:tc>
                <w:tcPr>
                  <w:tcW w:w="926" w:type="pct"/>
                </w:tcPr>
                <w:p w14:paraId="0C613FB4">
                  <w:pPr>
                    <w:pStyle w:val="1111"/>
                  </w:pPr>
                  <w:r>
                    <w:rPr>
                      <w:rFonts w:hint="eastAsia"/>
                    </w:rPr>
                    <w:t>平均值</w:t>
                  </w:r>
                </w:p>
              </w:tc>
              <w:tc>
                <w:tcPr>
                  <w:tcW w:w="811" w:type="pct"/>
                  <w:vAlign w:val="center"/>
                </w:tcPr>
                <w:p w14:paraId="1EE948D0">
                  <w:pPr>
                    <w:pStyle w:val="1111"/>
                  </w:pPr>
                  <w:r>
                    <w:rPr>
                      <w:rFonts w:hint="eastAsia"/>
                    </w:rPr>
                    <w:t>超标率</w:t>
                  </w:r>
                </w:p>
              </w:tc>
            </w:tr>
            <w:tr w14:paraId="560EB3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2" w:type="pct"/>
                  <w:vMerge w:val="restart"/>
                  <w:vAlign w:val="center"/>
                </w:tcPr>
                <w:p w14:paraId="6B09147A">
                  <w:pPr>
                    <w:pStyle w:val="1111"/>
                  </w:pPr>
                  <w:r>
                    <w:t>W</w:t>
                  </w:r>
                  <w:r>
                    <w:rPr>
                      <w:vertAlign w:val="subscript"/>
                    </w:rPr>
                    <w:t>4</w:t>
                  </w:r>
                </w:p>
              </w:tc>
              <w:tc>
                <w:tcPr>
                  <w:tcW w:w="554" w:type="pct"/>
                  <w:vMerge w:val="restart"/>
                  <w:vAlign w:val="center"/>
                </w:tcPr>
                <w:p w14:paraId="0EE59E3E">
                  <w:pPr>
                    <w:pStyle w:val="1111"/>
                  </w:pPr>
                  <w:r>
                    <w:rPr>
                      <w:rFonts w:hint="eastAsia"/>
                    </w:rPr>
                    <w:t>开泰河</w:t>
                  </w:r>
                </w:p>
              </w:tc>
              <w:tc>
                <w:tcPr>
                  <w:tcW w:w="1127" w:type="pct"/>
                  <w:vAlign w:val="center"/>
                </w:tcPr>
                <w:p w14:paraId="58ECA5BC">
                  <w:pPr>
                    <w:pStyle w:val="1111"/>
                  </w:pPr>
                  <w:r>
                    <w:t>pH</w:t>
                  </w:r>
                </w:p>
              </w:tc>
              <w:tc>
                <w:tcPr>
                  <w:tcW w:w="1019" w:type="pct"/>
                  <w:vAlign w:val="center"/>
                </w:tcPr>
                <w:p w14:paraId="11B6776F">
                  <w:pPr>
                    <w:pStyle w:val="1111"/>
                  </w:pPr>
                  <w:r>
                    <w:t>8.2~8.4</w:t>
                  </w:r>
                </w:p>
              </w:tc>
              <w:tc>
                <w:tcPr>
                  <w:tcW w:w="926" w:type="pct"/>
                </w:tcPr>
                <w:p w14:paraId="51179420">
                  <w:pPr>
                    <w:pStyle w:val="1111"/>
                  </w:pPr>
                  <w:r>
                    <w:t>8.27</w:t>
                  </w:r>
                </w:p>
              </w:tc>
              <w:tc>
                <w:tcPr>
                  <w:tcW w:w="811" w:type="pct"/>
                  <w:vAlign w:val="center"/>
                </w:tcPr>
                <w:p w14:paraId="35036105">
                  <w:pPr>
                    <w:pStyle w:val="1111"/>
                  </w:pPr>
                  <w:r>
                    <w:t>0</w:t>
                  </w:r>
                </w:p>
              </w:tc>
            </w:tr>
            <w:tr w14:paraId="1B55B8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2" w:type="pct"/>
                  <w:vMerge w:val="continue"/>
                  <w:vAlign w:val="center"/>
                </w:tcPr>
                <w:p w14:paraId="2C3BC0F3">
                  <w:pPr>
                    <w:pStyle w:val="1111"/>
                  </w:pPr>
                </w:p>
              </w:tc>
              <w:tc>
                <w:tcPr>
                  <w:tcW w:w="554" w:type="pct"/>
                  <w:vMerge w:val="continue"/>
                  <w:vAlign w:val="center"/>
                </w:tcPr>
                <w:p w14:paraId="1075F82A">
                  <w:pPr>
                    <w:pStyle w:val="1111"/>
                  </w:pPr>
                </w:p>
              </w:tc>
              <w:tc>
                <w:tcPr>
                  <w:tcW w:w="1127" w:type="pct"/>
                  <w:vAlign w:val="center"/>
                </w:tcPr>
                <w:p w14:paraId="2AAB1022">
                  <w:pPr>
                    <w:pStyle w:val="1111"/>
                  </w:pPr>
                  <w:r>
                    <w:rPr>
                      <w:rFonts w:hint="eastAsia"/>
                    </w:rPr>
                    <w:t>高锰酸盐指数</w:t>
                  </w:r>
                </w:p>
              </w:tc>
              <w:tc>
                <w:tcPr>
                  <w:tcW w:w="1019" w:type="pct"/>
                  <w:vAlign w:val="center"/>
                </w:tcPr>
                <w:p w14:paraId="444AAECE">
                  <w:pPr>
                    <w:pStyle w:val="1111"/>
                  </w:pPr>
                  <w:r>
                    <w:rPr>
                      <w:rFonts w:hint="eastAsia"/>
                    </w:rPr>
                    <w:t>7</w:t>
                  </w:r>
                  <w:r>
                    <w:t>.1~9</w:t>
                  </w:r>
                </w:p>
              </w:tc>
              <w:tc>
                <w:tcPr>
                  <w:tcW w:w="926" w:type="pct"/>
                </w:tcPr>
                <w:p w14:paraId="3724C6BA">
                  <w:pPr>
                    <w:pStyle w:val="1111"/>
                  </w:pPr>
                  <w:r>
                    <w:rPr>
                      <w:rFonts w:hint="eastAsia"/>
                    </w:rPr>
                    <w:t>8</w:t>
                  </w:r>
                  <w:r>
                    <w:t>.25</w:t>
                  </w:r>
                </w:p>
              </w:tc>
              <w:tc>
                <w:tcPr>
                  <w:tcW w:w="811" w:type="pct"/>
                  <w:vAlign w:val="center"/>
                </w:tcPr>
                <w:p w14:paraId="1701BA4F">
                  <w:pPr>
                    <w:pStyle w:val="1111"/>
                  </w:pPr>
                  <w:r>
                    <w:rPr>
                      <w:rFonts w:hint="eastAsia"/>
                    </w:rPr>
                    <w:t>0</w:t>
                  </w:r>
                </w:p>
              </w:tc>
            </w:tr>
            <w:tr w14:paraId="3B2CD3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2" w:type="pct"/>
                  <w:vMerge w:val="continue"/>
                  <w:vAlign w:val="center"/>
                </w:tcPr>
                <w:p w14:paraId="50D24AFF">
                  <w:pPr>
                    <w:pStyle w:val="1111"/>
                  </w:pPr>
                </w:p>
              </w:tc>
              <w:tc>
                <w:tcPr>
                  <w:tcW w:w="554" w:type="pct"/>
                  <w:vMerge w:val="continue"/>
                  <w:vAlign w:val="center"/>
                </w:tcPr>
                <w:p w14:paraId="49E4452D">
                  <w:pPr>
                    <w:pStyle w:val="1111"/>
                  </w:pPr>
                </w:p>
              </w:tc>
              <w:tc>
                <w:tcPr>
                  <w:tcW w:w="1127" w:type="pct"/>
                  <w:vAlign w:val="center"/>
                </w:tcPr>
                <w:p w14:paraId="00D6DE86">
                  <w:pPr>
                    <w:pStyle w:val="1111"/>
                  </w:pPr>
                  <w:r>
                    <w:t>化学需氧量</w:t>
                  </w:r>
                </w:p>
              </w:tc>
              <w:tc>
                <w:tcPr>
                  <w:tcW w:w="1019" w:type="pct"/>
                  <w:vAlign w:val="center"/>
                </w:tcPr>
                <w:p w14:paraId="1EB23804">
                  <w:pPr>
                    <w:pStyle w:val="1111"/>
                  </w:pPr>
                  <w:r>
                    <w:t>30~33</w:t>
                  </w:r>
                </w:p>
              </w:tc>
              <w:tc>
                <w:tcPr>
                  <w:tcW w:w="926" w:type="pct"/>
                </w:tcPr>
                <w:p w14:paraId="38A2B1E1">
                  <w:pPr>
                    <w:pStyle w:val="1111"/>
                  </w:pPr>
                  <w:r>
                    <w:rPr>
                      <w:rFonts w:hint="eastAsia"/>
                    </w:rPr>
                    <w:t>3</w:t>
                  </w:r>
                  <w:r>
                    <w:t>1.17</w:t>
                  </w:r>
                </w:p>
              </w:tc>
              <w:tc>
                <w:tcPr>
                  <w:tcW w:w="811" w:type="pct"/>
                  <w:vAlign w:val="center"/>
                </w:tcPr>
                <w:p w14:paraId="74AE6161">
                  <w:pPr>
                    <w:pStyle w:val="1111"/>
                  </w:pPr>
                  <w:r>
                    <w:t>66.7</w:t>
                  </w:r>
                </w:p>
              </w:tc>
            </w:tr>
            <w:tr w14:paraId="642694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2" w:type="pct"/>
                  <w:vMerge w:val="continue"/>
                  <w:vAlign w:val="center"/>
                </w:tcPr>
                <w:p w14:paraId="770A5FE6">
                  <w:pPr>
                    <w:pStyle w:val="1111"/>
                  </w:pPr>
                </w:p>
              </w:tc>
              <w:tc>
                <w:tcPr>
                  <w:tcW w:w="554" w:type="pct"/>
                  <w:vMerge w:val="continue"/>
                  <w:vAlign w:val="center"/>
                </w:tcPr>
                <w:p w14:paraId="776BEE76">
                  <w:pPr>
                    <w:pStyle w:val="1111"/>
                  </w:pPr>
                </w:p>
              </w:tc>
              <w:tc>
                <w:tcPr>
                  <w:tcW w:w="1127" w:type="pct"/>
                  <w:vAlign w:val="center"/>
                </w:tcPr>
                <w:p w14:paraId="704F0FE5">
                  <w:pPr>
                    <w:pStyle w:val="1111"/>
                  </w:pPr>
                  <w:r>
                    <w:t>氨氮</w:t>
                  </w:r>
                </w:p>
              </w:tc>
              <w:tc>
                <w:tcPr>
                  <w:tcW w:w="1019" w:type="pct"/>
                  <w:vAlign w:val="center"/>
                </w:tcPr>
                <w:p w14:paraId="472FF7E7">
                  <w:pPr>
                    <w:pStyle w:val="1111"/>
                  </w:pPr>
                  <w:r>
                    <w:t>0.049~0.101</w:t>
                  </w:r>
                </w:p>
              </w:tc>
              <w:tc>
                <w:tcPr>
                  <w:tcW w:w="926" w:type="pct"/>
                </w:tcPr>
                <w:p w14:paraId="4602318A">
                  <w:pPr>
                    <w:pStyle w:val="1111"/>
                  </w:pPr>
                  <w:r>
                    <w:rPr>
                      <w:rFonts w:hint="eastAsia"/>
                    </w:rPr>
                    <w:t>0</w:t>
                  </w:r>
                  <w:r>
                    <w:t>.08</w:t>
                  </w:r>
                </w:p>
              </w:tc>
              <w:tc>
                <w:tcPr>
                  <w:tcW w:w="811" w:type="pct"/>
                  <w:vAlign w:val="center"/>
                </w:tcPr>
                <w:p w14:paraId="4B90DF64">
                  <w:pPr>
                    <w:pStyle w:val="1111"/>
                  </w:pPr>
                  <w:r>
                    <w:t>0</w:t>
                  </w:r>
                </w:p>
              </w:tc>
            </w:tr>
            <w:tr w14:paraId="32D49C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2" w:type="pct"/>
                  <w:vMerge w:val="continue"/>
                  <w:vAlign w:val="center"/>
                </w:tcPr>
                <w:p w14:paraId="468B203C">
                  <w:pPr>
                    <w:pStyle w:val="1111"/>
                  </w:pPr>
                </w:p>
              </w:tc>
              <w:tc>
                <w:tcPr>
                  <w:tcW w:w="554" w:type="pct"/>
                  <w:vMerge w:val="continue"/>
                  <w:vAlign w:val="center"/>
                </w:tcPr>
                <w:p w14:paraId="2DF5752D">
                  <w:pPr>
                    <w:pStyle w:val="1111"/>
                  </w:pPr>
                </w:p>
              </w:tc>
              <w:tc>
                <w:tcPr>
                  <w:tcW w:w="1127" w:type="pct"/>
                  <w:vAlign w:val="center"/>
                </w:tcPr>
                <w:p w14:paraId="7FAEF80C">
                  <w:pPr>
                    <w:pStyle w:val="1111"/>
                  </w:pPr>
                  <w:r>
                    <w:t>总磷</w:t>
                  </w:r>
                </w:p>
              </w:tc>
              <w:tc>
                <w:tcPr>
                  <w:tcW w:w="1019" w:type="pct"/>
                  <w:vAlign w:val="center"/>
                </w:tcPr>
                <w:p w14:paraId="0732D310">
                  <w:pPr>
                    <w:pStyle w:val="1111"/>
                  </w:pPr>
                  <w:r>
                    <w:t>0.2~0.28</w:t>
                  </w:r>
                </w:p>
              </w:tc>
              <w:tc>
                <w:tcPr>
                  <w:tcW w:w="926" w:type="pct"/>
                </w:tcPr>
                <w:p w14:paraId="4797F7D0">
                  <w:pPr>
                    <w:pStyle w:val="1111"/>
                  </w:pPr>
                  <w:r>
                    <w:rPr>
                      <w:rFonts w:hint="eastAsia"/>
                    </w:rPr>
                    <w:t>0</w:t>
                  </w:r>
                  <w:r>
                    <w:t>.24</w:t>
                  </w:r>
                </w:p>
              </w:tc>
              <w:tc>
                <w:tcPr>
                  <w:tcW w:w="811" w:type="pct"/>
                  <w:vAlign w:val="center"/>
                </w:tcPr>
                <w:p w14:paraId="676A02FC">
                  <w:pPr>
                    <w:pStyle w:val="1111"/>
                  </w:pPr>
                  <w:r>
                    <w:t>0</w:t>
                  </w:r>
                </w:p>
              </w:tc>
            </w:tr>
            <w:tr w14:paraId="14F110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2" w:type="pct"/>
                  <w:vMerge w:val="continue"/>
                  <w:vAlign w:val="center"/>
                </w:tcPr>
                <w:p w14:paraId="49A231FC">
                  <w:pPr>
                    <w:pStyle w:val="1111"/>
                  </w:pPr>
                </w:p>
              </w:tc>
              <w:tc>
                <w:tcPr>
                  <w:tcW w:w="554" w:type="pct"/>
                  <w:vMerge w:val="continue"/>
                  <w:vAlign w:val="center"/>
                </w:tcPr>
                <w:p w14:paraId="05DC592F">
                  <w:pPr>
                    <w:pStyle w:val="1111"/>
                  </w:pPr>
                </w:p>
              </w:tc>
              <w:tc>
                <w:tcPr>
                  <w:tcW w:w="1127" w:type="pct"/>
                  <w:vAlign w:val="center"/>
                </w:tcPr>
                <w:p w14:paraId="3BC8D3B5">
                  <w:pPr>
                    <w:pStyle w:val="1111"/>
                  </w:pPr>
                  <w:r>
                    <w:rPr>
                      <w:szCs w:val="21"/>
                    </w:rPr>
                    <w:t>二氯甲烷</w:t>
                  </w:r>
                </w:p>
              </w:tc>
              <w:tc>
                <w:tcPr>
                  <w:tcW w:w="1019" w:type="pct"/>
                  <w:vAlign w:val="center"/>
                </w:tcPr>
                <w:p w14:paraId="69AD619F">
                  <w:pPr>
                    <w:pStyle w:val="1111"/>
                  </w:pPr>
                  <w:r>
                    <w:rPr>
                      <w:rFonts w:hint="eastAsia"/>
                    </w:rPr>
                    <w:t>N</w:t>
                  </w:r>
                  <w:r>
                    <w:t>D</w:t>
                  </w:r>
                </w:p>
              </w:tc>
              <w:tc>
                <w:tcPr>
                  <w:tcW w:w="926" w:type="pct"/>
                </w:tcPr>
                <w:p w14:paraId="16AB2832">
                  <w:pPr>
                    <w:pStyle w:val="1111"/>
                  </w:pPr>
                  <w:r>
                    <w:rPr>
                      <w:rFonts w:hint="eastAsia"/>
                    </w:rPr>
                    <w:t>/</w:t>
                  </w:r>
                </w:p>
              </w:tc>
              <w:tc>
                <w:tcPr>
                  <w:tcW w:w="811" w:type="pct"/>
                  <w:vAlign w:val="center"/>
                </w:tcPr>
                <w:p w14:paraId="3AD6810C">
                  <w:pPr>
                    <w:pStyle w:val="1111"/>
                  </w:pPr>
                  <w:r>
                    <w:rPr>
                      <w:rFonts w:hint="eastAsia"/>
                    </w:rPr>
                    <w:t>/</w:t>
                  </w:r>
                </w:p>
              </w:tc>
            </w:tr>
            <w:tr w14:paraId="42FCCC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2" w:type="pct"/>
                  <w:vMerge w:val="continue"/>
                  <w:vAlign w:val="center"/>
                </w:tcPr>
                <w:p w14:paraId="38FB702A">
                  <w:pPr>
                    <w:pStyle w:val="1111"/>
                  </w:pPr>
                </w:p>
              </w:tc>
              <w:tc>
                <w:tcPr>
                  <w:tcW w:w="554" w:type="pct"/>
                  <w:vMerge w:val="continue"/>
                  <w:vAlign w:val="center"/>
                </w:tcPr>
                <w:p w14:paraId="6182B02F">
                  <w:pPr>
                    <w:pStyle w:val="1111"/>
                  </w:pPr>
                </w:p>
              </w:tc>
              <w:tc>
                <w:tcPr>
                  <w:tcW w:w="1127" w:type="pct"/>
                  <w:vAlign w:val="center"/>
                </w:tcPr>
                <w:p w14:paraId="6AD946E3">
                  <w:pPr>
                    <w:pStyle w:val="1111"/>
                  </w:pPr>
                  <w:r>
                    <w:rPr>
                      <w:szCs w:val="21"/>
                    </w:rPr>
                    <w:t>氯苯类</w:t>
                  </w:r>
                </w:p>
              </w:tc>
              <w:tc>
                <w:tcPr>
                  <w:tcW w:w="1019" w:type="pct"/>
                  <w:vAlign w:val="center"/>
                </w:tcPr>
                <w:p w14:paraId="2EE48B15">
                  <w:pPr>
                    <w:pStyle w:val="1111"/>
                  </w:pPr>
                  <w:r>
                    <w:rPr>
                      <w:rFonts w:hint="eastAsia"/>
                    </w:rPr>
                    <w:t>N</w:t>
                  </w:r>
                  <w:r>
                    <w:t>D</w:t>
                  </w:r>
                </w:p>
              </w:tc>
              <w:tc>
                <w:tcPr>
                  <w:tcW w:w="926" w:type="pct"/>
                </w:tcPr>
                <w:p w14:paraId="5C08F11D">
                  <w:pPr>
                    <w:pStyle w:val="1111"/>
                  </w:pPr>
                  <w:r>
                    <w:rPr>
                      <w:rFonts w:hint="eastAsia"/>
                    </w:rPr>
                    <w:t>/</w:t>
                  </w:r>
                </w:p>
              </w:tc>
              <w:tc>
                <w:tcPr>
                  <w:tcW w:w="811" w:type="pct"/>
                  <w:vAlign w:val="center"/>
                </w:tcPr>
                <w:p w14:paraId="2DF54FC6">
                  <w:pPr>
                    <w:pStyle w:val="1111"/>
                  </w:pPr>
                  <w:r>
                    <w:rPr>
                      <w:rFonts w:hint="eastAsia"/>
                    </w:rPr>
                    <w:t>/</w:t>
                  </w:r>
                </w:p>
              </w:tc>
            </w:tr>
          </w:tbl>
          <w:p w14:paraId="504E3340">
            <w:pPr>
              <w:pStyle w:val="1111"/>
              <w:bidi w:val="0"/>
            </w:pPr>
            <w:r>
              <w:t>表3-</w:t>
            </w:r>
            <w:r>
              <w:rPr>
                <w:rFonts w:hint="eastAsia"/>
                <w:lang w:val="en-US" w:eastAsia="zh-CN"/>
              </w:rPr>
              <w:t>6</w:t>
            </w:r>
            <w:r>
              <w:t xml:space="preserve"> </w:t>
            </w:r>
            <w:r>
              <w:rPr>
                <w:rFonts w:hint="eastAsia"/>
              </w:rPr>
              <w:t>大浦河</w:t>
            </w:r>
            <w:r>
              <w:t>排污通道现状监测断面布设</w:t>
            </w:r>
          </w:p>
          <w:tbl>
            <w:tblPr>
              <w:tblStyle w:val="7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8"/>
              <w:gridCol w:w="749"/>
              <w:gridCol w:w="2809"/>
              <w:gridCol w:w="1556"/>
              <w:gridCol w:w="2002"/>
            </w:tblGrid>
            <w:tr w14:paraId="172461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5" w:type="pct"/>
                  <w:shd w:val="clear" w:color="auto" w:fill="auto"/>
                  <w:noWrap w:val="0"/>
                  <w:vAlign w:val="center"/>
                </w:tcPr>
                <w:p w14:paraId="38CFB856">
                  <w:pPr>
                    <w:pStyle w:val="1111"/>
                    <w:bidi w:val="0"/>
                    <w:jc w:val="center"/>
                    <w:rPr>
                      <w:rFonts w:hint="eastAsia"/>
                    </w:rPr>
                  </w:pPr>
                  <w:r>
                    <w:rPr>
                      <w:rFonts w:hint="eastAsia"/>
                    </w:rPr>
                    <w:t>河流</w:t>
                  </w:r>
                  <w:r>
                    <w:t>名称</w:t>
                  </w:r>
                </w:p>
              </w:tc>
              <w:tc>
                <w:tcPr>
                  <w:tcW w:w="476" w:type="pct"/>
                  <w:shd w:val="clear" w:color="auto" w:fill="auto"/>
                  <w:noWrap w:val="0"/>
                  <w:vAlign w:val="center"/>
                </w:tcPr>
                <w:p w14:paraId="559ABEF0">
                  <w:pPr>
                    <w:pStyle w:val="1111"/>
                    <w:bidi w:val="0"/>
                    <w:jc w:val="center"/>
                  </w:pPr>
                  <w:r>
                    <w:t>编号</w:t>
                  </w:r>
                </w:p>
              </w:tc>
              <w:tc>
                <w:tcPr>
                  <w:tcW w:w="1785" w:type="pct"/>
                  <w:shd w:val="clear" w:color="auto" w:fill="auto"/>
                  <w:noWrap w:val="0"/>
                  <w:vAlign w:val="center"/>
                </w:tcPr>
                <w:p w14:paraId="4B64B99A">
                  <w:pPr>
                    <w:pStyle w:val="1111"/>
                    <w:bidi w:val="0"/>
                    <w:jc w:val="center"/>
                  </w:pPr>
                  <w:r>
                    <w:t>断面</w:t>
                  </w:r>
                </w:p>
              </w:tc>
              <w:tc>
                <w:tcPr>
                  <w:tcW w:w="989" w:type="pct"/>
                  <w:shd w:val="clear" w:color="auto" w:fill="auto"/>
                  <w:noWrap w:val="0"/>
                  <w:vAlign w:val="center"/>
                </w:tcPr>
                <w:p w14:paraId="2EEDCADE">
                  <w:pPr>
                    <w:pStyle w:val="1111"/>
                    <w:bidi w:val="0"/>
                    <w:jc w:val="center"/>
                  </w:pPr>
                  <w:r>
                    <w:t>监测因子</w:t>
                  </w:r>
                </w:p>
              </w:tc>
              <w:tc>
                <w:tcPr>
                  <w:tcW w:w="1272" w:type="pct"/>
                  <w:shd w:val="clear" w:color="auto" w:fill="auto"/>
                  <w:noWrap w:val="0"/>
                  <w:vAlign w:val="center"/>
                </w:tcPr>
                <w:p w14:paraId="28873E43">
                  <w:pPr>
                    <w:pStyle w:val="1111"/>
                    <w:bidi w:val="0"/>
                    <w:jc w:val="center"/>
                  </w:pPr>
                  <w:r>
                    <w:t>监测时间及频次</w:t>
                  </w:r>
                </w:p>
              </w:tc>
            </w:tr>
            <w:tr w14:paraId="6D62AE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5" w:type="pct"/>
                  <w:vMerge w:val="restart"/>
                  <w:shd w:val="clear" w:color="auto" w:fill="auto"/>
                  <w:noWrap w:val="0"/>
                  <w:vAlign w:val="center"/>
                </w:tcPr>
                <w:p w14:paraId="3E22DD13">
                  <w:pPr>
                    <w:pStyle w:val="1111"/>
                    <w:bidi w:val="0"/>
                    <w:jc w:val="center"/>
                    <w:rPr>
                      <w:rFonts w:hint="eastAsia"/>
                    </w:rPr>
                  </w:pPr>
                  <w:r>
                    <w:rPr>
                      <w:rFonts w:hint="eastAsia"/>
                    </w:rPr>
                    <w:t>大浦河</w:t>
                  </w:r>
                  <w:r>
                    <w:t>排污通道</w:t>
                  </w:r>
                </w:p>
              </w:tc>
              <w:tc>
                <w:tcPr>
                  <w:tcW w:w="476" w:type="pct"/>
                  <w:shd w:val="clear" w:color="auto" w:fill="auto"/>
                  <w:noWrap w:val="0"/>
                  <w:vAlign w:val="center"/>
                </w:tcPr>
                <w:p w14:paraId="440CCBEF">
                  <w:pPr>
                    <w:pStyle w:val="1111"/>
                    <w:bidi w:val="0"/>
                    <w:jc w:val="center"/>
                  </w:pPr>
                  <w:r>
                    <w:t>W2</w:t>
                  </w:r>
                </w:p>
              </w:tc>
              <w:tc>
                <w:tcPr>
                  <w:tcW w:w="1785" w:type="pct"/>
                  <w:shd w:val="clear" w:color="auto" w:fill="auto"/>
                  <w:noWrap w:val="0"/>
                  <w:vAlign w:val="center"/>
                </w:tcPr>
                <w:p w14:paraId="1344FAFC">
                  <w:pPr>
                    <w:pStyle w:val="1111"/>
                    <w:bidi w:val="0"/>
                    <w:jc w:val="center"/>
                  </w:pPr>
                  <w:r>
                    <w:t>开发区临港污水处理厂排污口上游500m</w:t>
                  </w:r>
                </w:p>
              </w:tc>
              <w:tc>
                <w:tcPr>
                  <w:tcW w:w="989" w:type="pct"/>
                  <w:vMerge w:val="restart"/>
                  <w:shd w:val="clear" w:color="auto" w:fill="auto"/>
                  <w:noWrap w:val="0"/>
                  <w:vAlign w:val="center"/>
                </w:tcPr>
                <w:p w14:paraId="2782CBC2">
                  <w:pPr>
                    <w:pStyle w:val="1111"/>
                    <w:bidi w:val="0"/>
                    <w:jc w:val="center"/>
                  </w:pPr>
                  <w:r>
                    <w:t>pH、COD、BOD</w:t>
                  </w:r>
                  <w:r>
                    <w:rPr>
                      <w:vertAlign w:val="subscript"/>
                    </w:rPr>
                    <w:t>5</w:t>
                  </w:r>
                  <w:r>
                    <w:t>、总磷、氨氮、总氮</w:t>
                  </w:r>
                </w:p>
              </w:tc>
              <w:tc>
                <w:tcPr>
                  <w:tcW w:w="1272" w:type="pct"/>
                  <w:vMerge w:val="restart"/>
                  <w:shd w:val="clear" w:color="auto" w:fill="auto"/>
                  <w:noWrap w:val="0"/>
                  <w:vAlign w:val="center"/>
                </w:tcPr>
                <w:p w14:paraId="0C687556">
                  <w:pPr>
                    <w:pStyle w:val="1111"/>
                    <w:bidi w:val="0"/>
                    <w:jc w:val="center"/>
                  </w:pPr>
                  <w:r>
                    <w:t>2023年1月6日~1月8日，采样时间为连续3天，每天采样二次。</w:t>
                  </w:r>
                </w:p>
              </w:tc>
            </w:tr>
            <w:tr w14:paraId="407707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5" w:type="pct"/>
                  <w:vMerge w:val="continue"/>
                  <w:shd w:val="clear" w:color="auto" w:fill="auto"/>
                  <w:noWrap w:val="0"/>
                  <w:vAlign w:val="center"/>
                </w:tcPr>
                <w:p w14:paraId="48284D71">
                  <w:pPr>
                    <w:pStyle w:val="1111"/>
                    <w:bidi w:val="0"/>
                    <w:jc w:val="center"/>
                  </w:pPr>
                </w:p>
              </w:tc>
              <w:tc>
                <w:tcPr>
                  <w:tcW w:w="476" w:type="pct"/>
                  <w:shd w:val="clear" w:color="auto" w:fill="auto"/>
                  <w:noWrap w:val="0"/>
                  <w:vAlign w:val="center"/>
                </w:tcPr>
                <w:p w14:paraId="19974D51">
                  <w:pPr>
                    <w:pStyle w:val="1111"/>
                    <w:bidi w:val="0"/>
                    <w:jc w:val="center"/>
                  </w:pPr>
                  <w:r>
                    <w:t>W3</w:t>
                  </w:r>
                </w:p>
              </w:tc>
              <w:tc>
                <w:tcPr>
                  <w:tcW w:w="1785" w:type="pct"/>
                  <w:shd w:val="clear" w:color="auto" w:fill="auto"/>
                  <w:noWrap w:val="0"/>
                  <w:vAlign w:val="center"/>
                </w:tcPr>
                <w:p w14:paraId="709459F1">
                  <w:pPr>
                    <w:pStyle w:val="1111"/>
                    <w:bidi w:val="0"/>
                    <w:jc w:val="center"/>
                  </w:pPr>
                  <w:r>
                    <w:t>开发区临港污水处理厂排污口下游500m</w:t>
                  </w:r>
                </w:p>
              </w:tc>
              <w:tc>
                <w:tcPr>
                  <w:tcW w:w="989" w:type="pct"/>
                  <w:vMerge w:val="continue"/>
                  <w:shd w:val="clear" w:color="auto" w:fill="auto"/>
                  <w:noWrap w:val="0"/>
                  <w:vAlign w:val="center"/>
                </w:tcPr>
                <w:p w14:paraId="562A0A1C">
                  <w:pPr>
                    <w:pStyle w:val="1111"/>
                    <w:bidi w:val="0"/>
                    <w:jc w:val="center"/>
                  </w:pPr>
                </w:p>
              </w:tc>
              <w:tc>
                <w:tcPr>
                  <w:tcW w:w="1272" w:type="pct"/>
                  <w:vMerge w:val="continue"/>
                  <w:shd w:val="clear" w:color="auto" w:fill="auto"/>
                  <w:noWrap w:val="0"/>
                  <w:vAlign w:val="center"/>
                </w:tcPr>
                <w:p w14:paraId="31BCCECA">
                  <w:pPr>
                    <w:pStyle w:val="1111"/>
                    <w:bidi w:val="0"/>
                    <w:jc w:val="center"/>
                  </w:pPr>
                </w:p>
              </w:tc>
            </w:tr>
            <w:tr w14:paraId="3F9537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5" w:type="pct"/>
                  <w:vMerge w:val="continue"/>
                  <w:shd w:val="clear" w:color="auto" w:fill="auto"/>
                  <w:noWrap w:val="0"/>
                  <w:vAlign w:val="center"/>
                </w:tcPr>
                <w:p w14:paraId="03A8EDFD">
                  <w:pPr>
                    <w:pStyle w:val="1111"/>
                    <w:bidi w:val="0"/>
                    <w:jc w:val="center"/>
                  </w:pPr>
                </w:p>
              </w:tc>
              <w:tc>
                <w:tcPr>
                  <w:tcW w:w="476" w:type="pct"/>
                  <w:shd w:val="clear" w:color="auto" w:fill="auto"/>
                  <w:noWrap w:val="0"/>
                  <w:vAlign w:val="center"/>
                </w:tcPr>
                <w:p w14:paraId="528B1245">
                  <w:pPr>
                    <w:pStyle w:val="1111"/>
                    <w:bidi w:val="0"/>
                    <w:jc w:val="center"/>
                  </w:pPr>
                  <w:r>
                    <w:t>W4</w:t>
                  </w:r>
                </w:p>
              </w:tc>
              <w:tc>
                <w:tcPr>
                  <w:tcW w:w="1785" w:type="pct"/>
                  <w:shd w:val="clear" w:color="auto" w:fill="auto"/>
                  <w:noWrap w:val="0"/>
                  <w:vAlign w:val="center"/>
                </w:tcPr>
                <w:p w14:paraId="2EB94D7F">
                  <w:pPr>
                    <w:pStyle w:val="1111"/>
                    <w:bidi w:val="0"/>
                    <w:jc w:val="center"/>
                  </w:pPr>
                  <w:r>
                    <w:t>开发区临港污水处理厂排污口下游1500m</w:t>
                  </w:r>
                </w:p>
              </w:tc>
              <w:tc>
                <w:tcPr>
                  <w:tcW w:w="989" w:type="pct"/>
                  <w:vMerge w:val="continue"/>
                  <w:shd w:val="clear" w:color="auto" w:fill="auto"/>
                  <w:noWrap w:val="0"/>
                  <w:vAlign w:val="center"/>
                </w:tcPr>
                <w:p w14:paraId="48740679">
                  <w:pPr>
                    <w:pStyle w:val="1111"/>
                    <w:bidi w:val="0"/>
                    <w:jc w:val="center"/>
                  </w:pPr>
                </w:p>
              </w:tc>
              <w:tc>
                <w:tcPr>
                  <w:tcW w:w="1272" w:type="pct"/>
                  <w:vMerge w:val="continue"/>
                  <w:shd w:val="clear" w:color="auto" w:fill="auto"/>
                  <w:noWrap w:val="0"/>
                  <w:vAlign w:val="center"/>
                </w:tcPr>
                <w:p w14:paraId="7FD94AD8">
                  <w:pPr>
                    <w:pStyle w:val="1111"/>
                    <w:bidi w:val="0"/>
                    <w:jc w:val="center"/>
                  </w:pPr>
                </w:p>
              </w:tc>
            </w:tr>
          </w:tbl>
          <w:p w14:paraId="305F1453">
            <w:pPr>
              <w:pStyle w:val="1111"/>
              <w:bidi w:val="0"/>
            </w:pPr>
            <w:r>
              <w:rPr>
                <w:rFonts w:hint="eastAsia"/>
                <w:lang w:eastAsia="zh-CN"/>
              </w:rPr>
              <w:t>表</w:t>
            </w:r>
            <w:r>
              <w:t>3-</w:t>
            </w:r>
            <w:r>
              <w:rPr>
                <w:rFonts w:hint="eastAsia"/>
                <w:lang w:val="en-US" w:eastAsia="zh-CN"/>
              </w:rPr>
              <w:t>7</w:t>
            </w:r>
            <w:r>
              <w:t xml:space="preserve"> </w:t>
            </w:r>
            <w:r>
              <w:rPr>
                <w:rFonts w:hint="eastAsia"/>
              </w:rPr>
              <w:t>大浦河</w:t>
            </w:r>
            <w:r>
              <w:t>排污通道现状监测结果统计单位（mg/L、pH无量纲、水温</w:t>
            </w:r>
            <w:r>
              <w:rPr>
                <w:rFonts w:hint="eastAsia"/>
              </w:rPr>
              <w:t>℃</w:t>
            </w:r>
            <w:r>
              <w:t>）</w:t>
            </w:r>
          </w:p>
          <w:tbl>
            <w:tblPr>
              <w:tblStyle w:val="7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5"/>
              <w:gridCol w:w="654"/>
              <w:gridCol w:w="606"/>
              <w:gridCol w:w="540"/>
              <w:gridCol w:w="621"/>
              <w:gridCol w:w="621"/>
              <w:gridCol w:w="621"/>
              <w:gridCol w:w="621"/>
              <w:gridCol w:w="621"/>
              <w:gridCol w:w="621"/>
              <w:gridCol w:w="621"/>
              <w:gridCol w:w="621"/>
              <w:gridCol w:w="621"/>
            </w:tblGrid>
            <w:tr w14:paraId="47742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 w:type="pct"/>
                  <w:vMerge w:val="restart"/>
                  <w:shd w:val="clear" w:color="auto" w:fill="auto"/>
                  <w:noWrap w:val="0"/>
                  <w:vAlign w:val="center"/>
                </w:tcPr>
                <w:p w14:paraId="387D6C73">
                  <w:pPr>
                    <w:pStyle w:val="1111"/>
                    <w:bidi w:val="0"/>
                  </w:pPr>
                  <w:r>
                    <w:t>断面</w:t>
                  </w:r>
                </w:p>
              </w:tc>
              <w:tc>
                <w:tcPr>
                  <w:tcW w:w="863" w:type="pct"/>
                  <w:gridSpan w:val="2"/>
                  <w:vMerge w:val="restart"/>
                  <w:shd w:val="clear" w:color="auto" w:fill="auto"/>
                  <w:noWrap w:val="0"/>
                  <w:vAlign w:val="center"/>
                </w:tcPr>
                <w:p w14:paraId="6DC98BC9">
                  <w:pPr>
                    <w:pStyle w:val="1111"/>
                    <w:bidi w:val="0"/>
                  </w:pPr>
                  <w:r>
                    <w:t>项目</w:t>
                  </w:r>
                </w:p>
              </w:tc>
              <w:tc>
                <w:tcPr>
                  <w:tcW w:w="408" w:type="pct"/>
                  <w:vMerge w:val="restart"/>
                  <w:shd w:val="clear" w:color="auto" w:fill="auto"/>
                  <w:noWrap w:val="0"/>
                  <w:vAlign w:val="center"/>
                </w:tcPr>
                <w:p w14:paraId="2446402E">
                  <w:pPr>
                    <w:pStyle w:val="1111"/>
                    <w:bidi w:val="0"/>
                  </w:pPr>
                  <w:r>
                    <w:t>标准</w:t>
                  </w:r>
                </w:p>
              </w:tc>
              <w:tc>
                <w:tcPr>
                  <w:tcW w:w="707" w:type="pct"/>
                  <w:gridSpan w:val="2"/>
                  <w:shd w:val="clear" w:color="auto" w:fill="auto"/>
                  <w:noWrap w:val="0"/>
                  <w:vAlign w:val="center"/>
                </w:tcPr>
                <w:p w14:paraId="7F6313E5">
                  <w:pPr>
                    <w:pStyle w:val="1111"/>
                    <w:bidi w:val="0"/>
                  </w:pPr>
                  <w:r>
                    <w:t>2023.1.6</w:t>
                  </w:r>
                </w:p>
              </w:tc>
              <w:tc>
                <w:tcPr>
                  <w:tcW w:w="745" w:type="pct"/>
                  <w:gridSpan w:val="2"/>
                  <w:shd w:val="clear" w:color="auto" w:fill="auto"/>
                  <w:noWrap w:val="0"/>
                  <w:vAlign w:val="center"/>
                </w:tcPr>
                <w:p w14:paraId="09B0192B">
                  <w:pPr>
                    <w:pStyle w:val="1111"/>
                    <w:bidi w:val="0"/>
                  </w:pPr>
                  <w:r>
                    <w:t>2023.1.7</w:t>
                  </w:r>
                </w:p>
              </w:tc>
              <w:tc>
                <w:tcPr>
                  <w:tcW w:w="790" w:type="pct"/>
                  <w:gridSpan w:val="2"/>
                  <w:shd w:val="clear" w:color="auto" w:fill="auto"/>
                  <w:noWrap w:val="0"/>
                  <w:vAlign w:val="center"/>
                </w:tcPr>
                <w:p w14:paraId="11272988">
                  <w:pPr>
                    <w:pStyle w:val="1111"/>
                    <w:bidi w:val="0"/>
                  </w:pPr>
                  <w:r>
                    <w:t>2023.1.8</w:t>
                  </w:r>
                </w:p>
              </w:tc>
              <w:tc>
                <w:tcPr>
                  <w:tcW w:w="394" w:type="pct"/>
                  <w:vMerge w:val="restart"/>
                  <w:shd w:val="clear" w:color="auto" w:fill="auto"/>
                  <w:noWrap w:val="0"/>
                  <w:vAlign w:val="center"/>
                </w:tcPr>
                <w:p w14:paraId="26A32AFC">
                  <w:pPr>
                    <w:pStyle w:val="1111"/>
                    <w:bidi w:val="0"/>
                  </w:pPr>
                  <w:r>
                    <w:t>检出</w:t>
                  </w:r>
                </w:p>
                <w:p w14:paraId="61196818">
                  <w:pPr>
                    <w:pStyle w:val="1111"/>
                    <w:bidi w:val="0"/>
                  </w:pPr>
                  <w:r>
                    <w:t>限</w:t>
                  </w:r>
                </w:p>
              </w:tc>
              <w:tc>
                <w:tcPr>
                  <w:tcW w:w="394" w:type="pct"/>
                  <w:vMerge w:val="restart"/>
                  <w:shd w:val="clear" w:color="auto" w:fill="auto"/>
                  <w:noWrap w:val="0"/>
                  <w:vAlign w:val="center"/>
                </w:tcPr>
                <w:p w14:paraId="03DA67DA">
                  <w:pPr>
                    <w:pStyle w:val="1111"/>
                    <w:bidi w:val="0"/>
                  </w:pPr>
                  <w:r>
                    <w:t>最小</w:t>
                  </w:r>
                </w:p>
                <w:p w14:paraId="70CF3998">
                  <w:pPr>
                    <w:pStyle w:val="1111"/>
                    <w:bidi w:val="0"/>
                  </w:pPr>
                  <w:r>
                    <w:t>值</w:t>
                  </w:r>
                </w:p>
              </w:tc>
              <w:tc>
                <w:tcPr>
                  <w:tcW w:w="394" w:type="pct"/>
                  <w:vMerge w:val="restart"/>
                  <w:shd w:val="clear" w:color="auto" w:fill="auto"/>
                  <w:noWrap w:val="0"/>
                  <w:vAlign w:val="center"/>
                </w:tcPr>
                <w:p w14:paraId="7D78DD61">
                  <w:pPr>
                    <w:pStyle w:val="1111"/>
                    <w:bidi w:val="0"/>
                  </w:pPr>
                  <w:r>
                    <w:t>最大值</w:t>
                  </w:r>
                </w:p>
              </w:tc>
            </w:tr>
            <w:tr w14:paraId="00BC15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 w:type="pct"/>
                  <w:vMerge w:val="continue"/>
                  <w:shd w:val="clear" w:color="auto" w:fill="auto"/>
                  <w:noWrap w:val="0"/>
                  <w:vAlign w:val="center"/>
                </w:tcPr>
                <w:p w14:paraId="45D5FF8D">
                  <w:pPr>
                    <w:pStyle w:val="1111"/>
                    <w:bidi w:val="0"/>
                  </w:pPr>
                </w:p>
              </w:tc>
              <w:tc>
                <w:tcPr>
                  <w:tcW w:w="863" w:type="pct"/>
                  <w:gridSpan w:val="2"/>
                  <w:vMerge w:val="continue"/>
                  <w:shd w:val="clear" w:color="auto" w:fill="auto"/>
                  <w:noWrap w:val="0"/>
                  <w:vAlign w:val="center"/>
                </w:tcPr>
                <w:p w14:paraId="44A3220A">
                  <w:pPr>
                    <w:pStyle w:val="1111"/>
                    <w:bidi w:val="0"/>
                  </w:pPr>
                </w:p>
              </w:tc>
              <w:tc>
                <w:tcPr>
                  <w:tcW w:w="408" w:type="pct"/>
                  <w:vMerge w:val="continue"/>
                  <w:shd w:val="clear" w:color="auto" w:fill="auto"/>
                  <w:noWrap w:val="0"/>
                  <w:vAlign w:val="center"/>
                </w:tcPr>
                <w:p w14:paraId="57656B22">
                  <w:pPr>
                    <w:pStyle w:val="1111"/>
                    <w:bidi w:val="0"/>
                  </w:pPr>
                </w:p>
              </w:tc>
              <w:tc>
                <w:tcPr>
                  <w:tcW w:w="338" w:type="pct"/>
                  <w:shd w:val="clear" w:color="auto" w:fill="auto"/>
                  <w:noWrap w:val="0"/>
                  <w:vAlign w:val="center"/>
                </w:tcPr>
                <w:p w14:paraId="4C6C4FF5">
                  <w:pPr>
                    <w:pStyle w:val="1111"/>
                    <w:bidi w:val="0"/>
                  </w:pPr>
                  <w:r>
                    <w:t>1</w:t>
                  </w:r>
                </w:p>
              </w:tc>
              <w:tc>
                <w:tcPr>
                  <w:tcW w:w="368" w:type="pct"/>
                  <w:shd w:val="clear" w:color="auto" w:fill="auto"/>
                  <w:noWrap w:val="0"/>
                  <w:vAlign w:val="center"/>
                </w:tcPr>
                <w:p w14:paraId="10190F4C">
                  <w:pPr>
                    <w:pStyle w:val="1111"/>
                    <w:bidi w:val="0"/>
                  </w:pPr>
                  <w:r>
                    <w:t>2</w:t>
                  </w:r>
                </w:p>
              </w:tc>
              <w:tc>
                <w:tcPr>
                  <w:tcW w:w="349" w:type="pct"/>
                  <w:shd w:val="clear" w:color="auto" w:fill="auto"/>
                  <w:noWrap w:val="0"/>
                  <w:vAlign w:val="center"/>
                </w:tcPr>
                <w:p w14:paraId="35140E71">
                  <w:pPr>
                    <w:pStyle w:val="1111"/>
                    <w:bidi w:val="0"/>
                  </w:pPr>
                  <w:r>
                    <w:t>1</w:t>
                  </w:r>
                </w:p>
              </w:tc>
              <w:tc>
                <w:tcPr>
                  <w:tcW w:w="395" w:type="pct"/>
                  <w:shd w:val="clear" w:color="auto" w:fill="auto"/>
                  <w:noWrap w:val="0"/>
                  <w:vAlign w:val="center"/>
                </w:tcPr>
                <w:p w14:paraId="01041E5C">
                  <w:pPr>
                    <w:pStyle w:val="1111"/>
                    <w:bidi w:val="0"/>
                  </w:pPr>
                  <w:r>
                    <w:t>2</w:t>
                  </w:r>
                </w:p>
              </w:tc>
              <w:tc>
                <w:tcPr>
                  <w:tcW w:w="394" w:type="pct"/>
                  <w:shd w:val="clear" w:color="auto" w:fill="auto"/>
                  <w:noWrap w:val="0"/>
                  <w:vAlign w:val="center"/>
                </w:tcPr>
                <w:p w14:paraId="31E118F3">
                  <w:pPr>
                    <w:pStyle w:val="1111"/>
                    <w:bidi w:val="0"/>
                  </w:pPr>
                  <w:r>
                    <w:t>1</w:t>
                  </w:r>
                </w:p>
              </w:tc>
              <w:tc>
                <w:tcPr>
                  <w:tcW w:w="395" w:type="pct"/>
                  <w:shd w:val="clear" w:color="auto" w:fill="auto"/>
                  <w:noWrap w:val="0"/>
                  <w:vAlign w:val="center"/>
                </w:tcPr>
                <w:p w14:paraId="0AC14C29">
                  <w:pPr>
                    <w:pStyle w:val="1111"/>
                    <w:bidi w:val="0"/>
                  </w:pPr>
                  <w:r>
                    <w:t>2</w:t>
                  </w:r>
                </w:p>
              </w:tc>
              <w:tc>
                <w:tcPr>
                  <w:tcW w:w="394" w:type="pct"/>
                  <w:vMerge w:val="continue"/>
                  <w:shd w:val="clear" w:color="auto" w:fill="auto"/>
                  <w:noWrap w:val="0"/>
                  <w:vAlign w:val="center"/>
                </w:tcPr>
                <w:p w14:paraId="4DA00A5C">
                  <w:pPr>
                    <w:pStyle w:val="1111"/>
                    <w:bidi w:val="0"/>
                  </w:pPr>
                </w:p>
              </w:tc>
              <w:tc>
                <w:tcPr>
                  <w:tcW w:w="394" w:type="pct"/>
                  <w:vMerge w:val="continue"/>
                  <w:shd w:val="clear" w:color="auto" w:fill="auto"/>
                  <w:noWrap w:val="0"/>
                  <w:vAlign w:val="center"/>
                </w:tcPr>
                <w:p w14:paraId="67F1D358">
                  <w:pPr>
                    <w:pStyle w:val="1111"/>
                    <w:bidi w:val="0"/>
                  </w:pPr>
                </w:p>
              </w:tc>
              <w:tc>
                <w:tcPr>
                  <w:tcW w:w="394" w:type="pct"/>
                  <w:vMerge w:val="continue"/>
                  <w:shd w:val="clear" w:color="auto" w:fill="auto"/>
                  <w:noWrap w:val="0"/>
                  <w:vAlign w:val="center"/>
                </w:tcPr>
                <w:p w14:paraId="5C01001F">
                  <w:pPr>
                    <w:pStyle w:val="1111"/>
                    <w:bidi w:val="0"/>
                  </w:pPr>
                </w:p>
              </w:tc>
            </w:tr>
            <w:tr w14:paraId="361E2C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 w:type="pct"/>
                  <w:vMerge w:val="restart"/>
                  <w:shd w:val="clear" w:color="auto" w:fill="auto"/>
                  <w:noWrap w:val="0"/>
                  <w:vAlign w:val="center"/>
                </w:tcPr>
                <w:p w14:paraId="7B8ABD0F">
                  <w:pPr>
                    <w:pStyle w:val="1111"/>
                    <w:bidi w:val="0"/>
                  </w:pPr>
                  <w:r>
                    <w:t>W2</w:t>
                  </w:r>
                </w:p>
              </w:tc>
              <w:tc>
                <w:tcPr>
                  <w:tcW w:w="494" w:type="pct"/>
                  <w:shd w:val="clear" w:color="auto" w:fill="auto"/>
                  <w:noWrap w:val="0"/>
                  <w:vAlign w:val="center"/>
                </w:tcPr>
                <w:p w14:paraId="45E9D5DD">
                  <w:pPr>
                    <w:pStyle w:val="1111"/>
                    <w:bidi w:val="0"/>
                  </w:pPr>
                  <w:r>
                    <w:t>pH</w:t>
                  </w:r>
                </w:p>
              </w:tc>
              <w:tc>
                <w:tcPr>
                  <w:tcW w:w="368" w:type="pct"/>
                  <w:shd w:val="clear" w:color="auto" w:fill="auto"/>
                  <w:noWrap w:val="0"/>
                  <w:vAlign w:val="center"/>
                </w:tcPr>
                <w:p w14:paraId="0ABE1A9B">
                  <w:pPr>
                    <w:pStyle w:val="1111"/>
                    <w:bidi w:val="0"/>
                  </w:pPr>
                  <w:r>
                    <w:t>无量纲</w:t>
                  </w:r>
                </w:p>
              </w:tc>
              <w:tc>
                <w:tcPr>
                  <w:tcW w:w="408" w:type="pct"/>
                  <w:shd w:val="clear" w:color="auto" w:fill="auto"/>
                  <w:noWrap w:val="0"/>
                  <w:vAlign w:val="center"/>
                </w:tcPr>
                <w:p w14:paraId="751328D7">
                  <w:pPr>
                    <w:pStyle w:val="1111"/>
                    <w:bidi w:val="0"/>
                  </w:pPr>
                  <w:r>
                    <w:t>6-9</w:t>
                  </w:r>
                </w:p>
              </w:tc>
              <w:tc>
                <w:tcPr>
                  <w:tcW w:w="338" w:type="pct"/>
                  <w:shd w:val="clear" w:color="auto" w:fill="auto"/>
                  <w:noWrap w:val="0"/>
                  <w:vAlign w:val="center"/>
                </w:tcPr>
                <w:p w14:paraId="13668634">
                  <w:pPr>
                    <w:pStyle w:val="1111"/>
                    <w:bidi w:val="0"/>
                  </w:pPr>
                  <w:r>
                    <w:t>7.4</w:t>
                  </w:r>
                </w:p>
              </w:tc>
              <w:tc>
                <w:tcPr>
                  <w:tcW w:w="368" w:type="pct"/>
                  <w:shd w:val="clear" w:color="auto" w:fill="auto"/>
                  <w:noWrap w:val="0"/>
                  <w:vAlign w:val="center"/>
                </w:tcPr>
                <w:p w14:paraId="0E4BA66A">
                  <w:pPr>
                    <w:pStyle w:val="1111"/>
                    <w:bidi w:val="0"/>
                  </w:pPr>
                  <w:r>
                    <w:t>7.3</w:t>
                  </w:r>
                </w:p>
              </w:tc>
              <w:tc>
                <w:tcPr>
                  <w:tcW w:w="349" w:type="pct"/>
                  <w:shd w:val="clear" w:color="auto" w:fill="auto"/>
                  <w:noWrap w:val="0"/>
                  <w:vAlign w:val="center"/>
                </w:tcPr>
                <w:p w14:paraId="4B194D27">
                  <w:pPr>
                    <w:pStyle w:val="1111"/>
                    <w:bidi w:val="0"/>
                  </w:pPr>
                  <w:r>
                    <w:t>7.2</w:t>
                  </w:r>
                </w:p>
              </w:tc>
              <w:tc>
                <w:tcPr>
                  <w:tcW w:w="395" w:type="pct"/>
                  <w:shd w:val="clear" w:color="auto" w:fill="auto"/>
                  <w:noWrap w:val="0"/>
                  <w:vAlign w:val="center"/>
                </w:tcPr>
                <w:p w14:paraId="7F5A534D">
                  <w:pPr>
                    <w:pStyle w:val="1111"/>
                    <w:bidi w:val="0"/>
                  </w:pPr>
                  <w:r>
                    <w:t>7.4</w:t>
                  </w:r>
                </w:p>
              </w:tc>
              <w:tc>
                <w:tcPr>
                  <w:tcW w:w="394" w:type="pct"/>
                  <w:shd w:val="clear" w:color="auto" w:fill="auto"/>
                  <w:noWrap w:val="0"/>
                  <w:vAlign w:val="center"/>
                </w:tcPr>
                <w:p w14:paraId="7C319EB1">
                  <w:pPr>
                    <w:pStyle w:val="1111"/>
                    <w:bidi w:val="0"/>
                  </w:pPr>
                  <w:r>
                    <w:t>7.3</w:t>
                  </w:r>
                </w:p>
              </w:tc>
              <w:tc>
                <w:tcPr>
                  <w:tcW w:w="395" w:type="pct"/>
                  <w:shd w:val="clear" w:color="auto" w:fill="auto"/>
                  <w:noWrap w:val="0"/>
                  <w:vAlign w:val="center"/>
                </w:tcPr>
                <w:p w14:paraId="31A66E2B">
                  <w:pPr>
                    <w:pStyle w:val="1111"/>
                    <w:bidi w:val="0"/>
                  </w:pPr>
                  <w:r>
                    <w:t>7.1</w:t>
                  </w:r>
                </w:p>
              </w:tc>
              <w:tc>
                <w:tcPr>
                  <w:tcW w:w="394" w:type="pct"/>
                  <w:shd w:val="clear" w:color="auto" w:fill="auto"/>
                  <w:noWrap w:val="0"/>
                  <w:vAlign w:val="center"/>
                </w:tcPr>
                <w:p w14:paraId="33BE7E47">
                  <w:pPr>
                    <w:pStyle w:val="1111"/>
                    <w:bidi w:val="0"/>
                  </w:pPr>
                  <w:r>
                    <w:t>-</w:t>
                  </w:r>
                </w:p>
              </w:tc>
              <w:tc>
                <w:tcPr>
                  <w:tcW w:w="394" w:type="pct"/>
                  <w:shd w:val="clear" w:color="auto" w:fill="auto"/>
                  <w:noWrap w:val="0"/>
                  <w:vAlign w:val="center"/>
                </w:tcPr>
                <w:p w14:paraId="0542ADA1">
                  <w:pPr>
                    <w:pStyle w:val="1111"/>
                    <w:bidi w:val="0"/>
                  </w:pPr>
                  <w:r>
                    <w:t>7.1</w:t>
                  </w:r>
                </w:p>
              </w:tc>
              <w:tc>
                <w:tcPr>
                  <w:tcW w:w="394" w:type="pct"/>
                  <w:shd w:val="clear" w:color="auto" w:fill="auto"/>
                  <w:noWrap w:val="0"/>
                  <w:vAlign w:val="center"/>
                </w:tcPr>
                <w:p w14:paraId="66454DAD">
                  <w:pPr>
                    <w:pStyle w:val="1111"/>
                    <w:bidi w:val="0"/>
                  </w:pPr>
                  <w:r>
                    <w:t>7.4</w:t>
                  </w:r>
                </w:p>
              </w:tc>
            </w:tr>
            <w:tr w14:paraId="7F9243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 w:type="pct"/>
                  <w:vMerge w:val="continue"/>
                  <w:shd w:val="clear" w:color="auto" w:fill="auto"/>
                  <w:noWrap w:val="0"/>
                  <w:vAlign w:val="center"/>
                </w:tcPr>
                <w:p w14:paraId="6D680914">
                  <w:pPr>
                    <w:pStyle w:val="1111"/>
                    <w:bidi w:val="0"/>
                  </w:pPr>
                </w:p>
              </w:tc>
              <w:tc>
                <w:tcPr>
                  <w:tcW w:w="494" w:type="pct"/>
                  <w:shd w:val="clear" w:color="auto" w:fill="auto"/>
                  <w:noWrap w:val="0"/>
                  <w:vAlign w:val="center"/>
                </w:tcPr>
                <w:p w14:paraId="24A26E4B">
                  <w:pPr>
                    <w:pStyle w:val="1111"/>
                    <w:bidi w:val="0"/>
                  </w:pPr>
                  <w:r>
                    <w:t>COD</w:t>
                  </w:r>
                </w:p>
              </w:tc>
              <w:tc>
                <w:tcPr>
                  <w:tcW w:w="368" w:type="pct"/>
                  <w:shd w:val="clear" w:color="auto" w:fill="auto"/>
                  <w:noWrap w:val="0"/>
                  <w:vAlign w:val="center"/>
                </w:tcPr>
                <w:p w14:paraId="71696B7E">
                  <w:pPr>
                    <w:pStyle w:val="1111"/>
                    <w:bidi w:val="0"/>
                  </w:pPr>
                  <w:r>
                    <w:t>mg/L</w:t>
                  </w:r>
                </w:p>
              </w:tc>
              <w:tc>
                <w:tcPr>
                  <w:tcW w:w="408" w:type="pct"/>
                  <w:shd w:val="clear" w:color="auto" w:fill="auto"/>
                  <w:noWrap w:val="0"/>
                  <w:vAlign w:val="center"/>
                </w:tcPr>
                <w:p w14:paraId="1312B419">
                  <w:pPr>
                    <w:pStyle w:val="1111"/>
                    <w:bidi w:val="0"/>
                  </w:pPr>
                  <w:r>
                    <w:t>≤20</w:t>
                  </w:r>
                </w:p>
              </w:tc>
              <w:tc>
                <w:tcPr>
                  <w:tcW w:w="338" w:type="pct"/>
                  <w:shd w:val="clear" w:color="auto" w:fill="auto"/>
                  <w:noWrap w:val="0"/>
                  <w:vAlign w:val="center"/>
                </w:tcPr>
                <w:p w14:paraId="21719F53">
                  <w:pPr>
                    <w:pStyle w:val="1111"/>
                    <w:bidi w:val="0"/>
                  </w:pPr>
                  <w:r>
                    <w:t>13</w:t>
                  </w:r>
                </w:p>
              </w:tc>
              <w:tc>
                <w:tcPr>
                  <w:tcW w:w="368" w:type="pct"/>
                  <w:shd w:val="clear" w:color="auto" w:fill="auto"/>
                  <w:noWrap w:val="0"/>
                  <w:vAlign w:val="center"/>
                </w:tcPr>
                <w:p w14:paraId="21BBA792">
                  <w:pPr>
                    <w:pStyle w:val="1111"/>
                    <w:bidi w:val="0"/>
                  </w:pPr>
                  <w:r>
                    <w:t>14</w:t>
                  </w:r>
                </w:p>
              </w:tc>
              <w:tc>
                <w:tcPr>
                  <w:tcW w:w="349" w:type="pct"/>
                  <w:shd w:val="clear" w:color="auto" w:fill="auto"/>
                  <w:noWrap w:val="0"/>
                  <w:vAlign w:val="center"/>
                </w:tcPr>
                <w:p w14:paraId="146020AF">
                  <w:pPr>
                    <w:pStyle w:val="1111"/>
                    <w:bidi w:val="0"/>
                  </w:pPr>
                  <w:r>
                    <w:t>14</w:t>
                  </w:r>
                </w:p>
              </w:tc>
              <w:tc>
                <w:tcPr>
                  <w:tcW w:w="395" w:type="pct"/>
                  <w:shd w:val="clear" w:color="auto" w:fill="auto"/>
                  <w:noWrap w:val="0"/>
                  <w:vAlign w:val="center"/>
                </w:tcPr>
                <w:p w14:paraId="639DAB5C">
                  <w:pPr>
                    <w:pStyle w:val="1111"/>
                    <w:bidi w:val="0"/>
                  </w:pPr>
                  <w:r>
                    <w:t>14</w:t>
                  </w:r>
                </w:p>
              </w:tc>
              <w:tc>
                <w:tcPr>
                  <w:tcW w:w="394" w:type="pct"/>
                  <w:shd w:val="clear" w:color="auto" w:fill="auto"/>
                  <w:noWrap w:val="0"/>
                  <w:vAlign w:val="center"/>
                </w:tcPr>
                <w:p w14:paraId="7EB1911F">
                  <w:pPr>
                    <w:pStyle w:val="1111"/>
                    <w:bidi w:val="0"/>
                  </w:pPr>
                  <w:r>
                    <w:t>13</w:t>
                  </w:r>
                </w:p>
              </w:tc>
              <w:tc>
                <w:tcPr>
                  <w:tcW w:w="395" w:type="pct"/>
                  <w:shd w:val="clear" w:color="auto" w:fill="auto"/>
                  <w:noWrap w:val="0"/>
                  <w:vAlign w:val="center"/>
                </w:tcPr>
                <w:p w14:paraId="3D53DA0F">
                  <w:pPr>
                    <w:pStyle w:val="1111"/>
                    <w:bidi w:val="0"/>
                  </w:pPr>
                  <w:r>
                    <w:t>14</w:t>
                  </w:r>
                </w:p>
              </w:tc>
              <w:tc>
                <w:tcPr>
                  <w:tcW w:w="394" w:type="pct"/>
                  <w:shd w:val="clear" w:color="auto" w:fill="auto"/>
                  <w:noWrap w:val="0"/>
                  <w:vAlign w:val="center"/>
                </w:tcPr>
                <w:p w14:paraId="64D601FB">
                  <w:pPr>
                    <w:pStyle w:val="1111"/>
                    <w:bidi w:val="0"/>
                  </w:pPr>
                  <w:r>
                    <w:t>4</w:t>
                  </w:r>
                </w:p>
              </w:tc>
              <w:tc>
                <w:tcPr>
                  <w:tcW w:w="394" w:type="pct"/>
                  <w:shd w:val="clear" w:color="auto" w:fill="auto"/>
                  <w:noWrap w:val="0"/>
                  <w:vAlign w:val="center"/>
                </w:tcPr>
                <w:p w14:paraId="40A27DF6">
                  <w:pPr>
                    <w:pStyle w:val="1111"/>
                    <w:bidi w:val="0"/>
                  </w:pPr>
                  <w:r>
                    <w:t>13</w:t>
                  </w:r>
                </w:p>
              </w:tc>
              <w:tc>
                <w:tcPr>
                  <w:tcW w:w="394" w:type="pct"/>
                  <w:shd w:val="clear" w:color="auto" w:fill="auto"/>
                  <w:noWrap w:val="0"/>
                  <w:vAlign w:val="center"/>
                </w:tcPr>
                <w:p w14:paraId="5262E6D7">
                  <w:pPr>
                    <w:pStyle w:val="1111"/>
                    <w:bidi w:val="0"/>
                  </w:pPr>
                  <w:r>
                    <w:t>14</w:t>
                  </w:r>
                </w:p>
              </w:tc>
            </w:tr>
            <w:tr w14:paraId="0F0C99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 w:type="pct"/>
                  <w:vMerge w:val="continue"/>
                  <w:shd w:val="clear" w:color="auto" w:fill="auto"/>
                  <w:noWrap w:val="0"/>
                  <w:vAlign w:val="center"/>
                </w:tcPr>
                <w:p w14:paraId="14E2FC98">
                  <w:pPr>
                    <w:pStyle w:val="1111"/>
                    <w:bidi w:val="0"/>
                  </w:pPr>
                </w:p>
              </w:tc>
              <w:tc>
                <w:tcPr>
                  <w:tcW w:w="494" w:type="pct"/>
                  <w:shd w:val="clear" w:color="auto" w:fill="auto"/>
                  <w:noWrap w:val="0"/>
                  <w:vAlign w:val="center"/>
                </w:tcPr>
                <w:p w14:paraId="0D09EDBA">
                  <w:pPr>
                    <w:pStyle w:val="1111"/>
                    <w:bidi w:val="0"/>
                  </w:pPr>
                  <w:r>
                    <w:t>BOD</w:t>
                  </w:r>
                  <w:r>
                    <w:rPr>
                      <w:vertAlign w:val="subscript"/>
                    </w:rPr>
                    <w:t>5</w:t>
                  </w:r>
                </w:p>
              </w:tc>
              <w:tc>
                <w:tcPr>
                  <w:tcW w:w="368" w:type="pct"/>
                  <w:shd w:val="clear" w:color="auto" w:fill="auto"/>
                  <w:noWrap w:val="0"/>
                  <w:vAlign w:val="center"/>
                </w:tcPr>
                <w:p w14:paraId="58F11054">
                  <w:pPr>
                    <w:pStyle w:val="1111"/>
                    <w:bidi w:val="0"/>
                  </w:pPr>
                  <w:r>
                    <w:t>mg/L</w:t>
                  </w:r>
                </w:p>
              </w:tc>
              <w:tc>
                <w:tcPr>
                  <w:tcW w:w="408" w:type="pct"/>
                  <w:shd w:val="clear" w:color="auto" w:fill="auto"/>
                  <w:noWrap w:val="0"/>
                  <w:vAlign w:val="center"/>
                </w:tcPr>
                <w:p w14:paraId="2D014186">
                  <w:pPr>
                    <w:pStyle w:val="1111"/>
                    <w:bidi w:val="0"/>
                  </w:pPr>
                  <w:r>
                    <w:t>≤4</w:t>
                  </w:r>
                </w:p>
              </w:tc>
              <w:tc>
                <w:tcPr>
                  <w:tcW w:w="338" w:type="pct"/>
                  <w:shd w:val="clear" w:color="auto" w:fill="auto"/>
                  <w:noWrap w:val="0"/>
                  <w:vAlign w:val="center"/>
                </w:tcPr>
                <w:p w14:paraId="7FECF60D">
                  <w:pPr>
                    <w:pStyle w:val="1111"/>
                    <w:bidi w:val="0"/>
                  </w:pPr>
                  <w:r>
                    <w:t>2.3</w:t>
                  </w:r>
                </w:p>
              </w:tc>
              <w:tc>
                <w:tcPr>
                  <w:tcW w:w="368" w:type="pct"/>
                  <w:shd w:val="clear" w:color="auto" w:fill="auto"/>
                  <w:noWrap w:val="0"/>
                  <w:vAlign w:val="center"/>
                </w:tcPr>
                <w:p w14:paraId="3A8CDB4F">
                  <w:pPr>
                    <w:pStyle w:val="1111"/>
                    <w:bidi w:val="0"/>
                  </w:pPr>
                  <w:r>
                    <w:t>2.9</w:t>
                  </w:r>
                </w:p>
              </w:tc>
              <w:tc>
                <w:tcPr>
                  <w:tcW w:w="349" w:type="pct"/>
                  <w:shd w:val="clear" w:color="auto" w:fill="auto"/>
                  <w:noWrap w:val="0"/>
                  <w:vAlign w:val="center"/>
                </w:tcPr>
                <w:p w14:paraId="021EFEE6">
                  <w:pPr>
                    <w:pStyle w:val="1111"/>
                    <w:bidi w:val="0"/>
                  </w:pPr>
                  <w:r>
                    <w:t>3.4</w:t>
                  </w:r>
                </w:p>
              </w:tc>
              <w:tc>
                <w:tcPr>
                  <w:tcW w:w="395" w:type="pct"/>
                  <w:shd w:val="clear" w:color="auto" w:fill="auto"/>
                  <w:noWrap w:val="0"/>
                  <w:vAlign w:val="center"/>
                </w:tcPr>
                <w:p w14:paraId="02A87234">
                  <w:pPr>
                    <w:pStyle w:val="1111"/>
                    <w:bidi w:val="0"/>
                  </w:pPr>
                  <w:r>
                    <w:t>3.0</w:t>
                  </w:r>
                </w:p>
              </w:tc>
              <w:tc>
                <w:tcPr>
                  <w:tcW w:w="394" w:type="pct"/>
                  <w:shd w:val="clear" w:color="auto" w:fill="auto"/>
                  <w:noWrap w:val="0"/>
                  <w:vAlign w:val="center"/>
                </w:tcPr>
                <w:p w14:paraId="43A346D6">
                  <w:pPr>
                    <w:pStyle w:val="1111"/>
                    <w:bidi w:val="0"/>
                  </w:pPr>
                  <w:r>
                    <w:t>3.2</w:t>
                  </w:r>
                </w:p>
              </w:tc>
              <w:tc>
                <w:tcPr>
                  <w:tcW w:w="395" w:type="pct"/>
                  <w:shd w:val="clear" w:color="auto" w:fill="auto"/>
                  <w:noWrap w:val="0"/>
                  <w:vAlign w:val="center"/>
                </w:tcPr>
                <w:p w14:paraId="1DB1C126">
                  <w:pPr>
                    <w:pStyle w:val="1111"/>
                    <w:bidi w:val="0"/>
                  </w:pPr>
                  <w:r>
                    <w:t>3.3</w:t>
                  </w:r>
                </w:p>
              </w:tc>
              <w:tc>
                <w:tcPr>
                  <w:tcW w:w="394" w:type="pct"/>
                  <w:shd w:val="clear" w:color="auto" w:fill="auto"/>
                  <w:noWrap w:val="0"/>
                  <w:vAlign w:val="center"/>
                </w:tcPr>
                <w:p w14:paraId="72928E8F">
                  <w:pPr>
                    <w:pStyle w:val="1111"/>
                    <w:bidi w:val="0"/>
                  </w:pPr>
                  <w:r>
                    <w:t>0.5</w:t>
                  </w:r>
                </w:p>
              </w:tc>
              <w:tc>
                <w:tcPr>
                  <w:tcW w:w="394" w:type="pct"/>
                  <w:shd w:val="clear" w:color="auto" w:fill="auto"/>
                  <w:noWrap w:val="0"/>
                  <w:vAlign w:val="center"/>
                </w:tcPr>
                <w:p w14:paraId="4F2F718F">
                  <w:pPr>
                    <w:pStyle w:val="1111"/>
                    <w:bidi w:val="0"/>
                  </w:pPr>
                  <w:r>
                    <w:t>2.3</w:t>
                  </w:r>
                </w:p>
              </w:tc>
              <w:tc>
                <w:tcPr>
                  <w:tcW w:w="394" w:type="pct"/>
                  <w:shd w:val="clear" w:color="auto" w:fill="auto"/>
                  <w:noWrap w:val="0"/>
                  <w:vAlign w:val="center"/>
                </w:tcPr>
                <w:p w14:paraId="6D29BD1B">
                  <w:pPr>
                    <w:pStyle w:val="1111"/>
                    <w:bidi w:val="0"/>
                  </w:pPr>
                  <w:r>
                    <w:t>3.3</w:t>
                  </w:r>
                </w:p>
              </w:tc>
            </w:tr>
            <w:tr w14:paraId="45E43A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 w:type="pct"/>
                  <w:vMerge w:val="continue"/>
                  <w:shd w:val="clear" w:color="auto" w:fill="auto"/>
                  <w:noWrap w:val="0"/>
                  <w:vAlign w:val="center"/>
                </w:tcPr>
                <w:p w14:paraId="7AF3DFD9">
                  <w:pPr>
                    <w:pStyle w:val="1111"/>
                    <w:bidi w:val="0"/>
                  </w:pPr>
                </w:p>
              </w:tc>
              <w:tc>
                <w:tcPr>
                  <w:tcW w:w="494" w:type="pct"/>
                  <w:shd w:val="clear" w:color="auto" w:fill="auto"/>
                  <w:noWrap w:val="0"/>
                  <w:vAlign w:val="center"/>
                </w:tcPr>
                <w:p w14:paraId="66C87B44">
                  <w:pPr>
                    <w:pStyle w:val="1111"/>
                    <w:bidi w:val="0"/>
                  </w:pPr>
                  <w:r>
                    <w:t>总磷</w:t>
                  </w:r>
                </w:p>
              </w:tc>
              <w:tc>
                <w:tcPr>
                  <w:tcW w:w="368" w:type="pct"/>
                  <w:shd w:val="clear" w:color="auto" w:fill="auto"/>
                  <w:noWrap w:val="0"/>
                  <w:vAlign w:val="center"/>
                </w:tcPr>
                <w:p w14:paraId="7528291F">
                  <w:pPr>
                    <w:pStyle w:val="1111"/>
                    <w:bidi w:val="0"/>
                  </w:pPr>
                  <w:r>
                    <w:t>mg/L</w:t>
                  </w:r>
                </w:p>
              </w:tc>
              <w:tc>
                <w:tcPr>
                  <w:tcW w:w="408" w:type="pct"/>
                  <w:shd w:val="clear" w:color="auto" w:fill="auto"/>
                  <w:noWrap w:val="0"/>
                  <w:vAlign w:val="center"/>
                </w:tcPr>
                <w:p w14:paraId="104B687C">
                  <w:pPr>
                    <w:pStyle w:val="1111"/>
                    <w:bidi w:val="0"/>
                  </w:pPr>
                  <w:r>
                    <w:t>≤0.2</w:t>
                  </w:r>
                </w:p>
              </w:tc>
              <w:tc>
                <w:tcPr>
                  <w:tcW w:w="338" w:type="pct"/>
                  <w:shd w:val="clear" w:color="auto" w:fill="auto"/>
                  <w:noWrap w:val="0"/>
                  <w:vAlign w:val="center"/>
                </w:tcPr>
                <w:p w14:paraId="71900AF6">
                  <w:pPr>
                    <w:pStyle w:val="1111"/>
                    <w:bidi w:val="0"/>
                  </w:pPr>
                  <w:r>
                    <w:t>0.17</w:t>
                  </w:r>
                </w:p>
              </w:tc>
              <w:tc>
                <w:tcPr>
                  <w:tcW w:w="368" w:type="pct"/>
                  <w:shd w:val="clear" w:color="auto" w:fill="auto"/>
                  <w:noWrap w:val="0"/>
                  <w:vAlign w:val="center"/>
                </w:tcPr>
                <w:p w14:paraId="478C2461">
                  <w:pPr>
                    <w:pStyle w:val="1111"/>
                    <w:bidi w:val="0"/>
                  </w:pPr>
                  <w:r>
                    <w:t>0.18</w:t>
                  </w:r>
                </w:p>
              </w:tc>
              <w:tc>
                <w:tcPr>
                  <w:tcW w:w="349" w:type="pct"/>
                  <w:shd w:val="clear" w:color="auto" w:fill="auto"/>
                  <w:noWrap w:val="0"/>
                  <w:vAlign w:val="center"/>
                </w:tcPr>
                <w:p w14:paraId="4B3F71AD">
                  <w:pPr>
                    <w:pStyle w:val="1111"/>
                    <w:bidi w:val="0"/>
                  </w:pPr>
                  <w:r>
                    <w:t>0.18</w:t>
                  </w:r>
                </w:p>
              </w:tc>
              <w:tc>
                <w:tcPr>
                  <w:tcW w:w="395" w:type="pct"/>
                  <w:shd w:val="clear" w:color="auto" w:fill="auto"/>
                  <w:noWrap w:val="0"/>
                  <w:vAlign w:val="center"/>
                </w:tcPr>
                <w:p w14:paraId="029781D2">
                  <w:pPr>
                    <w:pStyle w:val="1111"/>
                    <w:bidi w:val="0"/>
                  </w:pPr>
                  <w:r>
                    <w:t>0.18</w:t>
                  </w:r>
                </w:p>
              </w:tc>
              <w:tc>
                <w:tcPr>
                  <w:tcW w:w="394" w:type="pct"/>
                  <w:shd w:val="clear" w:color="auto" w:fill="auto"/>
                  <w:noWrap w:val="0"/>
                  <w:vAlign w:val="center"/>
                </w:tcPr>
                <w:p w14:paraId="3FC0E58A">
                  <w:pPr>
                    <w:pStyle w:val="1111"/>
                    <w:bidi w:val="0"/>
                  </w:pPr>
                  <w:r>
                    <w:t>0.18</w:t>
                  </w:r>
                </w:p>
              </w:tc>
              <w:tc>
                <w:tcPr>
                  <w:tcW w:w="395" w:type="pct"/>
                  <w:shd w:val="clear" w:color="auto" w:fill="auto"/>
                  <w:noWrap w:val="0"/>
                  <w:vAlign w:val="center"/>
                </w:tcPr>
                <w:p w14:paraId="5232C564">
                  <w:pPr>
                    <w:pStyle w:val="1111"/>
                    <w:bidi w:val="0"/>
                  </w:pPr>
                  <w:r>
                    <w:t>0.18</w:t>
                  </w:r>
                </w:p>
              </w:tc>
              <w:tc>
                <w:tcPr>
                  <w:tcW w:w="394" w:type="pct"/>
                  <w:shd w:val="clear" w:color="auto" w:fill="auto"/>
                  <w:noWrap w:val="0"/>
                  <w:vAlign w:val="center"/>
                </w:tcPr>
                <w:p w14:paraId="0C093F69">
                  <w:pPr>
                    <w:pStyle w:val="1111"/>
                    <w:bidi w:val="0"/>
                  </w:pPr>
                  <w:r>
                    <w:t>0.01</w:t>
                  </w:r>
                </w:p>
              </w:tc>
              <w:tc>
                <w:tcPr>
                  <w:tcW w:w="394" w:type="pct"/>
                  <w:shd w:val="clear" w:color="auto" w:fill="auto"/>
                  <w:noWrap w:val="0"/>
                  <w:vAlign w:val="center"/>
                </w:tcPr>
                <w:p w14:paraId="551BA072">
                  <w:pPr>
                    <w:pStyle w:val="1111"/>
                    <w:bidi w:val="0"/>
                  </w:pPr>
                  <w:r>
                    <w:t>0.17</w:t>
                  </w:r>
                </w:p>
              </w:tc>
              <w:tc>
                <w:tcPr>
                  <w:tcW w:w="394" w:type="pct"/>
                  <w:shd w:val="clear" w:color="auto" w:fill="auto"/>
                  <w:noWrap w:val="0"/>
                  <w:vAlign w:val="center"/>
                </w:tcPr>
                <w:p w14:paraId="42D8F3FA">
                  <w:pPr>
                    <w:pStyle w:val="1111"/>
                    <w:bidi w:val="0"/>
                  </w:pPr>
                  <w:r>
                    <w:t>0.18</w:t>
                  </w:r>
                </w:p>
              </w:tc>
            </w:tr>
            <w:tr w14:paraId="754401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 w:type="pct"/>
                  <w:vMerge w:val="continue"/>
                  <w:shd w:val="clear" w:color="auto" w:fill="auto"/>
                  <w:noWrap w:val="0"/>
                  <w:vAlign w:val="center"/>
                </w:tcPr>
                <w:p w14:paraId="3A68972D">
                  <w:pPr>
                    <w:pStyle w:val="1111"/>
                    <w:bidi w:val="0"/>
                  </w:pPr>
                </w:p>
              </w:tc>
              <w:tc>
                <w:tcPr>
                  <w:tcW w:w="494" w:type="pct"/>
                  <w:shd w:val="clear" w:color="auto" w:fill="auto"/>
                  <w:noWrap w:val="0"/>
                  <w:vAlign w:val="center"/>
                </w:tcPr>
                <w:p w14:paraId="42202C2C">
                  <w:pPr>
                    <w:pStyle w:val="1111"/>
                    <w:bidi w:val="0"/>
                  </w:pPr>
                  <w:r>
                    <w:t>氨氮</w:t>
                  </w:r>
                </w:p>
              </w:tc>
              <w:tc>
                <w:tcPr>
                  <w:tcW w:w="368" w:type="pct"/>
                  <w:shd w:val="clear" w:color="auto" w:fill="auto"/>
                  <w:noWrap w:val="0"/>
                  <w:vAlign w:val="center"/>
                </w:tcPr>
                <w:p w14:paraId="27EC9F2F">
                  <w:pPr>
                    <w:pStyle w:val="1111"/>
                    <w:bidi w:val="0"/>
                  </w:pPr>
                  <w:r>
                    <w:t>mg/L</w:t>
                  </w:r>
                </w:p>
              </w:tc>
              <w:tc>
                <w:tcPr>
                  <w:tcW w:w="408" w:type="pct"/>
                  <w:shd w:val="clear" w:color="auto" w:fill="auto"/>
                  <w:noWrap w:val="0"/>
                  <w:vAlign w:val="center"/>
                </w:tcPr>
                <w:p w14:paraId="09D2008D">
                  <w:pPr>
                    <w:pStyle w:val="1111"/>
                    <w:bidi w:val="0"/>
                  </w:pPr>
                  <w:r>
                    <w:t>≤1.0</w:t>
                  </w:r>
                </w:p>
              </w:tc>
              <w:tc>
                <w:tcPr>
                  <w:tcW w:w="338" w:type="pct"/>
                  <w:shd w:val="clear" w:color="auto" w:fill="auto"/>
                  <w:noWrap w:val="0"/>
                  <w:vAlign w:val="center"/>
                </w:tcPr>
                <w:p w14:paraId="2A3A08B8">
                  <w:pPr>
                    <w:pStyle w:val="1111"/>
                    <w:bidi w:val="0"/>
                  </w:pPr>
                  <w:r>
                    <w:t>0.598</w:t>
                  </w:r>
                </w:p>
              </w:tc>
              <w:tc>
                <w:tcPr>
                  <w:tcW w:w="368" w:type="pct"/>
                  <w:shd w:val="clear" w:color="auto" w:fill="auto"/>
                  <w:noWrap w:val="0"/>
                  <w:vAlign w:val="center"/>
                </w:tcPr>
                <w:p w14:paraId="6C856A74">
                  <w:pPr>
                    <w:pStyle w:val="1111"/>
                    <w:bidi w:val="0"/>
                  </w:pPr>
                  <w:r>
                    <w:t>0.610</w:t>
                  </w:r>
                </w:p>
              </w:tc>
              <w:tc>
                <w:tcPr>
                  <w:tcW w:w="349" w:type="pct"/>
                  <w:shd w:val="clear" w:color="auto" w:fill="auto"/>
                  <w:noWrap w:val="0"/>
                  <w:vAlign w:val="center"/>
                </w:tcPr>
                <w:p w14:paraId="4D25638B">
                  <w:pPr>
                    <w:pStyle w:val="1111"/>
                    <w:bidi w:val="0"/>
                  </w:pPr>
                  <w:r>
                    <w:t>0.617</w:t>
                  </w:r>
                </w:p>
              </w:tc>
              <w:tc>
                <w:tcPr>
                  <w:tcW w:w="395" w:type="pct"/>
                  <w:shd w:val="clear" w:color="auto" w:fill="auto"/>
                  <w:noWrap w:val="0"/>
                  <w:vAlign w:val="center"/>
                </w:tcPr>
                <w:p w14:paraId="3EA0AA2D">
                  <w:pPr>
                    <w:pStyle w:val="1111"/>
                    <w:bidi w:val="0"/>
                  </w:pPr>
                  <w:r>
                    <w:t>0.674</w:t>
                  </w:r>
                </w:p>
              </w:tc>
              <w:tc>
                <w:tcPr>
                  <w:tcW w:w="394" w:type="pct"/>
                  <w:shd w:val="clear" w:color="auto" w:fill="auto"/>
                  <w:noWrap w:val="0"/>
                  <w:vAlign w:val="center"/>
                </w:tcPr>
                <w:p w14:paraId="3D0A307E">
                  <w:pPr>
                    <w:pStyle w:val="1111"/>
                    <w:bidi w:val="0"/>
                  </w:pPr>
                  <w:r>
                    <w:t>0.612</w:t>
                  </w:r>
                </w:p>
              </w:tc>
              <w:tc>
                <w:tcPr>
                  <w:tcW w:w="395" w:type="pct"/>
                  <w:shd w:val="clear" w:color="auto" w:fill="auto"/>
                  <w:noWrap w:val="0"/>
                  <w:vAlign w:val="center"/>
                </w:tcPr>
                <w:p w14:paraId="280FFFF9">
                  <w:pPr>
                    <w:pStyle w:val="1111"/>
                    <w:bidi w:val="0"/>
                  </w:pPr>
                  <w:r>
                    <w:t>0.591</w:t>
                  </w:r>
                </w:p>
              </w:tc>
              <w:tc>
                <w:tcPr>
                  <w:tcW w:w="394" w:type="pct"/>
                  <w:shd w:val="clear" w:color="auto" w:fill="auto"/>
                  <w:noWrap w:val="0"/>
                  <w:vAlign w:val="center"/>
                </w:tcPr>
                <w:p w14:paraId="41811780">
                  <w:pPr>
                    <w:pStyle w:val="1111"/>
                    <w:bidi w:val="0"/>
                  </w:pPr>
                  <w:r>
                    <w:t>0.025</w:t>
                  </w:r>
                </w:p>
              </w:tc>
              <w:tc>
                <w:tcPr>
                  <w:tcW w:w="394" w:type="pct"/>
                  <w:shd w:val="clear" w:color="auto" w:fill="auto"/>
                  <w:noWrap w:val="0"/>
                  <w:vAlign w:val="center"/>
                </w:tcPr>
                <w:p w14:paraId="4C26C2C8">
                  <w:pPr>
                    <w:pStyle w:val="1111"/>
                    <w:bidi w:val="0"/>
                  </w:pPr>
                  <w:r>
                    <w:t>0.591</w:t>
                  </w:r>
                </w:p>
              </w:tc>
              <w:tc>
                <w:tcPr>
                  <w:tcW w:w="394" w:type="pct"/>
                  <w:shd w:val="clear" w:color="auto" w:fill="auto"/>
                  <w:noWrap w:val="0"/>
                  <w:vAlign w:val="center"/>
                </w:tcPr>
                <w:p w14:paraId="0333536B">
                  <w:pPr>
                    <w:pStyle w:val="1111"/>
                    <w:bidi w:val="0"/>
                  </w:pPr>
                  <w:r>
                    <w:t>0.674</w:t>
                  </w:r>
                </w:p>
              </w:tc>
            </w:tr>
            <w:tr w14:paraId="36C218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 w:type="pct"/>
                  <w:vMerge w:val="continue"/>
                  <w:shd w:val="clear" w:color="auto" w:fill="auto"/>
                  <w:noWrap w:val="0"/>
                  <w:vAlign w:val="center"/>
                </w:tcPr>
                <w:p w14:paraId="23483669">
                  <w:pPr>
                    <w:pStyle w:val="1111"/>
                    <w:bidi w:val="0"/>
                  </w:pPr>
                </w:p>
              </w:tc>
              <w:tc>
                <w:tcPr>
                  <w:tcW w:w="494" w:type="pct"/>
                  <w:shd w:val="clear" w:color="auto" w:fill="auto"/>
                  <w:noWrap w:val="0"/>
                  <w:vAlign w:val="center"/>
                </w:tcPr>
                <w:p w14:paraId="1886E039">
                  <w:pPr>
                    <w:pStyle w:val="1111"/>
                    <w:bidi w:val="0"/>
                  </w:pPr>
                  <w:r>
                    <w:t>总氮</w:t>
                  </w:r>
                </w:p>
              </w:tc>
              <w:tc>
                <w:tcPr>
                  <w:tcW w:w="368" w:type="pct"/>
                  <w:shd w:val="clear" w:color="auto" w:fill="auto"/>
                  <w:noWrap w:val="0"/>
                  <w:vAlign w:val="center"/>
                </w:tcPr>
                <w:p w14:paraId="15F1AAA8">
                  <w:pPr>
                    <w:pStyle w:val="1111"/>
                    <w:bidi w:val="0"/>
                  </w:pPr>
                  <w:r>
                    <w:t>mg/L</w:t>
                  </w:r>
                </w:p>
              </w:tc>
              <w:tc>
                <w:tcPr>
                  <w:tcW w:w="408" w:type="pct"/>
                  <w:shd w:val="clear" w:color="auto" w:fill="auto"/>
                  <w:noWrap w:val="0"/>
                  <w:vAlign w:val="center"/>
                </w:tcPr>
                <w:p w14:paraId="7B5A0F2E">
                  <w:pPr>
                    <w:pStyle w:val="1111"/>
                    <w:bidi w:val="0"/>
                  </w:pPr>
                  <w:r>
                    <w:t>≤1.0</w:t>
                  </w:r>
                </w:p>
              </w:tc>
              <w:tc>
                <w:tcPr>
                  <w:tcW w:w="338" w:type="pct"/>
                  <w:shd w:val="clear" w:color="auto" w:fill="auto"/>
                  <w:noWrap w:val="0"/>
                  <w:vAlign w:val="center"/>
                </w:tcPr>
                <w:p w14:paraId="46160773">
                  <w:pPr>
                    <w:pStyle w:val="1111"/>
                    <w:bidi w:val="0"/>
                  </w:pPr>
                  <w:r>
                    <w:t>0.87</w:t>
                  </w:r>
                </w:p>
              </w:tc>
              <w:tc>
                <w:tcPr>
                  <w:tcW w:w="368" w:type="pct"/>
                  <w:shd w:val="clear" w:color="auto" w:fill="auto"/>
                  <w:noWrap w:val="0"/>
                  <w:vAlign w:val="center"/>
                </w:tcPr>
                <w:p w14:paraId="32658162">
                  <w:pPr>
                    <w:pStyle w:val="1111"/>
                    <w:bidi w:val="0"/>
                  </w:pPr>
                  <w:r>
                    <w:t>0.82</w:t>
                  </w:r>
                </w:p>
              </w:tc>
              <w:tc>
                <w:tcPr>
                  <w:tcW w:w="349" w:type="pct"/>
                  <w:shd w:val="clear" w:color="auto" w:fill="auto"/>
                  <w:noWrap w:val="0"/>
                  <w:vAlign w:val="center"/>
                </w:tcPr>
                <w:p w14:paraId="76AF4F8C">
                  <w:pPr>
                    <w:pStyle w:val="1111"/>
                    <w:bidi w:val="0"/>
                  </w:pPr>
                  <w:r>
                    <w:t>0.84</w:t>
                  </w:r>
                </w:p>
              </w:tc>
              <w:tc>
                <w:tcPr>
                  <w:tcW w:w="395" w:type="pct"/>
                  <w:shd w:val="clear" w:color="auto" w:fill="auto"/>
                  <w:noWrap w:val="0"/>
                  <w:vAlign w:val="center"/>
                </w:tcPr>
                <w:p w14:paraId="25B278E4">
                  <w:pPr>
                    <w:pStyle w:val="1111"/>
                    <w:bidi w:val="0"/>
                  </w:pPr>
                  <w:r>
                    <w:t>0.83</w:t>
                  </w:r>
                </w:p>
              </w:tc>
              <w:tc>
                <w:tcPr>
                  <w:tcW w:w="394" w:type="pct"/>
                  <w:shd w:val="clear" w:color="auto" w:fill="auto"/>
                  <w:noWrap w:val="0"/>
                  <w:vAlign w:val="center"/>
                </w:tcPr>
                <w:p w14:paraId="3AABF07B">
                  <w:pPr>
                    <w:pStyle w:val="1111"/>
                    <w:bidi w:val="0"/>
                  </w:pPr>
                  <w:r>
                    <w:t>0.84</w:t>
                  </w:r>
                </w:p>
              </w:tc>
              <w:tc>
                <w:tcPr>
                  <w:tcW w:w="395" w:type="pct"/>
                  <w:shd w:val="clear" w:color="auto" w:fill="auto"/>
                  <w:noWrap w:val="0"/>
                  <w:vAlign w:val="center"/>
                </w:tcPr>
                <w:p w14:paraId="3B6F929A">
                  <w:pPr>
                    <w:pStyle w:val="1111"/>
                    <w:bidi w:val="0"/>
                  </w:pPr>
                  <w:r>
                    <w:t>0.81</w:t>
                  </w:r>
                </w:p>
              </w:tc>
              <w:tc>
                <w:tcPr>
                  <w:tcW w:w="394" w:type="pct"/>
                  <w:shd w:val="clear" w:color="auto" w:fill="auto"/>
                  <w:noWrap w:val="0"/>
                  <w:vAlign w:val="center"/>
                </w:tcPr>
                <w:p w14:paraId="611C7624">
                  <w:pPr>
                    <w:pStyle w:val="1111"/>
                    <w:bidi w:val="0"/>
                  </w:pPr>
                  <w:r>
                    <w:t>0.05</w:t>
                  </w:r>
                </w:p>
              </w:tc>
              <w:tc>
                <w:tcPr>
                  <w:tcW w:w="394" w:type="pct"/>
                  <w:shd w:val="clear" w:color="auto" w:fill="auto"/>
                  <w:noWrap w:val="0"/>
                  <w:vAlign w:val="center"/>
                </w:tcPr>
                <w:p w14:paraId="17E1FB4C">
                  <w:pPr>
                    <w:pStyle w:val="1111"/>
                    <w:bidi w:val="0"/>
                  </w:pPr>
                  <w:r>
                    <w:t>0.81</w:t>
                  </w:r>
                </w:p>
              </w:tc>
              <w:tc>
                <w:tcPr>
                  <w:tcW w:w="394" w:type="pct"/>
                  <w:shd w:val="clear" w:color="auto" w:fill="auto"/>
                  <w:noWrap w:val="0"/>
                  <w:vAlign w:val="center"/>
                </w:tcPr>
                <w:p w14:paraId="08EF8E3A">
                  <w:pPr>
                    <w:pStyle w:val="1111"/>
                    <w:bidi w:val="0"/>
                  </w:pPr>
                  <w:r>
                    <w:t>0.87</w:t>
                  </w:r>
                </w:p>
              </w:tc>
            </w:tr>
            <w:tr w14:paraId="483841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 w:type="pct"/>
                  <w:vMerge w:val="restart"/>
                  <w:shd w:val="clear" w:color="auto" w:fill="auto"/>
                  <w:noWrap w:val="0"/>
                  <w:vAlign w:val="center"/>
                </w:tcPr>
                <w:p w14:paraId="7FB03576">
                  <w:pPr>
                    <w:pStyle w:val="1111"/>
                    <w:bidi w:val="0"/>
                  </w:pPr>
                  <w:r>
                    <w:t>W3</w:t>
                  </w:r>
                </w:p>
              </w:tc>
              <w:tc>
                <w:tcPr>
                  <w:tcW w:w="494" w:type="pct"/>
                  <w:shd w:val="clear" w:color="auto" w:fill="auto"/>
                  <w:noWrap w:val="0"/>
                  <w:vAlign w:val="center"/>
                </w:tcPr>
                <w:p w14:paraId="108FD70F">
                  <w:pPr>
                    <w:pStyle w:val="1111"/>
                    <w:bidi w:val="0"/>
                  </w:pPr>
                  <w:r>
                    <w:t>pH</w:t>
                  </w:r>
                </w:p>
              </w:tc>
              <w:tc>
                <w:tcPr>
                  <w:tcW w:w="368" w:type="pct"/>
                  <w:shd w:val="clear" w:color="auto" w:fill="auto"/>
                  <w:noWrap w:val="0"/>
                  <w:vAlign w:val="center"/>
                </w:tcPr>
                <w:p w14:paraId="6411DBA9">
                  <w:pPr>
                    <w:pStyle w:val="1111"/>
                    <w:bidi w:val="0"/>
                  </w:pPr>
                  <w:r>
                    <w:t>无量纲</w:t>
                  </w:r>
                </w:p>
              </w:tc>
              <w:tc>
                <w:tcPr>
                  <w:tcW w:w="408" w:type="pct"/>
                  <w:shd w:val="clear" w:color="auto" w:fill="auto"/>
                  <w:noWrap w:val="0"/>
                  <w:vAlign w:val="center"/>
                </w:tcPr>
                <w:p w14:paraId="177A417C">
                  <w:pPr>
                    <w:pStyle w:val="1111"/>
                    <w:bidi w:val="0"/>
                  </w:pPr>
                  <w:r>
                    <w:t>6-9</w:t>
                  </w:r>
                </w:p>
              </w:tc>
              <w:tc>
                <w:tcPr>
                  <w:tcW w:w="338" w:type="pct"/>
                  <w:shd w:val="clear" w:color="auto" w:fill="auto"/>
                  <w:noWrap w:val="0"/>
                  <w:vAlign w:val="center"/>
                </w:tcPr>
                <w:p w14:paraId="2DF925F5">
                  <w:pPr>
                    <w:pStyle w:val="1111"/>
                    <w:bidi w:val="0"/>
                  </w:pPr>
                  <w:r>
                    <w:t>7.2</w:t>
                  </w:r>
                </w:p>
              </w:tc>
              <w:tc>
                <w:tcPr>
                  <w:tcW w:w="368" w:type="pct"/>
                  <w:shd w:val="clear" w:color="auto" w:fill="auto"/>
                  <w:noWrap w:val="0"/>
                  <w:vAlign w:val="center"/>
                </w:tcPr>
                <w:p w14:paraId="5007D830">
                  <w:pPr>
                    <w:pStyle w:val="1111"/>
                    <w:bidi w:val="0"/>
                  </w:pPr>
                  <w:r>
                    <w:t>7.2</w:t>
                  </w:r>
                </w:p>
              </w:tc>
              <w:tc>
                <w:tcPr>
                  <w:tcW w:w="349" w:type="pct"/>
                  <w:shd w:val="clear" w:color="auto" w:fill="auto"/>
                  <w:noWrap w:val="0"/>
                  <w:vAlign w:val="center"/>
                </w:tcPr>
                <w:p w14:paraId="536933A4">
                  <w:pPr>
                    <w:pStyle w:val="1111"/>
                    <w:bidi w:val="0"/>
                  </w:pPr>
                  <w:r>
                    <w:t>7.5</w:t>
                  </w:r>
                </w:p>
              </w:tc>
              <w:tc>
                <w:tcPr>
                  <w:tcW w:w="395" w:type="pct"/>
                  <w:shd w:val="clear" w:color="auto" w:fill="auto"/>
                  <w:noWrap w:val="0"/>
                  <w:vAlign w:val="center"/>
                </w:tcPr>
                <w:p w14:paraId="73CAC960">
                  <w:pPr>
                    <w:pStyle w:val="1111"/>
                    <w:bidi w:val="0"/>
                  </w:pPr>
                  <w:r>
                    <w:t>7.2</w:t>
                  </w:r>
                </w:p>
              </w:tc>
              <w:tc>
                <w:tcPr>
                  <w:tcW w:w="394" w:type="pct"/>
                  <w:shd w:val="clear" w:color="auto" w:fill="auto"/>
                  <w:noWrap w:val="0"/>
                  <w:vAlign w:val="center"/>
                </w:tcPr>
                <w:p w14:paraId="03FAB16E">
                  <w:pPr>
                    <w:pStyle w:val="1111"/>
                    <w:bidi w:val="0"/>
                  </w:pPr>
                  <w:r>
                    <w:t>7.2</w:t>
                  </w:r>
                </w:p>
              </w:tc>
              <w:tc>
                <w:tcPr>
                  <w:tcW w:w="395" w:type="pct"/>
                  <w:shd w:val="clear" w:color="auto" w:fill="auto"/>
                  <w:noWrap w:val="0"/>
                  <w:vAlign w:val="center"/>
                </w:tcPr>
                <w:p w14:paraId="4A199049">
                  <w:pPr>
                    <w:pStyle w:val="1111"/>
                    <w:bidi w:val="0"/>
                  </w:pPr>
                  <w:r>
                    <w:t>7.3</w:t>
                  </w:r>
                </w:p>
              </w:tc>
              <w:tc>
                <w:tcPr>
                  <w:tcW w:w="394" w:type="pct"/>
                  <w:shd w:val="clear" w:color="auto" w:fill="auto"/>
                  <w:noWrap w:val="0"/>
                  <w:vAlign w:val="center"/>
                </w:tcPr>
                <w:p w14:paraId="14E5ACD6">
                  <w:pPr>
                    <w:pStyle w:val="1111"/>
                    <w:bidi w:val="0"/>
                  </w:pPr>
                  <w:r>
                    <w:t>-</w:t>
                  </w:r>
                </w:p>
              </w:tc>
              <w:tc>
                <w:tcPr>
                  <w:tcW w:w="394" w:type="pct"/>
                  <w:shd w:val="clear" w:color="auto" w:fill="auto"/>
                  <w:noWrap w:val="0"/>
                  <w:vAlign w:val="center"/>
                </w:tcPr>
                <w:p w14:paraId="5FA8ED97">
                  <w:pPr>
                    <w:pStyle w:val="1111"/>
                    <w:bidi w:val="0"/>
                  </w:pPr>
                  <w:r>
                    <w:t>7.2</w:t>
                  </w:r>
                </w:p>
              </w:tc>
              <w:tc>
                <w:tcPr>
                  <w:tcW w:w="394" w:type="pct"/>
                  <w:shd w:val="clear" w:color="auto" w:fill="auto"/>
                  <w:noWrap w:val="0"/>
                  <w:vAlign w:val="center"/>
                </w:tcPr>
                <w:p w14:paraId="69D1FD88">
                  <w:pPr>
                    <w:pStyle w:val="1111"/>
                    <w:bidi w:val="0"/>
                  </w:pPr>
                  <w:r>
                    <w:t>7.5</w:t>
                  </w:r>
                </w:p>
              </w:tc>
            </w:tr>
            <w:tr w14:paraId="2976F1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 w:type="pct"/>
                  <w:vMerge w:val="continue"/>
                  <w:shd w:val="clear" w:color="auto" w:fill="auto"/>
                  <w:noWrap w:val="0"/>
                  <w:vAlign w:val="center"/>
                </w:tcPr>
                <w:p w14:paraId="4274F201">
                  <w:pPr>
                    <w:pStyle w:val="1111"/>
                    <w:bidi w:val="0"/>
                  </w:pPr>
                </w:p>
              </w:tc>
              <w:tc>
                <w:tcPr>
                  <w:tcW w:w="494" w:type="pct"/>
                  <w:shd w:val="clear" w:color="auto" w:fill="auto"/>
                  <w:noWrap w:val="0"/>
                  <w:vAlign w:val="center"/>
                </w:tcPr>
                <w:p w14:paraId="5EE663F4">
                  <w:pPr>
                    <w:pStyle w:val="1111"/>
                    <w:bidi w:val="0"/>
                  </w:pPr>
                  <w:r>
                    <w:t>COD</w:t>
                  </w:r>
                </w:p>
              </w:tc>
              <w:tc>
                <w:tcPr>
                  <w:tcW w:w="368" w:type="pct"/>
                  <w:shd w:val="clear" w:color="auto" w:fill="auto"/>
                  <w:noWrap w:val="0"/>
                  <w:vAlign w:val="center"/>
                </w:tcPr>
                <w:p w14:paraId="7B15A019">
                  <w:pPr>
                    <w:pStyle w:val="1111"/>
                    <w:bidi w:val="0"/>
                  </w:pPr>
                  <w:r>
                    <w:t>mg/L</w:t>
                  </w:r>
                </w:p>
              </w:tc>
              <w:tc>
                <w:tcPr>
                  <w:tcW w:w="408" w:type="pct"/>
                  <w:shd w:val="clear" w:color="auto" w:fill="auto"/>
                  <w:noWrap w:val="0"/>
                  <w:vAlign w:val="center"/>
                </w:tcPr>
                <w:p w14:paraId="51A7510B">
                  <w:pPr>
                    <w:pStyle w:val="1111"/>
                    <w:bidi w:val="0"/>
                  </w:pPr>
                  <w:r>
                    <w:t>≤20</w:t>
                  </w:r>
                </w:p>
              </w:tc>
              <w:tc>
                <w:tcPr>
                  <w:tcW w:w="338" w:type="pct"/>
                  <w:shd w:val="clear" w:color="auto" w:fill="auto"/>
                  <w:noWrap w:val="0"/>
                  <w:vAlign w:val="center"/>
                </w:tcPr>
                <w:p w14:paraId="4DF372E8">
                  <w:pPr>
                    <w:pStyle w:val="1111"/>
                    <w:bidi w:val="0"/>
                  </w:pPr>
                  <w:r>
                    <w:t>14</w:t>
                  </w:r>
                </w:p>
              </w:tc>
              <w:tc>
                <w:tcPr>
                  <w:tcW w:w="368" w:type="pct"/>
                  <w:shd w:val="clear" w:color="auto" w:fill="auto"/>
                  <w:noWrap w:val="0"/>
                  <w:vAlign w:val="center"/>
                </w:tcPr>
                <w:p w14:paraId="12E7155A">
                  <w:pPr>
                    <w:pStyle w:val="1111"/>
                    <w:bidi w:val="0"/>
                  </w:pPr>
                  <w:r>
                    <w:t>14</w:t>
                  </w:r>
                </w:p>
              </w:tc>
              <w:tc>
                <w:tcPr>
                  <w:tcW w:w="349" w:type="pct"/>
                  <w:shd w:val="clear" w:color="auto" w:fill="auto"/>
                  <w:noWrap w:val="0"/>
                  <w:vAlign w:val="center"/>
                </w:tcPr>
                <w:p w14:paraId="52084E6F">
                  <w:pPr>
                    <w:pStyle w:val="1111"/>
                    <w:bidi w:val="0"/>
                  </w:pPr>
                  <w:r>
                    <w:t>14</w:t>
                  </w:r>
                </w:p>
              </w:tc>
              <w:tc>
                <w:tcPr>
                  <w:tcW w:w="395" w:type="pct"/>
                  <w:shd w:val="clear" w:color="auto" w:fill="auto"/>
                  <w:noWrap w:val="0"/>
                  <w:vAlign w:val="center"/>
                </w:tcPr>
                <w:p w14:paraId="67C3651B">
                  <w:pPr>
                    <w:pStyle w:val="1111"/>
                    <w:bidi w:val="0"/>
                  </w:pPr>
                  <w:r>
                    <w:t>14</w:t>
                  </w:r>
                </w:p>
              </w:tc>
              <w:tc>
                <w:tcPr>
                  <w:tcW w:w="394" w:type="pct"/>
                  <w:shd w:val="clear" w:color="auto" w:fill="auto"/>
                  <w:noWrap w:val="0"/>
                  <w:vAlign w:val="center"/>
                </w:tcPr>
                <w:p w14:paraId="248605A8">
                  <w:pPr>
                    <w:pStyle w:val="1111"/>
                    <w:bidi w:val="0"/>
                  </w:pPr>
                  <w:r>
                    <w:t>13</w:t>
                  </w:r>
                </w:p>
              </w:tc>
              <w:tc>
                <w:tcPr>
                  <w:tcW w:w="395" w:type="pct"/>
                  <w:shd w:val="clear" w:color="auto" w:fill="auto"/>
                  <w:noWrap w:val="0"/>
                  <w:vAlign w:val="center"/>
                </w:tcPr>
                <w:p w14:paraId="6408CF75">
                  <w:pPr>
                    <w:pStyle w:val="1111"/>
                    <w:bidi w:val="0"/>
                  </w:pPr>
                  <w:r>
                    <w:t>14</w:t>
                  </w:r>
                </w:p>
              </w:tc>
              <w:tc>
                <w:tcPr>
                  <w:tcW w:w="394" w:type="pct"/>
                  <w:shd w:val="clear" w:color="auto" w:fill="auto"/>
                  <w:noWrap w:val="0"/>
                  <w:vAlign w:val="center"/>
                </w:tcPr>
                <w:p w14:paraId="419CAB05">
                  <w:pPr>
                    <w:pStyle w:val="1111"/>
                    <w:bidi w:val="0"/>
                  </w:pPr>
                  <w:r>
                    <w:t>4</w:t>
                  </w:r>
                </w:p>
              </w:tc>
              <w:tc>
                <w:tcPr>
                  <w:tcW w:w="394" w:type="pct"/>
                  <w:shd w:val="clear" w:color="auto" w:fill="auto"/>
                  <w:noWrap w:val="0"/>
                  <w:vAlign w:val="center"/>
                </w:tcPr>
                <w:p w14:paraId="6D4F87DD">
                  <w:pPr>
                    <w:pStyle w:val="1111"/>
                    <w:bidi w:val="0"/>
                  </w:pPr>
                  <w:r>
                    <w:t>13</w:t>
                  </w:r>
                </w:p>
              </w:tc>
              <w:tc>
                <w:tcPr>
                  <w:tcW w:w="394" w:type="pct"/>
                  <w:shd w:val="clear" w:color="auto" w:fill="auto"/>
                  <w:noWrap w:val="0"/>
                  <w:vAlign w:val="center"/>
                </w:tcPr>
                <w:p w14:paraId="5630802D">
                  <w:pPr>
                    <w:pStyle w:val="1111"/>
                    <w:bidi w:val="0"/>
                  </w:pPr>
                  <w:r>
                    <w:t>14</w:t>
                  </w:r>
                </w:p>
              </w:tc>
            </w:tr>
            <w:tr w14:paraId="4A087A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 w:type="pct"/>
                  <w:vMerge w:val="continue"/>
                  <w:shd w:val="clear" w:color="auto" w:fill="auto"/>
                  <w:noWrap w:val="0"/>
                  <w:vAlign w:val="center"/>
                </w:tcPr>
                <w:p w14:paraId="35E35917">
                  <w:pPr>
                    <w:pStyle w:val="1111"/>
                    <w:bidi w:val="0"/>
                  </w:pPr>
                </w:p>
              </w:tc>
              <w:tc>
                <w:tcPr>
                  <w:tcW w:w="494" w:type="pct"/>
                  <w:shd w:val="clear" w:color="auto" w:fill="auto"/>
                  <w:noWrap w:val="0"/>
                  <w:vAlign w:val="center"/>
                </w:tcPr>
                <w:p w14:paraId="469ABBBF">
                  <w:pPr>
                    <w:pStyle w:val="1111"/>
                    <w:bidi w:val="0"/>
                  </w:pPr>
                  <w:r>
                    <w:t>BOD</w:t>
                  </w:r>
                  <w:r>
                    <w:rPr>
                      <w:vertAlign w:val="subscript"/>
                    </w:rPr>
                    <w:t>5</w:t>
                  </w:r>
                </w:p>
              </w:tc>
              <w:tc>
                <w:tcPr>
                  <w:tcW w:w="368" w:type="pct"/>
                  <w:shd w:val="clear" w:color="auto" w:fill="auto"/>
                  <w:noWrap w:val="0"/>
                  <w:vAlign w:val="center"/>
                </w:tcPr>
                <w:p w14:paraId="65CB37BD">
                  <w:pPr>
                    <w:pStyle w:val="1111"/>
                    <w:bidi w:val="0"/>
                  </w:pPr>
                  <w:r>
                    <w:t>mg/L</w:t>
                  </w:r>
                </w:p>
              </w:tc>
              <w:tc>
                <w:tcPr>
                  <w:tcW w:w="408" w:type="pct"/>
                  <w:shd w:val="clear" w:color="auto" w:fill="auto"/>
                  <w:noWrap w:val="0"/>
                  <w:vAlign w:val="center"/>
                </w:tcPr>
                <w:p w14:paraId="52968F9D">
                  <w:pPr>
                    <w:pStyle w:val="1111"/>
                    <w:bidi w:val="0"/>
                  </w:pPr>
                  <w:r>
                    <w:t>≤4</w:t>
                  </w:r>
                </w:p>
              </w:tc>
              <w:tc>
                <w:tcPr>
                  <w:tcW w:w="338" w:type="pct"/>
                  <w:shd w:val="clear" w:color="auto" w:fill="auto"/>
                  <w:noWrap w:val="0"/>
                  <w:vAlign w:val="center"/>
                </w:tcPr>
                <w:p w14:paraId="612DE305">
                  <w:pPr>
                    <w:pStyle w:val="1111"/>
                    <w:bidi w:val="0"/>
                  </w:pPr>
                  <w:r>
                    <w:t>3.6</w:t>
                  </w:r>
                </w:p>
              </w:tc>
              <w:tc>
                <w:tcPr>
                  <w:tcW w:w="368" w:type="pct"/>
                  <w:shd w:val="clear" w:color="auto" w:fill="auto"/>
                  <w:noWrap w:val="0"/>
                  <w:vAlign w:val="center"/>
                </w:tcPr>
                <w:p w14:paraId="561B02C5">
                  <w:pPr>
                    <w:pStyle w:val="1111"/>
                    <w:bidi w:val="0"/>
                  </w:pPr>
                  <w:r>
                    <w:t>3.4</w:t>
                  </w:r>
                </w:p>
              </w:tc>
              <w:tc>
                <w:tcPr>
                  <w:tcW w:w="349" w:type="pct"/>
                  <w:shd w:val="clear" w:color="auto" w:fill="auto"/>
                  <w:noWrap w:val="0"/>
                  <w:vAlign w:val="center"/>
                </w:tcPr>
                <w:p w14:paraId="74D5267D">
                  <w:pPr>
                    <w:pStyle w:val="1111"/>
                    <w:bidi w:val="0"/>
                  </w:pPr>
                  <w:r>
                    <w:t>3.6</w:t>
                  </w:r>
                </w:p>
              </w:tc>
              <w:tc>
                <w:tcPr>
                  <w:tcW w:w="395" w:type="pct"/>
                  <w:shd w:val="clear" w:color="auto" w:fill="auto"/>
                  <w:noWrap w:val="0"/>
                  <w:vAlign w:val="center"/>
                </w:tcPr>
                <w:p w14:paraId="5858F357">
                  <w:pPr>
                    <w:pStyle w:val="1111"/>
                    <w:bidi w:val="0"/>
                  </w:pPr>
                  <w:r>
                    <w:t>3.5</w:t>
                  </w:r>
                </w:p>
              </w:tc>
              <w:tc>
                <w:tcPr>
                  <w:tcW w:w="394" w:type="pct"/>
                  <w:shd w:val="clear" w:color="auto" w:fill="auto"/>
                  <w:noWrap w:val="0"/>
                  <w:vAlign w:val="center"/>
                </w:tcPr>
                <w:p w14:paraId="0E71F8E0">
                  <w:pPr>
                    <w:pStyle w:val="1111"/>
                    <w:bidi w:val="0"/>
                  </w:pPr>
                  <w:r>
                    <w:t>3.0</w:t>
                  </w:r>
                </w:p>
              </w:tc>
              <w:tc>
                <w:tcPr>
                  <w:tcW w:w="395" w:type="pct"/>
                  <w:shd w:val="clear" w:color="auto" w:fill="auto"/>
                  <w:noWrap w:val="0"/>
                  <w:vAlign w:val="center"/>
                </w:tcPr>
                <w:p w14:paraId="3E2AD78D">
                  <w:pPr>
                    <w:pStyle w:val="1111"/>
                    <w:bidi w:val="0"/>
                  </w:pPr>
                  <w:r>
                    <w:t>2.7</w:t>
                  </w:r>
                </w:p>
              </w:tc>
              <w:tc>
                <w:tcPr>
                  <w:tcW w:w="394" w:type="pct"/>
                  <w:shd w:val="clear" w:color="auto" w:fill="auto"/>
                  <w:noWrap w:val="0"/>
                  <w:vAlign w:val="center"/>
                </w:tcPr>
                <w:p w14:paraId="683CE282">
                  <w:pPr>
                    <w:pStyle w:val="1111"/>
                    <w:bidi w:val="0"/>
                  </w:pPr>
                  <w:r>
                    <w:t>0.5</w:t>
                  </w:r>
                </w:p>
              </w:tc>
              <w:tc>
                <w:tcPr>
                  <w:tcW w:w="394" w:type="pct"/>
                  <w:shd w:val="clear" w:color="auto" w:fill="auto"/>
                  <w:noWrap w:val="0"/>
                  <w:vAlign w:val="center"/>
                </w:tcPr>
                <w:p w14:paraId="5C160049">
                  <w:pPr>
                    <w:pStyle w:val="1111"/>
                    <w:bidi w:val="0"/>
                  </w:pPr>
                  <w:r>
                    <w:t>2.7</w:t>
                  </w:r>
                </w:p>
              </w:tc>
              <w:tc>
                <w:tcPr>
                  <w:tcW w:w="394" w:type="pct"/>
                  <w:shd w:val="clear" w:color="auto" w:fill="auto"/>
                  <w:noWrap w:val="0"/>
                  <w:vAlign w:val="center"/>
                </w:tcPr>
                <w:p w14:paraId="3BD4EB7F">
                  <w:pPr>
                    <w:pStyle w:val="1111"/>
                    <w:bidi w:val="0"/>
                  </w:pPr>
                  <w:r>
                    <w:t>3.6</w:t>
                  </w:r>
                </w:p>
              </w:tc>
            </w:tr>
            <w:tr w14:paraId="33EA49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 w:type="pct"/>
                  <w:vMerge w:val="continue"/>
                  <w:shd w:val="clear" w:color="auto" w:fill="auto"/>
                  <w:noWrap w:val="0"/>
                  <w:vAlign w:val="center"/>
                </w:tcPr>
                <w:p w14:paraId="5E255D15">
                  <w:pPr>
                    <w:pStyle w:val="1111"/>
                    <w:bidi w:val="0"/>
                  </w:pPr>
                </w:p>
              </w:tc>
              <w:tc>
                <w:tcPr>
                  <w:tcW w:w="494" w:type="pct"/>
                  <w:shd w:val="clear" w:color="auto" w:fill="auto"/>
                  <w:noWrap w:val="0"/>
                  <w:vAlign w:val="center"/>
                </w:tcPr>
                <w:p w14:paraId="18D37689">
                  <w:pPr>
                    <w:pStyle w:val="1111"/>
                    <w:bidi w:val="0"/>
                  </w:pPr>
                  <w:r>
                    <w:t>总磷</w:t>
                  </w:r>
                </w:p>
              </w:tc>
              <w:tc>
                <w:tcPr>
                  <w:tcW w:w="368" w:type="pct"/>
                  <w:shd w:val="clear" w:color="auto" w:fill="auto"/>
                  <w:noWrap w:val="0"/>
                  <w:vAlign w:val="center"/>
                </w:tcPr>
                <w:p w14:paraId="6E0AF442">
                  <w:pPr>
                    <w:pStyle w:val="1111"/>
                    <w:bidi w:val="0"/>
                  </w:pPr>
                  <w:r>
                    <w:t>mg/L</w:t>
                  </w:r>
                </w:p>
              </w:tc>
              <w:tc>
                <w:tcPr>
                  <w:tcW w:w="408" w:type="pct"/>
                  <w:shd w:val="clear" w:color="auto" w:fill="auto"/>
                  <w:noWrap w:val="0"/>
                  <w:vAlign w:val="center"/>
                </w:tcPr>
                <w:p w14:paraId="44AF045F">
                  <w:pPr>
                    <w:pStyle w:val="1111"/>
                    <w:bidi w:val="0"/>
                  </w:pPr>
                  <w:r>
                    <w:t>≤0.2</w:t>
                  </w:r>
                </w:p>
              </w:tc>
              <w:tc>
                <w:tcPr>
                  <w:tcW w:w="338" w:type="pct"/>
                  <w:shd w:val="clear" w:color="auto" w:fill="auto"/>
                  <w:noWrap w:val="0"/>
                  <w:vAlign w:val="center"/>
                </w:tcPr>
                <w:p w14:paraId="4782BDDD">
                  <w:pPr>
                    <w:pStyle w:val="1111"/>
                    <w:bidi w:val="0"/>
                  </w:pPr>
                  <w:r>
                    <w:t>0.18</w:t>
                  </w:r>
                </w:p>
              </w:tc>
              <w:tc>
                <w:tcPr>
                  <w:tcW w:w="368" w:type="pct"/>
                  <w:shd w:val="clear" w:color="auto" w:fill="auto"/>
                  <w:noWrap w:val="0"/>
                  <w:vAlign w:val="center"/>
                </w:tcPr>
                <w:p w14:paraId="60EA0D94">
                  <w:pPr>
                    <w:pStyle w:val="1111"/>
                    <w:bidi w:val="0"/>
                  </w:pPr>
                  <w:r>
                    <w:t>0.18</w:t>
                  </w:r>
                </w:p>
              </w:tc>
              <w:tc>
                <w:tcPr>
                  <w:tcW w:w="349" w:type="pct"/>
                  <w:shd w:val="clear" w:color="auto" w:fill="auto"/>
                  <w:noWrap w:val="0"/>
                  <w:vAlign w:val="center"/>
                </w:tcPr>
                <w:p w14:paraId="335883CE">
                  <w:pPr>
                    <w:pStyle w:val="1111"/>
                    <w:bidi w:val="0"/>
                  </w:pPr>
                  <w:r>
                    <w:t>0.18</w:t>
                  </w:r>
                </w:p>
              </w:tc>
              <w:tc>
                <w:tcPr>
                  <w:tcW w:w="395" w:type="pct"/>
                  <w:shd w:val="clear" w:color="auto" w:fill="auto"/>
                  <w:noWrap w:val="0"/>
                  <w:vAlign w:val="center"/>
                </w:tcPr>
                <w:p w14:paraId="500FF351">
                  <w:pPr>
                    <w:pStyle w:val="1111"/>
                    <w:bidi w:val="0"/>
                  </w:pPr>
                  <w:r>
                    <w:t>0.18</w:t>
                  </w:r>
                </w:p>
              </w:tc>
              <w:tc>
                <w:tcPr>
                  <w:tcW w:w="394" w:type="pct"/>
                  <w:shd w:val="clear" w:color="auto" w:fill="auto"/>
                  <w:noWrap w:val="0"/>
                  <w:vAlign w:val="center"/>
                </w:tcPr>
                <w:p w14:paraId="36D992A4">
                  <w:pPr>
                    <w:pStyle w:val="1111"/>
                    <w:bidi w:val="0"/>
                  </w:pPr>
                  <w:r>
                    <w:t>0.18</w:t>
                  </w:r>
                </w:p>
              </w:tc>
              <w:tc>
                <w:tcPr>
                  <w:tcW w:w="395" w:type="pct"/>
                  <w:shd w:val="clear" w:color="auto" w:fill="auto"/>
                  <w:noWrap w:val="0"/>
                  <w:vAlign w:val="center"/>
                </w:tcPr>
                <w:p w14:paraId="1D303B5E">
                  <w:pPr>
                    <w:pStyle w:val="1111"/>
                    <w:bidi w:val="0"/>
                  </w:pPr>
                  <w:r>
                    <w:t>0.18</w:t>
                  </w:r>
                </w:p>
              </w:tc>
              <w:tc>
                <w:tcPr>
                  <w:tcW w:w="394" w:type="pct"/>
                  <w:shd w:val="clear" w:color="auto" w:fill="auto"/>
                  <w:noWrap w:val="0"/>
                  <w:vAlign w:val="center"/>
                </w:tcPr>
                <w:p w14:paraId="595BC4A7">
                  <w:pPr>
                    <w:pStyle w:val="1111"/>
                    <w:bidi w:val="0"/>
                  </w:pPr>
                  <w:r>
                    <w:t>0.01</w:t>
                  </w:r>
                </w:p>
              </w:tc>
              <w:tc>
                <w:tcPr>
                  <w:tcW w:w="394" w:type="pct"/>
                  <w:shd w:val="clear" w:color="auto" w:fill="auto"/>
                  <w:noWrap w:val="0"/>
                  <w:vAlign w:val="center"/>
                </w:tcPr>
                <w:p w14:paraId="2292B547">
                  <w:pPr>
                    <w:pStyle w:val="1111"/>
                    <w:bidi w:val="0"/>
                  </w:pPr>
                  <w:r>
                    <w:t>0.18</w:t>
                  </w:r>
                </w:p>
              </w:tc>
              <w:tc>
                <w:tcPr>
                  <w:tcW w:w="394" w:type="pct"/>
                  <w:shd w:val="clear" w:color="auto" w:fill="auto"/>
                  <w:noWrap w:val="0"/>
                  <w:vAlign w:val="center"/>
                </w:tcPr>
                <w:p w14:paraId="31B1721A">
                  <w:pPr>
                    <w:pStyle w:val="1111"/>
                    <w:bidi w:val="0"/>
                  </w:pPr>
                  <w:r>
                    <w:t>0.18</w:t>
                  </w:r>
                </w:p>
              </w:tc>
            </w:tr>
            <w:tr w14:paraId="793F4B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 w:type="pct"/>
                  <w:vMerge w:val="continue"/>
                  <w:shd w:val="clear" w:color="auto" w:fill="auto"/>
                  <w:noWrap w:val="0"/>
                  <w:vAlign w:val="center"/>
                </w:tcPr>
                <w:p w14:paraId="02922F38">
                  <w:pPr>
                    <w:pStyle w:val="1111"/>
                    <w:bidi w:val="0"/>
                  </w:pPr>
                </w:p>
              </w:tc>
              <w:tc>
                <w:tcPr>
                  <w:tcW w:w="494" w:type="pct"/>
                  <w:shd w:val="clear" w:color="auto" w:fill="auto"/>
                  <w:noWrap w:val="0"/>
                  <w:vAlign w:val="center"/>
                </w:tcPr>
                <w:p w14:paraId="22E2F0A1">
                  <w:pPr>
                    <w:pStyle w:val="1111"/>
                    <w:bidi w:val="0"/>
                  </w:pPr>
                  <w:r>
                    <w:t>氨氮</w:t>
                  </w:r>
                </w:p>
              </w:tc>
              <w:tc>
                <w:tcPr>
                  <w:tcW w:w="368" w:type="pct"/>
                  <w:shd w:val="clear" w:color="auto" w:fill="auto"/>
                  <w:noWrap w:val="0"/>
                  <w:vAlign w:val="center"/>
                </w:tcPr>
                <w:p w14:paraId="77B562A6">
                  <w:pPr>
                    <w:pStyle w:val="1111"/>
                    <w:bidi w:val="0"/>
                  </w:pPr>
                  <w:r>
                    <w:t>mg/L</w:t>
                  </w:r>
                </w:p>
              </w:tc>
              <w:tc>
                <w:tcPr>
                  <w:tcW w:w="408" w:type="pct"/>
                  <w:shd w:val="clear" w:color="auto" w:fill="auto"/>
                  <w:noWrap w:val="0"/>
                  <w:vAlign w:val="center"/>
                </w:tcPr>
                <w:p w14:paraId="532230DA">
                  <w:pPr>
                    <w:pStyle w:val="1111"/>
                    <w:bidi w:val="0"/>
                  </w:pPr>
                  <w:r>
                    <w:t>≤1.0</w:t>
                  </w:r>
                </w:p>
              </w:tc>
              <w:tc>
                <w:tcPr>
                  <w:tcW w:w="338" w:type="pct"/>
                  <w:shd w:val="clear" w:color="auto" w:fill="auto"/>
                  <w:noWrap w:val="0"/>
                  <w:vAlign w:val="center"/>
                </w:tcPr>
                <w:p w14:paraId="0ABA921B">
                  <w:pPr>
                    <w:pStyle w:val="1111"/>
                    <w:bidi w:val="0"/>
                  </w:pPr>
                  <w:r>
                    <w:t>0.634</w:t>
                  </w:r>
                </w:p>
              </w:tc>
              <w:tc>
                <w:tcPr>
                  <w:tcW w:w="368" w:type="pct"/>
                  <w:shd w:val="clear" w:color="auto" w:fill="auto"/>
                  <w:noWrap w:val="0"/>
                  <w:vAlign w:val="center"/>
                </w:tcPr>
                <w:p w14:paraId="4CB74279">
                  <w:pPr>
                    <w:pStyle w:val="1111"/>
                    <w:bidi w:val="0"/>
                  </w:pPr>
                  <w:r>
                    <w:t>0.641</w:t>
                  </w:r>
                </w:p>
              </w:tc>
              <w:tc>
                <w:tcPr>
                  <w:tcW w:w="349" w:type="pct"/>
                  <w:shd w:val="clear" w:color="auto" w:fill="auto"/>
                  <w:noWrap w:val="0"/>
                  <w:vAlign w:val="center"/>
                </w:tcPr>
                <w:p w14:paraId="287FAEB9">
                  <w:pPr>
                    <w:pStyle w:val="1111"/>
                    <w:bidi w:val="0"/>
                  </w:pPr>
                  <w:r>
                    <w:t>0.734</w:t>
                  </w:r>
                </w:p>
              </w:tc>
              <w:tc>
                <w:tcPr>
                  <w:tcW w:w="395" w:type="pct"/>
                  <w:shd w:val="clear" w:color="auto" w:fill="auto"/>
                  <w:noWrap w:val="0"/>
                  <w:vAlign w:val="center"/>
                </w:tcPr>
                <w:p w14:paraId="212C00FC">
                  <w:pPr>
                    <w:pStyle w:val="1111"/>
                    <w:bidi w:val="0"/>
                  </w:pPr>
                  <w:r>
                    <w:t>0.641</w:t>
                  </w:r>
                </w:p>
              </w:tc>
              <w:tc>
                <w:tcPr>
                  <w:tcW w:w="394" w:type="pct"/>
                  <w:shd w:val="clear" w:color="auto" w:fill="auto"/>
                  <w:noWrap w:val="0"/>
                  <w:vAlign w:val="center"/>
                </w:tcPr>
                <w:p w14:paraId="10705F18">
                  <w:pPr>
                    <w:pStyle w:val="1111"/>
                    <w:bidi w:val="0"/>
                  </w:pPr>
                  <w:r>
                    <w:t>0.539</w:t>
                  </w:r>
                </w:p>
              </w:tc>
              <w:tc>
                <w:tcPr>
                  <w:tcW w:w="395" w:type="pct"/>
                  <w:shd w:val="clear" w:color="auto" w:fill="auto"/>
                  <w:noWrap w:val="0"/>
                  <w:vAlign w:val="center"/>
                </w:tcPr>
                <w:p w14:paraId="59D46140">
                  <w:pPr>
                    <w:pStyle w:val="1111"/>
                    <w:bidi w:val="0"/>
                  </w:pPr>
                  <w:r>
                    <w:t>0.548</w:t>
                  </w:r>
                </w:p>
              </w:tc>
              <w:tc>
                <w:tcPr>
                  <w:tcW w:w="394" w:type="pct"/>
                  <w:shd w:val="clear" w:color="auto" w:fill="auto"/>
                  <w:noWrap w:val="0"/>
                  <w:vAlign w:val="center"/>
                </w:tcPr>
                <w:p w14:paraId="4A69B745">
                  <w:pPr>
                    <w:pStyle w:val="1111"/>
                    <w:bidi w:val="0"/>
                  </w:pPr>
                  <w:r>
                    <w:t>0.025</w:t>
                  </w:r>
                </w:p>
              </w:tc>
              <w:tc>
                <w:tcPr>
                  <w:tcW w:w="394" w:type="pct"/>
                  <w:shd w:val="clear" w:color="auto" w:fill="auto"/>
                  <w:noWrap w:val="0"/>
                  <w:vAlign w:val="center"/>
                </w:tcPr>
                <w:p w14:paraId="1EDA37C8">
                  <w:pPr>
                    <w:pStyle w:val="1111"/>
                    <w:bidi w:val="0"/>
                  </w:pPr>
                  <w:r>
                    <w:t>0.539</w:t>
                  </w:r>
                </w:p>
              </w:tc>
              <w:tc>
                <w:tcPr>
                  <w:tcW w:w="394" w:type="pct"/>
                  <w:shd w:val="clear" w:color="auto" w:fill="auto"/>
                  <w:noWrap w:val="0"/>
                  <w:vAlign w:val="center"/>
                </w:tcPr>
                <w:p w14:paraId="2019BFC3">
                  <w:pPr>
                    <w:pStyle w:val="1111"/>
                    <w:bidi w:val="0"/>
                  </w:pPr>
                  <w:r>
                    <w:t>0.736</w:t>
                  </w:r>
                </w:p>
              </w:tc>
            </w:tr>
            <w:tr w14:paraId="533549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 w:type="pct"/>
                  <w:vMerge w:val="continue"/>
                  <w:shd w:val="clear" w:color="auto" w:fill="auto"/>
                  <w:noWrap w:val="0"/>
                  <w:vAlign w:val="center"/>
                </w:tcPr>
                <w:p w14:paraId="6501C956">
                  <w:pPr>
                    <w:pStyle w:val="1111"/>
                    <w:bidi w:val="0"/>
                  </w:pPr>
                </w:p>
              </w:tc>
              <w:tc>
                <w:tcPr>
                  <w:tcW w:w="494" w:type="pct"/>
                  <w:shd w:val="clear" w:color="auto" w:fill="auto"/>
                  <w:noWrap w:val="0"/>
                  <w:vAlign w:val="center"/>
                </w:tcPr>
                <w:p w14:paraId="7C1E540D">
                  <w:pPr>
                    <w:pStyle w:val="1111"/>
                    <w:bidi w:val="0"/>
                  </w:pPr>
                  <w:r>
                    <w:t>总氮</w:t>
                  </w:r>
                </w:p>
              </w:tc>
              <w:tc>
                <w:tcPr>
                  <w:tcW w:w="368" w:type="pct"/>
                  <w:shd w:val="clear" w:color="auto" w:fill="auto"/>
                  <w:noWrap w:val="0"/>
                  <w:vAlign w:val="center"/>
                </w:tcPr>
                <w:p w14:paraId="66E5E73E">
                  <w:pPr>
                    <w:pStyle w:val="1111"/>
                    <w:bidi w:val="0"/>
                  </w:pPr>
                  <w:r>
                    <w:t>mg/L</w:t>
                  </w:r>
                </w:p>
              </w:tc>
              <w:tc>
                <w:tcPr>
                  <w:tcW w:w="408" w:type="pct"/>
                  <w:shd w:val="clear" w:color="auto" w:fill="auto"/>
                  <w:noWrap w:val="0"/>
                  <w:vAlign w:val="center"/>
                </w:tcPr>
                <w:p w14:paraId="5E57450D">
                  <w:pPr>
                    <w:pStyle w:val="1111"/>
                    <w:bidi w:val="0"/>
                  </w:pPr>
                  <w:r>
                    <w:t>≤1.0</w:t>
                  </w:r>
                </w:p>
              </w:tc>
              <w:tc>
                <w:tcPr>
                  <w:tcW w:w="338" w:type="pct"/>
                  <w:shd w:val="clear" w:color="auto" w:fill="auto"/>
                  <w:noWrap w:val="0"/>
                  <w:vAlign w:val="center"/>
                </w:tcPr>
                <w:p w14:paraId="72A0B342">
                  <w:pPr>
                    <w:pStyle w:val="1111"/>
                    <w:bidi w:val="0"/>
                  </w:pPr>
                  <w:r>
                    <w:t>8.1</w:t>
                  </w:r>
                </w:p>
              </w:tc>
              <w:tc>
                <w:tcPr>
                  <w:tcW w:w="368" w:type="pct"/>
                  <w:shd w:val="clear" w:color="auto" w:fill="auto"/>
                  <w:noWrap w:val="0"/>
                  <w:vAlign w:val="center"/>
                </w:tcPr>
                <w:p w14:paraId="0405C72B">
                  <w:pPr>
                    <w:pStyle w:val="1111"/>
                    <w:bidi w:val="0"/>
                  </w:pPr>
                  <w:r>
                    <w:t>8.0</w:t>
                  </w:r>
                </w:p>
              </w:tc>
              <w:tc>
                <w:tcPr>
                  <w:tcW w:w="349" w:type="pct"/>
                  <w:shd w:val="clear" w:color="auto" w:fill="auto"/>
                  <w:noWrap w:val="0"/>
                  <w:vAlign w:val="center"/>
                </w:tcPr>
                <w:p w14:paraId="44DD79D6">
                  <w:pPr>
                    <w:pStyle w:val="1111"/>
                    <w:bidi w:val="0"/>
                  </w:pPr>
                  <w:r>
                    <w:t>8.2</w:t>
                  </w:r>
                </w:p>
              </w:tc>
              <w:tc>
                <w:tcPr>
                  <w:tcW w:w="395" w:type="pct"/>
                  <w:shd w:val="clear" w:color="auto" w:fill="auto"/>
                  <w:noWrap w:val="0"/>
                  <w:vAlign w:val="center"/>
                </w:tcPr>
                <w:p w14:paraId="578A40B2">
                  <w:pPr>
                    <w:pStyle w:val="1111"/>
                    <w:bidi w:val="0"/>
                  </w:pPr>
                  <w:r>
                    <w:t>8.1</w:t>
                  </w:r>
                </w:p>
              </w:tc>
              <w:tc>
                <w:tcPr>
                  <w:tcW w:w="394" w:type="pct"/>
                  <w:shd w:val="clear" w:color="auto" w:fill="auto"/>
                  <w:noWrap w:val="0"/>
                  <w:vAlign w:val="center"/>
                </w:tcPr>
                <w:p w14:paraId="13D67CDD">
                  <w:pPr>
                    <w:pStyle w:val="1111"/>
                    <w:bidi w:val="0"/>
                  </w:pPr>
                  <w:r>
                    <w:t>8.1</w:t>
                  </w:r>
                </w:p>
              </w:tc>
              <w:tc>
                <w:tcPr>
                  <w:tcW w:w="395" w:type="pct"/>
                  <w:shd w:val="clear" w:color="auto" w:fill="auto"/>
                  <w:noWrap w:val="0"/>
                  <w:vAlign w:val="center"/>
                </w:tcPr>
                <w:p w14:paraId="7892E0B2">
                  <w:pPr>
                    <w:pStyle w:val="1111"/>
                    <w:bidi w:val="0"/>
                  </w:pPr>
                  <w:r>
                    <w:t>8.0</w:t>
                  </w:r>
                </w:p>
              </w:tc>
              <w:tc>
                <w:tcPr>
                  <w:tcW w:w="394" w:type="pct"/>
                  <w:shd w:val="clear" w:color="auto" w:fill="auto"/>
                  <w:noWrap w:val="0"/>
                  <w:vAlign w:val="center"/>
                </w:tcPr>
                <w:p w14:paraId="3FCD4C6D">
                  <w:pPr>
                    <w:pStyle w:val="1111"/>
                    <w:bidi w:val="0"/>
                  </w:pPr>
                  <w:r>
                    <w:t>0.05</w:t>
                  </w:r>
                </w:p>
              </w:tc>
              <w:tc>
                <w:tcPr>
                  <w:tcW w:w="394" w:type="pct"/>
                  <w:shd w:val="clear" w:color="auto" w:fill="auto"/>
                  <w:noWrap w:val="0"/>
                  <w:vAlign w:val="center"/>
                </w:tcPr>
                <w:p w14:paraId="3058665B">
                  <w:pPr>
                    <w:pStyle w:val="1111"/>
                    <w:bidi w:val="0"/>
                  </w:pPr>
                  <w:r>
                    <w:t>8.0</w:t>
                  </w:r>
                </w:p>
              </w:tc>
              <w:tc>
                <w:tcPr>
                  <w:tcW w:w="394" w:type="pct"/>
                  <w:shd w:val="clear" w:color="auto" w:fill="auto"/>
                  <w:noWrap w:val="0"/>
                  <w:vAlign w:val="center"/>
                </w:tcPr>
                <w:p w14:paraId="1D935234">
                  <w:pPr>
                    <w:pStyle w:val="1111"/>
                    <w:bidi w:val="0"/>
                  </w:pPr>
                  <w:r>
                    <w:t>8.2</w:t>
                  </w:r>
                </w:p>
              </w:tc>
            </w:tr>
            <w:tr w14:paraId="23ACC9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 w:type="pct"/>
                  <w:vMerge w:val="restart"/>
                  <w:shd w:val="clear" w:color="auto" w:fill="auto"/>
                  <w:noWrap w:val="0"/>
                  <w:vAlign w:val="center"/>
                </w:tcPr>
                <w:p w14:paraId="0599792E">
                  <w:pPr>
                    <w:pStyle w:val="1111"/>
                    <w:bidi w:val="0"/>
                  </w:pPr>
                  <w:r>
                    <w:t>W4</w:t>
                  </w:r>
                </w:p>
              </w:tc>
              <w:tc>
                <w:tcPr>
                  <w:tcW w:w="494" w:type="pct"/>
                  <w:shd w:val="clear" w:color="auto" w:fill="auto"/>
                  <w:noWrap w:val="0"/>
                  <w:vAlign w:val="center"/>
                </w:tcPr>
                <w:p w14:paraId="37718E15">
                  <w:pPr>
                    <w:pStyle w:val="1111"/>
                    <w:bidi w:val="0"/>
                  </w:pPr>
                  <w:r>
                    <w:t>pH</w:t>
                  </w:r>
                </w:p>
              </w:tc>
              <w:tc>
                <w:tcPr>
                  <w:tcW w:w="368" w:type="pct"/>
                  <w:shd w:val="clear" w:color="auto" w:fill="auto"/>
                  <w:noWrap w:val="0"/>
                  <w:vAlign w:val="center"/>
                </w:tcPr>
                <w:p w14:paraId="1AFDD2C6">
                  <w:pPr>
                    <w:pStyle w:val="1111"/>
                    <w:bidi w:val="0"/>
                  </w:pPr>
                  <w:r>
                    <w:t>无量纲</w:t>
                  </w:r>
                </w:p>
              </w:tc>
              <w:tc>
                <w:tcPr>
                  <w:tcW w:w="408" w:type="pct"/>
                  <w:shd w:val="clear" w:color="auto" w:fill="auto"/>
                  <w:noWrap w:val="0"/>
                  <w:vAlign w:val="center"/>
                </w:tcPr>
                <w:p w14:paraId="74C82172">
                  <w:pPr>
                    <w:pStyle w:val="1111"/>
                    <w:bidi w:val="0"/>
                  </w:pPr>
                  <w:r>
                    <w:t>6-9</w:t>
                  </w:r>
                </w:p>
              </w:tc>
              <w:tc>
                <w:tcPr>
                  <w:tcW w:w="338" w:type="pct"/>
                  <w:shd w:val="clear" w:color="auto" w:fill="auto"/>
                  <w:noWrap w:val="0"/>
                  <w:vAlign w:val="center"/>
                </w:tcPr>
                <w:p w14:paraId="733B8AA1">
                  <w:pPr>
                    <w:pStyle w:val="1111"/>
                    <w:bidi w:val="0"/>
                  </w:pPr>
                  <w:r>
                    <w:t>7.4</w:t>
                  </w:r>
                </w:p>
              </w:tc>
              <w:tc>
                <w:tcPr>
                  <w:tcW w:w="368" w:type="pct"/>
                  <w:shd w:val="clear" w:color="auto" w:fill="auto"/>
                  <w:noWrap w:val="0"/>
                  <w:vAlign w:val="center"/>
                </w:tcPr>
                <w:p w14:paraId="0D33C000">
                  <w:pPr>
                    <w:pStyle w:val="1111"/>
                    <w:bidi w:val="0"/>
                  </w:pPr>
                  <w:r>
                    <w:t>7.2</w:t>
                  </w:r>
                </w:p>
              </w:tc>
              <w:tc>
                <w:tcPr>
                  <w:tcW w:w="349" w:type="pct"/>
                  <w:shd w:val="clear" w:color="auto" w:fill="auto"/>
                  <w:noWrap w:val="0"/>
                  <w:vAlign w:val="center"/>
                </w:tcPr>
                <w:p w14:paraId="7E5B5EE6">
                  <w:pPr>
                    <w:pStyle w:val="1111"/>
                    <w:bidi w:val="0"/>
                  </w:pPr>
                  <w:r>
                    <w:t>7.3</w:t>
                  </w:r>
                </w:p>
              </w:tc>
              <w:tc>
                <w:tcPr>
                  <w:tcW w:w="395" w:type="pct"/>
                  <w:shd w:val="clear" w:color="auto" w:fill="auto"/>
                  <w:noWrap w:val="0"/>
                  <w:vAlign w:val="center"/>
                </w:tcPr>
                <w:p w14:paraId="1C2C5647">
                  <w:pPr>
                    <w:pStyle w:val="1111"/>
                    <w:bidi w:val="0"/>
                  </w:pPr>
                  <w:r>
                    <w:t>7.4</w:t>
                  </w:r>
                </w:p>
              </w:tc>
              <w:tc>
                <w:tcPr>
                  <w:tcW w:w="394" w:type="pct"/>
                  <w:shd w:val="clear" w:color="auto" w:fill="auto"/>
                  <w:noWrap w:val="0"/>
                  <w:vAlign w:val="center"/>
                </w:tcPr>
                <w:p w14:paraId="10DD8B7D">
                  <w:pPr>
                    <w:pStyle w:val="1111"/>
                    <w:bidi w:val="0"/>
                  </w:pPr>
                  <w:r>
                    <w:t>7.4</w:t>
                  </w:r>
                </w:p>
              </w:tc>
              <w:tc>
                <w:tcPr>
                  <w:tcW w:w="395" w:type="pct"/>
                  <w:shd w:val="clear" w:color="auto" w:fill="auto"/>
                  <w:noWrap w:val="0"/>
                  <w:vAlign w:val="center"/>
                </w:tcPr>
                <w:p w14:paraId="536362F3">
                  <w:pPr>
                    <w:pStyle w:val="1111"/>
                    <w:bidi w:val="0"/>
                  </w:pPr>
                  <w:r>
                    <w:t>7.1</w:t>
                  </w:r>
                </w:p>
              </w:tc>
              <w:tc>
                <w:tcPr>
                  <w:tcW w:w="394" w:type="pct"/>
                  <w:shd w:val="clear" w:color="auto" w:fill="auto"/>
                  <w:noWrap w:val="0"/>
                  <w:vAlign w:val="center"/>
                </w:tcPr>
                <w:p w14:paraId="366495FE">
                  <w:pPr>
                    <w:pStyle w:val="1111"/>
                    <w:bidi w:val="0"/>
                  </w:pPr>
                  <w:r>
                    <w:t>-</w:t>
                  </w:r>
                </w:p>
              </w:tc>
              <w:tc>
                <w:tcPr>
                  <w:tcW w:w="394" w:type="pct"/>
                  <w:shd w:val="clear" w:color="auto" w:fill="auto"/>
                  <w:noWrap w:val="0"/>
                  <w:vAlign w:val="center"/>
                </w:tcPr>
                <w:p w14:paraId="1B5A5F6B">
                  <w:pPr>
                    <w:pStyle w:val="1111"/>
                    <w:bidi w:val="0"/>
                  </w:pPr>
                  <w:r>
                    <w:t>7.1</w:t>
                  </w:r>
                </w:p>
              </w:tc>
              <w:tc>
                <w:tcPr>
                  <w:tcW w:w="394" w:type="pct"/>
                  <w:shd w:val="clear" w:color="auto" w:fill="auto"/>
                  <w:noWrap w:val="0"/>
                  <w:vAlign w:val="center"/>
                </w:tcPr>
                <w:p w14:paraId="6ECE7F5B">
                  <w:pPr>
                    <w:pStyle w:val="1111"/>
                    <w:bidi w:val="0"/>
                  </w:pPr>
                  <w:r>
                    <w:t>7.4</w:t>
                  </w:r>
                </w:p>
              </w:tc>
            </w:tr>
            <w:tr w14:paraId="18BCE8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 w:type="pct"/>
                  <w:vMerge w:val="continue"/>
                  <w:shd w:val="clear" w:color="auto" w:fill="auto"/>
                  <w:noWrap w:val="0"/>
                  <w:vAlign w:val="center"/>
                </w:tcPr>
                <w:p w14:paraId="35B912E2">
                  <w:pPr>
                    <w:pStyle w:val="1111"/>
                    <w:bidi w:val="0"/>
                  </w:pPr>
                </w:p>
              </w:tc>
              <w:tc>
                <w:tcPr>
                  <w:tcW w:w="494" w:type="pct"/>
                  <w:shd w:val="clear" w:color="auto" w:fill="auto"/>
                  <w:noWrap w:val="0"/>
                  <w:vAlign w:val="center"/>
                </w:tcPr>
                <w:p w14:paraId="6F2F4748">
                  <w:pPr>
                    <w:pStyle w:val="1111"/>
                    <w:bidi w:val="0"/>
                  </w:pPr>
                  <w:r>
                    <w:t>COD</w:t>
                  </w:r>
                </w:p>
              </w:tc>
              <w:tc>
                <w:tcPr>
                  <w:tcW w:w="368" w:type="pct"/>
                  <w:shd w:val="clear" w:color="auto" w:fill="auto"/>
                  <w:noWrap w:val="0"/>
                  <w:vAlign w:val="center"/>
                </w:tcPr>
                <w:p w14:paraId="235112FD">
                  <w:pPr>
                    <w:pStyle w:val="1111"/>
                    <w:bidi w:val="0"/>
                  </w:pPr>
                  <w:r>
                    <w:t>mg/L</w:t>
                  </w:r>
                </w:p>
              </w:tc>
              <w:tc>
                <w:tcPr>
                  <w:tcW w:w="408" w:type="pct"/>
                  <w:shd w:val="clear" w:color="auto" w:fill="auto"/>
                  <w:noWrap w:val="0"/>
                  <w:vAlign w:val="center"/>
                </w:tcPr>
                <w:p w14:paraId="61383657">
                  <w:pPr>
                    <w:pStyle w:val="1111"/>
                    <w:bidi w:val="0"/>
                  </w:pPr>
                  <w:r>
                    <w:t>≤20</w:t>
                  </w:r>
                </w:p>
              </w:tc>
              <w:tc>
                <w:tcPr>
                  <w:tcW w:w="338" w:type="pct"/>
                  <w:shd w:val="clear" w:color="auto" w:fill="auto"/>
                  <w:noWrap w:val="0"/>
                  <w:vAlign w:val="center"/>
                </w:tcPr>
                <w:p w14:paraId="598F22D3">
                  <w:pPr>
                    <w:pStyle w:val="1111"/>
                    <w:bidi w:val="0"/>
                  </w:pPr>
                  <w:r>
                    <w:t>15</w:t>
                  </w:r>
                </w:p>
              </w:tc>
              <w:tc>
                <w:tcPr>
                  <w:tcW w:w="368" w:type="pct"/>
                  <w:shd w:val="clear" w:color="auto" w:fill="auto"/>
                  <w:noWrap w:val="0"/>
                  <w:vAlign w:val="center"/>
                </w:tcPr>
                <w:p w14:paraId="5C382473">
                  <w:pPr>
                    <w:pStyle w:val="1111"/>
                    <w:bidi w:val="0"/>
                  </w:pPr>
                  <w:r>
                    <w:t>16</w:t>
                  </w:r>
                </w:p>
              </w:tc>
              <w:tc>
                <w:tcPr>
                  <w:tcW w:w="349" w:type="pct"/>
                  <w:shd w:val="clear" w:color="auto" w:fill="auto"/>
                  <w:noWrap w:val="0"/>
                  <w:vAlign w:val="center"/>
                </w:tcPr>
                <w:p w14:paraId="203DF072">
                  <w:pPr>
                    <w:pStyle w:val="1111"/>
                    <w:bidi w:val="0"/>
                  </w:pPr>
                  <w:r>
                    <w:t>15</w:t>
                  </w:r>
                </w:p>
              </w:tc>
              <w:tc>
                <w:tcPr>
                  <w:tcW w:w="395" w:type="pct"/>
                  <w:shd w:val="clear" w:color="auto" w:fill="auto"/>
                  <w:noWrap w:val="0"/>
                  <w:vAlign w:val="center"/>
                </w:tcPr>
                <w:p w14:paraId="0E3CFA25">
                  <w:pPr>
                    <w:pStyle w:val="1111"/>
                    <w:bidi w:val="0"/>
                  </w:pPr>
                  <w:r>
                    <w:t>15</w:t>
                  </w:r>
                </w:p>
              </w:tc>
              <w:tc>
                <w:tcPr>
                  <w:tcW w:w="394" w:type="pct"/>
                  <w:shd w:val="clear" w:color="auto" w:fill="auto"/>
                  <w:noWrap w:val="0"/>
                  <w:vAlign w:val="center"/>
                </w:tcPr>
                <w:p w14:paraId="0A3DC029">
                  <w:pPr>
                    <w:pStyle w:val="1111"/>
                    <w:bidi w:val="0"/>
                  </w:pPr>
                  <w:r>
                    <w:t>15</w:t>
                  </w:r>
                </w:p>
              </w:tc>
              <w:tc>
                <w:tcPr>
                  <w:tcW w:w="395" w:type="pct"/>
                  <w:shd w:val="clear" w:color="auto" w:fill="auto"/>
                  <w:noWrap w:val="0"/>
                  <w:vAlign w:val="center"/>
                </w:tcPr>
                <w:p w14:paraId="2EE7BA5A">
                  <w:pPr>
                    <w:pStyle w:val="1111"/>
                    <w:bidi w:val="0"/>
                  </w:pPr>
                  <w:r>
                    <w:t>16</w:t>
                  </w:r>
                </w:p>
              </w:tc>
              <w:tc>
                <w:tcPr>
                  <w:tcW w:w="394" w:type="pct"/>
                  <w:shd w:val="clear" w:color="auto" w:fill="auto"/>
                  <w:noWrap w:val="0"/>
                  <w:vAlign w:val="center"/>
                </w:tcPr>
                <w:p w14:paraId="3B3850B2">
                  <w:pPr>
                    <w:pStyle w:val="1111"/>
                    <w:bidi w:val="0"/>
                  </w:pPr>
                  <w:r>
                    <w:t>4</w:t>
                  </w:r>
                </w:p>
              </w:tc>
              <w:tc>
                <w:tcPr>
                  <w:tcW w:w="394" w:type="pct"/>
                  <w:shd w:val="clear" w:color="auto" w:fill="auto"/>
                  <w:noWrap w:val="0"/>
                  <w:vAlign w:val="center"/>
                </w:tcPr>
                <w:p w14:paraId="426CEC4A">
                  <w:pPr>
                    <w:pStyle w:val="1111"/>
                    <w:bidi w:val="0"/>
                  </w:pPr>
                  <w:r>
                    <w:t>15</w:t>
                  </w:r>
                </w:p>
              </w:tc>
              <w:tc>
                <w:tcPr>
                  <w:tcW w:w="394" w:type="pct"/>
                  <w:shd w:val="clear" w:color="auto" w:fill="auto"/>
                  <w:noWrap w:val="0"/>
                  <w:vAlign w:val="center"/>
                </w:tcPr>
                <w:p w14:paraId="70136232">
                  <w:pPr>
                    <w:pStyle w:val="1111"/>
                    <w:bidi w:val="0"/>
                  </w:pPr>
                  <w:r>
                    <w:t>16</w:t>
                  </w:r>
                </w:p>
              </w:tc>
            </w:tr>
            <w:tr w14:paraId="5B619E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 w:type="pct"/>
                  <w:vMerge w:val="continue"/>
                  <w:shd w:val="clear" w:color="auto" w:fill="auto"/>
                  <w:noWrap w:val="0"/>
                  <w:vAlign w:val="center"/>
                </w:tcPr>
                <w:p w14:paraId="313FB1B3">
                  <w:pPr>
                    <w:pStyle w:val="1111"/>
                    <w:bidi w:val="0"/>
                  </w:pPr>
                </w:p>
              </w:tc>
              <w:tc>
                <w:tcPr>
                  <w:tcW w:w="494" w:type="pct"/>
                  <w:shd w:val="clear" w:color="auto" w:fill="auto"/>
                  <w:noWrap w:val="0"/>
                  <w:vAlign w:val="center"/>
                </w:tcPr>
                <w:p w14:paraId="5401E97F">
                  <w:pPr>
                    <w:pStyle w:val="1111"/>
                    <w:bidi w:val="0"/>
                  </w:pPr>
                  <w:r>
                    <w:t>BOD</w:t>
                  </w:r>
                  <w:r>
                    <w:rPr>
                      <w:vertAlign w:val="subscript"/>
                    </w:rPr>
                    <w:t>5</w:t>
                  </w:r>
                </w:p>
              </w:tc>
              <w:tc>
                <w:tcPr>
                  <w:tcW w:w="368" w:type="pct"/>
                  <w:shd w:val="clear" w:color="auto" w:fill="auto"/>
                  <w:noWrap w:val="0"/>
                  <w:vAlign w:val="center"/>
                </w:tcPr>
                <w:p w14:paraId="26F8A145">
                  <w:pPr>
                    <w:pStyle w:val="1111"/>
                    <w:bidi w:val="0"/>
                  </w:pPr>
                  <w:r>
                    <w:t>mg/L</w:t>
                  </w:r>
                </w:p>
              </w:tc>
              <w:tc>
                <w:tcPr>
                  <w:tcW w:w="408" w:type="pct"/>
                  <w:shd w:val="clear" w:color="auto" w:fill="auto"/>
                  <w:noWrap w:val="0"/>
                  <w:vAlign w:val="center"/>
                </w:tcPr>
                <w:p w14:paraId="3501E60A">
                  <w:pPr>
                    <w:pStyle w:val="1111"/>
                    <w:bidi w:val="0"/>
                  </w:pPr>
                  <w:r>
                    <w:t>≤4</w:t>
                  </w:r>
                </w:p>
              </w:tc>
              <w:tc>
                <w:tcPr>
                  <w:tcW w:w="338" w:type="pct"/>
                  <w:shd w:val="clear" w:color="auto" w:fill="auto"/>
                  <w:noWrap w:val="0"/>
                  <w:vAlign w:val="center"/>
                </w:tcPr>
                <w:p w14:paraId="771D3BF0">
                  <w:pPr>
                    <w:pStyle w:val="1111"/>
                    <w:bidi w:val="0"/>
                  </w:pPr>
                  <w:r>
                    <w:t>2.9</w:t>
                  </w:r>
                </w:p>
              </w:tc>
              <w:tc>
                <w:tcPr>
                  <w:tcW w:w="368" w:type="pct"/>
                  <w:shd w:val="clear" w:color="auto" w:fill="auto"/>
                  <w:noWrap w:val="0"/>
                  <w:vAlign w:val="center"/>
                </w:tcPr>
                <w:p w14:paraId="03AF594D">
                  <w:pPr>
                    <w:pStyle w:val="1111"/>
                    <w:bidi w:val="0"/>
                  </w:pPr>
                  <w:r>
                    <w:t>3.0</w:t>
                  </w:r>
                </w:p>
              </w:tc>
              <w:tc>
                <w:tcPr>
                  <w:tcW w:w="349" w:type="pct"/>
                  <w:shd w:val="clear" w:color="auto" w:fill="auto"/>
                  <w:noWrap w:val="0"/>
                  <w:vAlign w:val="center"/>
                </w:tcPr>
                <w:p w14:paraId="305A3418">
                  <w:pPr>
                    <w:pStyle w:val="1111"/>
                    <w:bidi w:val="0"/>
                  </w:pPr>
                  <w:r>
                    <w:t>3.3</w:t>
                  </w:r>
                </w:p>
              </w:tc>
              <w:tc>
                <w:tcPr>
                  <w:tcW w:w="395" w:type="pct"/>
                  <w:shd w:val="clear" w:color="auto" w:fill="auto"/>
                  <w:noWrap w:val="0"/>
                  <w:vAlign w:val="center"/>
                </w:tcPr>
                <w:p w14:paraId="653A6555">
                  <w:pPr>
                    <w:pStyle w:val="1111"/>
                    <w:bidi w:val="0"/>
                  </w:pPr>
                  <w:r>
                    <w:t>2.7</w:t>
                  </w:r>
                </w:p>
              </w:tc>
              <w:tc>
                <w:tcPr>
                  <w:tcW w:w="394" w:type="pct"/>
                  <w:shd w:val="clear" w:color="auto" w:fill="auto"/>
                  <w:noWrap w:val="0"/>
                  <w:vAlign w:val="center"/>
                </w:tcPr>
                <w:p w14:paraId="7E35BD45">
                  <w:pPr>
                    <w:pStyle w:val="1111"/>
                    <w:bidi w:val="0"/>
                  </w:pPr>
                  <w:r>
                    <w:t>3.2</w:t>
                  </w:r>
                </w:p>
              </w:tc>
              <w:tc>
                <w:tcPr>
                  <w:tcW w:w="395" w:type="pct"/>
                  <w:shd w:val="clear" w:color="auto" w:fill="auto"/>
                  <w:noWrap w:val="0"/>
                  <w:vAlign w:val="center"/>
                </w:tcPr>
                <w:p w14:paraId="30DF7384">
                  <w:pPr>
                    <w:pStyle w:val="1111"/>
                    <w:bidi w:val="0"/>
                  </w:pPr>
                  <w:r>
                    <w:t>3.5</w:t>
                  </w:r>
                </w:p>
              </w:tc>
              <w:tc>
                <w:tcPr>
                  <w:tcW w:w="394" w:type="pct"/>
                  <w:shd w:val="clear" w:color="auto" w:fill="auto"/>
                  <w:noWrap w:val="0"/>
                  <w:vAlign w:val="center"/>
                </w:tcPr>
                <w:p w14:paraId="04748D10">
                  <w:pPr>
                    <w:pStyle w:val="1111"/>
                    <w:bidi w:val="0"/>
                  </w:pPr>
                  <w:r>
                    <w:t>0.5</w:t>
                  </w:r>
                </w:p>
              </w:tc>
              <w:tc>
                <w:tcPr>
                  <w:tcW w:w="394" w:type="pct"/>
                  <w:shd w:val="clear" w:color="auto" w:fill="auto"/>
                  <w:noWrap w:val="0"/>
                  <w:vAlign w:val="center"/>
                </w:tcPr>
                <w:p w14:paraId="5A499D40">
                  <w:pPr>
                    <w:pStyle w:val="1111"/>
                    <w:bidi w:val="0"/>
                  </w:pPr>
                  <w:r>
                    <w:t>2.7</w:t>
                  </w:r>
                </w:p>
              </w:tc>
              <w:tc>
                <w:tcPr>
                  <w:tcW w:w="394" w:type="pct"/>
                  <w:shd w:val="clear" w:color="auto" w:fill="auto"/>
                  <w:noWrap w:val="0"/>
                  <w:vAlign w:val="center"/>
                </w:tcPr>
                <w:p w14:paraId="5355012F">
                  <w:pPr>
                    <w:pStyle w:val="1111"/>
                    <w:bidi w:val="0"/>
                  </w:pPr>
                  <w:r>
                    <w:t>3.5</w:t>
                  </w:r>
                </w:p>
              </w:tc>
            </w:tr>
            <w:tr w14:paraId="754915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 w:type="pct"/>
                  <w:vMerge w:val="continue"/>
                  <w:shd w:val="clear" w:color="auto" w:fill="auto"/>
                  <w:noWrap w:val="0"/>
                  <w:vAlign w:val="center"/>
                </w:tcPr>
                <w:p w14:paraId="0625EF4E">
                  <w:pPr>
                    <w:pStyle w:val="1111"/>
                    <w:bidi w:val="0"/>
                  </w:pPr>
                </w:p>
              </w:tc>
              <w:tc>
                <w:tcPr>
                  <w:tcW w:w="494" w:type="pct"/>
                  <w:shd w:val="clear" w:color="auto" w:fill="auto"/>
                  <w:noWrap w:val="0"/>
                  <w:vAlign w:val="center"/>
                </w:tcPr>
                <w:p w14:paraId="1A435836">
                  <w:pPr>
                    <w:pStyle w:val="1111"/>
                    <w:bidi w:val="0"/>
                  </w:pPr>
                  <w:r>
                    <w:t>总磷</w:t>
                  </w:r>
                </w:p>
              </w:tc>
              <w:tc>
                <w:tcPr>
                  <w:tcW w:w="368" w:type="pct"/>
                  <w:shd w:val="clear" w:color="auto" w:fill="auto"/>
                  <w:noWrap w:val="0"/>
                  <w:vAlign w:val="center"/>
                </w:tcPr>
                <w:p w14:paraId="6248813A">
                  <w:pPr>
                    <w:pStyle w:val="1111"/>
                    <w:bidi w:val="0"/>
                  </w:pPr>
                  <w:r>
                    <w:t>mg/L</w:t>
                  </w:r>
                </w:p>
              </w:tc>
              <w:tc>
                <w:tcPr>
                  <w:tcW w:w="408" w:type="pct"/>
                  <w:shd w:val="clear" w:color="auto" w:fill="auto"/>
                  <w:noWrap w:val="0"/>
                  <w:vAlign w:val="center"/>
                </w:tcPr>
                <w:p w14:paraId="6F95FD1C">
                  <w:pPr>
                    <w:pStyle w:val="1111"/>
                    <w:bidi w:val="0"/>
                  </w:pPr>
                  <w:r>
                    <w:t>≤0.2</w:t>
                  </w:r>
                </w:p>
              </w:tc>
              <w:tc>
                <w:tcPr>
                  <w:tcW w:w="338" w:type="pct"/>
                  <w:shd w:val="clear" w:color="auto" w:fill="auto"/>
                  <w:noWrap w:val="0"/>
                  <w:vAlign w:val="center"/>
                </w:tcPr>
                <w:p w14:paraId="6D944837">
                  <w:pPr>
                    <w:pStyle w:val="1111"/>
                    <w:bidi w:val="0"/>
                  </w:pPr>
                  <w:r>
                    <w:t>0.16</w:t>
                  </w:r>
                </w:p>
              </w:tc>
              <w:tc>
                <w:tcPr>
                  <w:tcW w:w="368" w:type="pct"/>
                  <w:shd w:val="clear" w:color="auto" w:fill="auto"/>
                  <w:noWrap w:val="0"/>
                  <w:vAlign w:val="center"/>
                </w:tcPr>
                <w:p w14:paraId="3921B17F">
                  <w:pPr>
                    <w:pStyle w:val="1111"/>
                    <w:bidi w:val="0"/>
                  </w:pPr>
                  <w:r>
                    <w:t>0.17</w:t>
                  </w:r>
                </w:p>
              </w:tc>
              <w:tc>
                <w:tcPr>
                  <w:tcW w:w="349" w:type="pct"/>
                  <w:shd w:val="clear" w:color="auto" w:fill="auto"/>
                  <w:noWrap w:val="0"/>
                  <w:vAlign w:val="center"/>
                </w:tcPr>
                <w:p w14:paraId="69215013">
                  <w:pPr>
                    <w:pStyle w:val="1111"/>
                    <w:bidi w:val="0"/>
                  </w:pPr>
                  <w:r>
                    <w:t>0.16</w:t>
                  </w:r>
                </w:p>
              </w:tc>
              <w:tc>
                <w:tcPr>
                  <w:tcW w:w="395" w:type="pct"/>
                  <w:shd w:val="clear" w:color="auto" w:fill="auto"/>
                  <w:noWrap w:val="0"/>
                  <w:vAlign w:val="center"/>
                </w:tcPr>
                <w:p w14:paraId="612E7734">
                  <w:pPr>
                    <w:pStyle w:val="1111"/>
                    <w:bidi w:val="0"/>
                  </w:pPr>
                  <w:r>
                    <w:t>0.17</w:t>
                  </w:r>
                </w:p>
              </w:tc>
              <w:tc>
                <w:tcPr>
                  <w:tcW w:w="394" w:type="pct"/>
                  <w:shd w:val="clear" w:color="auto" w:fill="auto"/>
                  <w:noWrap w:val="0"/>
                  <w:vAlign w:val="center"/>
                </w:tcPr>
                <w:p w14:paraId="46EFD04E">
                  <w:pPr>
                    <w:pStyle w:val="1111"/>
                    <w:bidi w:val="0"/>
                  </w:pPr>
                  <w:r>
                    <w:t>0.17</w:t>
                  </w:r>
                </w:p>
              </w:tc>
              <w:tc>
                <w:tcPr>
                  <w:tcW w:w="395" w:type="pct"/>
                  <w:shd w:val="clear" w:color="auto" w:fill="auto"/>
                  <w:noWrap w:val="0"/>
                  <w:vAlign w:val="center"/>
                </w:tcPr>
                <w:p w14:paraId="3D7F6213">
                  <w:pPr>
                    <w:pStyle w:val="1111"/>
                    <w:bidi w:val="0"/>
                  </w:pPr>
                  <w:r>
                    <w:t>0.17</w:t>
                  </w:r>
                </w:p>
              </w:tc>
              <w:tc>
                <w:tcPr>
                  <w:tcW w:w="394" w:type="pct"/>
                  <w:shd w:val="clear" w:color="auto" w:fill="auto"/>
                  <w:noWrap w:val="0"/>
                  <w:vAlign w:val="center"/>
                </w:tcPr>
                <w:p w14:paraId="38B79B61">
                  <w:pPr>
                    <w:pStyle w:val="1111"/>
                    <w:bidi w:val="0"/>
                  </w:pPr>
                  <w:r>
                    <w:t>0.01</w:t>
                  </w:r>
                </w:p>
              </w:tc>
              <w:tc>
                <w:tcPr>
                  <w:tcW w:w="394" w:type="pct"/>
                  <w:shd w:val="clear" w:color="auto" w:fill="auto"/>
                  <w:noWrap w:val="0"/>
                  <w:vAlign w:val="center"/>
                </w:tcPr>
                <w:p w14:paraId="1DDBE2D0">
                  <w:pPr>
                    <w:pStyle w:val="1111"/>
                    <w:bidi w:val="0"/>
                  </w:pPr>
                  <w:r>
                    <w:t>0.16</w:t>
                  </w:r>
                </w:p>
              </w:tc>
              <w:tc>
                <w:tcPr>
                  <w:tcW w:w="394" w:type="pct"/>
                  <w:shd w:val="clear" w:color="auto" w:fill="auto"/>
                  <w:noWrap w:val="0"/>
                  <w:vAlign w:val="center"/>
                </w:tcPr>
                <w:p w14:paraId="24F3941D">
                  <w:pPr>
                    <w:pStyle w:val="1111"/>
                    <w:bidi w:val="0"/>
                  </w:pPr>
                  <w:r>
                    <w:t>0.17</w:t>
                  </w:r>
                </w:p>
              </w:tc>
            </w:tr>
            <w:tr w14:paraId="03ABBB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 w:type="pct"/>
                  <w:vMerge w:val="continue"/>
                  <w:shd w:val="clear" w:color="auto" w:fill="auto"/>
                  <w:noWrap w:val="0"/>
                  <w:vAlign w:val="center"/>
                </w:tcPr>
                <w:p w14:paraId="142C0162">
                  <w:pPr>
                    <w:pStyle w:val="1111"/>
                    <w:bidi w:val="0"/>
                  </w:pPr>
                </w:p>
              </w:tc>
              <w:tc>
                <w:tcPr>
                  <w:tcW w:w="494" w:type="pct"/>
                  <w:shd w:val="clear" w:color="auto" w:fill="auto"/>
                  <w:noWrap w:val="0"/>
                  <w:vAlign w:val="center"/>
                </w:tcPr>
                <w:p w14:paraId="090ECB9B">
                  <w:pPr>
                    <w:pStyle w:val="1111"/>
                    <w:bidi w:val="0"/>
                  </w:pPr>
                  <w:r>
                    <w:t>氨氮</w:t>
                  </w:r>
                </w:p>
              </w:tc>
              <w:tc>
                <w:tcPr>
                  <w:tcW w:w="368" w:type="pct"/>
                  <w:shd w:val="clear" w:color="auto" w:fill="auto"/>
                  <w:noWrap w:val="0"/>
                  <w:vAlign w:val="center"/>
                </w:tcPr>
                <w:p w14:paraId="71064674">
                  <w:pPr>
                    <w:pStyle w:val="1111"/>
                    <w:bidi w:val="0"/>
                  </w:pPr>
                  <w:r>
                    <w:t>mg/L</w:t>
                  </w:r>
                </w:p>
              </w:tc>
              <w:tc>
                <w:tcPr>
                  <w:tcW w:w="408" w:type="pct"/>
                  <w:shd w:val="clear" w:color="auto" w:fill="auto"/>
                  <w:noWrap w:val="0"/>
                  <w:vAlign w:val="center"/>
                </w:tcPr>
                <w:p w14:paraId="2C60CF7B">
                  <w:pPr>
                    <w:pStyle w:val="1111"/>
                    <w:bidi w:val="0"/>
                  </w:pPr>
                  <w:r>
                    <w:t>≤1.0</w:t>
                  </w:r>
                </w:p>
              </w:tc>
              <w:tc>
                <w:tcPr>
                  <w:tcW w:w="338" w:type="pct"/>
                  <w:shd w:val="clear" w:color="auto" w:fill="auto"/>
                  <w:noWrap w:val="0"/>
                  <w:vAlign w:val="center"/>
                </w:tcPr>
                <w:p w14:paraId="57BED48A">
                  <w:pPr>
                    <w:pStyle w:val="1111"/>
                    <w:bidi w:val="0"/>
                  </w:pPr>
                  <w:r>
                    <w:t>0.619</w:t>
                  </w:r>
                </w:p>
              </w:tc>
              <w:tc>
                <w:tcPr>
                  <w:tcW w:w="368" w:type="pct"/>
                  <w:shd w:val="clear" w:color="auto" w:fill="auto"/>
                  <w:noWrap w:val="0"/>
                  <w:vAlign w:val="center"/>
                </w:tcPr>
                <w:p w14:paraId="462BF705">
                  <w:pPr>
                    <w:pStyle w:val="1111"/>
                    <w:bidi w:val="0"/>
                  </w:pPr>
                  <w:r>
                    <w:t>0.647</w:t>
                  </w:r>
                </w:p>
              </w:tc>
              <w:tc>
                <w:tcPr>
                  <w:tcW w:w="349" w:type="pct"/>
                  <w:shd w:val="clear" w:color="auto" w:fill="auto"/>
                  <w:noWrap w:val="0"/>
                  <w:vAlign w:val="center"/>
                </w:tcPr>
                <w:p w14:paraId="218556B8">
                  <w:pPr>
                    <w:pStyle w:val="1111"/>
                    <w:bidi w:val="0"/>
                  </w:pPr>
                  <w:r>
                    <w:t>0.647</w:t>
                  </w:r>
                </w:p>
              </w:tc>
              <w:tc>
                <w:tcPr>
                  <w:tcW w:w="395" w:type="pct"/>
                  <w:shd w:val="clear" w:color="auto" w:fill="auto"/>
                  <w:noWrap w:val="0"/>
                  <w:vAlign w:val="center"/>
                </w:tcPr>
                <w:p w14:paraId="1420A3BC">
                  <w:pPr>
                    <w:pStyle w:val="1111"/>
                    <w:bidi w:val="0"/>
                  </w:pPr>
                  <w:r>
                    <w:t>0.641</w:t>
                  </w:r>
                </w:p>
              </w:tc>
              <w:tc>
                <w:tcPr>
                  <w:tcW w:w="394" w:type="pct"/>
                  <w:shd w:val="clear" w:color="auto" w:fill="auto"/>
                  <w:noWrap w:val="0"/>
                  <w:vAlign w:val="center"/>
                </w:tcPr>
                <w:p w14:paraId="14B509DB">
                  <w:pPr>
                    <w:pStyle w:val="1111"/>
                    <w:bidi w:val="0"/>
                  </w:pPr>
                  <w:r>
                    <w:t>0.702</w:t>
                  </w:r>
                </w:p>
              </w:tc>
              <w:tc>
                <w:tcPr>
                  <w:tcW w:w="395" w:type="pct"/>
                  <w:shd w:val="clear" w:color="auto" w:fill="auto"/>
                  <w:noWrap w:val="0"/>
                  <w:vAlign w:val="center"/>
                </w:tcPr>
                <w:p w14:paraId="785A9228">
                  <w:pPr>
                    <w:pStyle w:val="1111"/>
                    <w:bidi w:val="0"/>
                  </w:pPr>
                  <w:r>
                    <w:t>0.711</w:t>
                  </w:r>
                </w:p>
              </w:tc>
              <w:tc>
                <w:tcPr>
                  <w:tcW w:w="394" w:type="pct"/>
                  <w:shd w:val="clear" w:color="auto" w:fill="auto"/>
                  <w:noWrap w:val="0"/>
                  <w:vAlign w:val="center"/>
                </w:tcPr>
                <w:p w14:paraId="3812F502">
                  <w:pPr>
                    <w:pStyle w:val="1111"/>
                    <w:bidi w:val="0"/>
                  </w:pPr>
                  <w:r>
                    <w:t>0.025</w:t>
                  </w:r>
                </w:p>
              </w:tc>
              <w:tc>
                <w:tcPr>
                  <w:tcW w:w="394" w:type="pct"/>
                  <w:shd w:val="clear" w:color="auto" w:fill="auto"/>
                  <w:noWrap w:val="0"/>
                  <w:vAlign w:val="center"/>
                </w:tcPr>
                <w:p w14:paraId="0B373D33">
                  <w:pPr>
                    <w:pStyle w:val="1111"/>
                    <w:bidi w:val="0"/>
                  </w:pPr>
                  <w:r>
                    <w:t>0.619</w:t>
                  </w:r>
                </w:p>
              </w:tc>
              <w:tc>
                <w:tcPr>
                  <w:tcW w:w="394" w:type="pct"/>
                  <w:shd w:val="clear" w:color="auto" w:fill="auto"/>
                  <w:noWrap w:val="0"/>
                  <w:vAlign w:val="center"/>
                </w:tcPr>
                <w:p w14:paraId="4D78D1EB">
                  <w:pPr>
                    <w:pStyle w:val="1111"/>
                    <w:bidi w:val="0"/>
                  </w:pPr>
                  <w:r>
                    <w:t>0.711</w:t>
                  </w:r>
                </w:p>
              </w:tc>
            </w:tr>
            <w:tr w14:paraId="66C19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 w:type="pct"/>
                  <w:vMerge w:val="continue"/>
                  <w:shd w:val="clear" w:color="auto" w:fill="auto"/>
                  <w:noWrap w:val="0"/>
                  <w:vAlign w:val="center"/>
                </w:tcPr>
                <w:p w14:paraId="077C9B0D">
                  <w:pPr>
                    <w:pStyle w:val="1111"/>
                    <w:bidi w:val="0"/>
                  </w:pPr>
                </w:p>
              </w:tc>
              <w:tc>
                <w:tcPr>
                  <w:tcW w:w="494" w:type="pct"/>
                  <w:shd w:val="clear" w:color="auto" w:fill="auto"/>
                  <w:noWrap w:val="0"/>
                  <w:vAlign w:val="center"/>
                </w:tcPr>
                <w:p w14:paraId="32C4529E">
                  <w:pPr>
                    <w:pStyle w:val="1111"/>
                    <w:bidi w:val="0"/>
                  </w:pPr>
                  <w:r>
                    <w:t>总氮</w:t>
                  </w:r>
                </w:p>
              </w:tc>
              <w:tc>
                <w:tcPr>
                  <w:tcW w:w="368" w:type="pct"/>
                  <w:shd w:val="clear" w:color="auto" w:fill="auto"/>
                  <w:noWrap w:val="0"/>
                  <w:vAlign w:val="center"/>
                </w:tcPr>
                <w:p w14:paraId="016EBB29">
                  <w:pPr>
                    <w:pStyle w:val="1111"/>
                    <w:bidi w:val="0"/>
                  </w:pPr>
                  <w:r>
                    <w:t>mg/L</w:t>
                  </w:r>
                </w:p>
              </w:tc>
              <w:tc>
                <w:tcPr>
                  <w:tcW w:w="408" w:type="pct"/>
                  <w:shd w:val="clear" w:color="auto" w:fill="auto"/>
                  <w:noWrap w:val="0"/>
                  <w:vAlign w:val="center"/>
                </w:tcPr>
                <w:p w14:paraId="23512336">
                  <w:pPr>
                    <w:pStyle w:val="1111"/>
                    <w:bidi w:val="0"/>
                  </w:pPr>
                  <w:r>
                    <w:t>≤1.0</w:t>
                  </w:r>
                </w:p>
              </w:tc>
              <w:tc>
                <w:tcPr>
                  <w:tcW w:w="338" w:type="pct"/>
                  <w:shd w:val="clear" w:color="auto" w:fill="auto"/>
                  <w:noWrap w:val="0"/>
                  <w:vAlign w:val="center"/>
                </w:tcPr>
                <w:p w14:paraId="647B7488">
                  <w:pPr>
                    <w:pStyle w:val="1111"/>
                    <w:bidi w:val="0"/>
                  </w:pPr>
                  <w:r>
                    <w:t>0.80</w:t>
                  </w:r>
                </w:p>
              </w:tc>
              <w:tc>
                <w:tcPr>
                  <w:tcW w:w="368" w:type="pct"/>
                  <w:shd w:val="clear" w:color="auto" w:fill="auto"/>
                  <w:noWrap w:val="0"/>
                  <w:vAlign w:val="center"/>
                </w:tcPr>
                <w:p w14:paraId="10174ED6">
                  <w:pPr>
                    <w:pStyle w:val="1111"/>
                    <w:bidi w:val="0"/>
                  </w:pPr>
                  <w:r>
                    <w:t>0.82</w:t>
                  </w:r>
                </w:p>
              </w:tc>
              <w:tc>
                <w:tcPr>
                  <w:tcW w:w="349" w:type="pct"/>
                  <w:shd w:val="clear" w:color="auto" w:fill="auto"/>
                  <w:noWrap w:val="0"/>
                  <w:vAlign w:val="center"/>
                </w:tcPr>
                <w:p w14:paraId="656BDD44">
                  <w:pPr>
                    <w:pStyle w:val="1111"/>
                    <w:bidi w:val="0"/>
                  </w:pPr>
                  <w:r>
                    <w:t>0.83</w:t>
                  </w:r>
                </w:p>
              </w:tc>
              <w:tc>
                <w:tcPr>
                  <w:tcW w:w="395" w:type="pct"/>
                  <w:shd w:val="clear" w:color="auto" w:fill="auto"/>
                  <w:noWrap w:val="0"/>
                  <w:vAlign w:val="center"/>
                </w:tcPr>
                <w:p w14:paraId="499DC5C8">
                  <w:pPr>
                    <w:pStyle w:val="1111"/>
                    <w:bidi w:val="0"/>
                  </w:pPr>
                  <w:r>
                    <w:t>0.84</w:t>
                  </w:r>
                </w:p>
              </w:tc>
              <w:tc>
                <w:tcPr>
                  <w:tcW w:w="394" w:type="pct"/>
                  <w:shd w:val="clear" w:color="auto" w:fill="auto"/>
                  <w:noWrap w:val="0"/>
                  <w:vAlign w:val="center"/>
                </w:tcPr>
                <w:p w14:paraId="36FB35AC">
                  <w:pPr>
                    <w:pStyle w:val="1111"/>
                    <w:bidi w:val="0"/>
                  </w:pPr>
                  <w:r>
                    <w:t>0.80</w:t>
                  </w:r>
                </w:p>
              </w:tc>
              <w:tc>
                <w:tcPr>
                  <w:tcW w:w="395" w:type="pct"/>
                  <w:shd w:val="clear" w:color="auto" w:fill="auto"/>
                  <w:noWrap w:val="0"/>
                  <w:vAlign w:val="center"/>
                </w:tcPr>
                <w:p w14:paraId="618305A2">
                  <w:pPr>
                    <w:pStyle w:val="1111"/>
                    <w:bidi w:val="0"/>
                  </w:pPr>
                  <w:r>
                    <w:t>0.82</w:t>
                  </w:r>
                </w:p>
              </w:tc>
              <w:tc>
                <w:tcPr>
                  <w:tcW w:w="394" w:type="pct"/>
                  <w:shd w:val="clear" w:color="auto" w:fill="auto"/>
                  <w:noWrap w:val="0"/>
                  <w:vAlign w:val="center"/>
                </w:tcPr>
                <w:p w14:paraId="49757B73">
                  <w:pPr>
                    <w:pStyle w:val="1111"/>
                    <w:bidi w:val="0"/>
                  </w:pPr>
                  <w:r>
                    <w:t>0.05</w:t>
                  </w:r>
                </w:p>
              </w:tc>
              <w:tc>
                <w:tcPr>
                  <w:tcW w:w="394" w:type="pct"/>
                  <w:shd w:val="clear" w:color="auto" w:fill="auto"/>
                  <w:noWrap w:val="0"/>
                  <w:vAlign w:val="center"/>
                </w:tcPr>
                <w:p w14:paraId="051B5E00">
                  <w:pPr>
                    <w:pStyle w:val="1111"/>
                    <w:bidi w:val="0"/>
                  </w:pPr>
                  <w:r>
                    <w:t>0.80</w:t>
                  </w:r>
                </w:p>
              </w:tc>
              <w:tc>
                <w:tcPr>
                  <w:tcW w:w="394" w:type="pct"/>
                  <w:shd w:val="clear" w:color="auto" w:fill="auto"/>
                  <w:noWrap w:val="0"/>
                  <w:vAlign w:val="center"/>
                </w:tcPr>
                <w:p w14:paraId="235AE8EE">
                  <w:pPr>
                    <w:pStyle w:val="1111"/>
                    <w:bidi w:val="0"/>
                  </w:pPr>
                  <w:r>
                    <w:t>0.84</w:t>
                  </w:r>
                </w:p>
              </w:tc>
            </w:tr>
          </w:tbl>
          <w:p w14:paraId="6363EFBC">
            <w:pPr>
              <w:pStyle w:val="512"/>
              <w:bidi w:val="0"/>
            </w:pPr>
            <w:r>
              <w:rPr>
                <w:rFonts w:ascii="Times New Roman" w:eastAsia="宋体"/>
              </w:rPr>
              <w:t>由现状监测结果分析可知，监测期间，</w:t>
            </w:r>
            <w:r>
              <w:rPr>
                <w:rFonts w:hint="eastAsia"/>
              </w:rPr>
              <w:t>开泰河除污染物因子化学需氧量，其他污染物因子浓度满足《地表水环境质量标准》（G</w:t>
            </w:r>
            <w:r>
              <w:t>B3838-2002</w:t>
            </w:r>
            <w:r>
              <w:rPr>
                <w:rFonts w:hint="eastAsia"/>
              </w:rPr>
              <w:t>）</w:t>
            </w:r>
            <w:r>
              <w:rPr>
                <w:rFonts w:hint="eastAsia" w:ascii="宋体" w:hAnsi="宋体"/>
              </w:rPr>
              <w:t>Ⅳ</w:t>
            </w:r>
            <w:r>
              <w:rPr>
                <w:rFonts w:hint="eastAsia"/>
              </w:rPr>
              <w:t>类标准</w:t>
            </w:r>
            <w:r>
              <w:rPr>
                <w:rFonts w:hint="eastAsia"/>
                <w:lang w:eastAsia="zh-CN"/>
              </w:rPr>
              <w:t>；</w:t>
            </w:r>
            <w:r>
              <w:rPr>
                <w:rFonts w:hint="eastAsia" w:ascii="Times New Roman" w:eastAsia="宋体"/>
              </w:rPr>
              <w:t>大浦河</w:t>
            </w:r>
            <w:r>
              <w:rPr>
                <w:rFonts w:ascii="Times New Roman" w:eastAsia="宋体"/>
              </w:rPr>
              <w:t>排污通道各监测项目均达到《地表水环境质量标准》（GB3838-2002）中</w:t>
            </w:r>
            <w:r>
              <w:rPr>
                <w:rFonts w:hint="eastAsia" w:ascii="宋体" w:hAnsi="宋体" w:eastAsia="宋体" w:cs="宋体"/>
              </w:rPr>
              <w:t>Ⅲ</w:t>
            </w:r>
            <w:r>
              <w:rPr>
                <w:rFonts w:ascii="Times New Roman" w:eastAsia="宋体"/>
              </w:rPr>
              <w:t>类标准，满足目前</w:t>
            </w:r>
            <w:r>
              <w:t>的水域功能规划的要求。</w:t>
            </w:r>
          </w:p>
          <w:p w14:paraId="0AC06DFB">
            <w:pPr>
              <w:pStyle w:val="512"/>
              <w:bidi w:val="0"/>
            </w:pPr>
            <w:r>
              <w:rPr>
                <w:rFonts w:hint="eastAsia"/>
              </w:rPr>
              <w:t>3、声环境质量状况</w:t>
            </w:r>
          </w:p>
          <w:p w14:paraId="7CD7DF62">
            <w:pPr>
              <w:pStyle w:val="512"/>
              <w:bidi w:val="0"/>
            </w:pPr>
            <w:r>
              <w:t>根据《连云港市市区声环境质量功能区划分》，区域声环境执行《声环境质量标准》（GB3096-2008）2类区标准，即昼间≤60dB</w:t>
            </w:r>
            <w:r>
              <w:rPr>
                <w:rFonts w:hint="eastAsia"/>
                <w:lang w:eastAsia="zh-CN"/>
              </w:rPr>
              <w:t>（</w:t>
            </w:r>
            <w:r>
              <w:t>A</w:t>
            </w:r>
            <w:r>
              <w:rPr>
                <w:rFonts w:hint="eastAsia"/>
                <w:lang w:eastAsia="zh-CN"/>
              </w:rPr>
              <w:t>）</w:t>
            </w:r>
            <w:r>
              <w:t>、夜间≤50dB</w:t>
            </w:r>
            <w:r>
              <w:rPr>
                <w:rFonts w:hint="eastAsia"/>
                <w:lang w:eastAsia="zh-CN"/>
              </w:rPr>
              <w:t>（</w:t>
            </w:r>
            <w:r>
              <w:t>A</w:t>
            </w:r>
            <w:r>
              <w:rPr>
                <w:rFonts w:hint="eastAsia"/>
                <w:lang w:eastAsia="zh-CN"/>
              </w:rPr>
              <w:t>）</w:t>
            </w:r>
            <w:r>
              <w:t>。</w:t>
            </w:r>
            <w:r>
              <w:rPr>
                <w:rStyle w:val="511"/>
              </w:rPr>
              <w:t>根据</w:t>
            </w:r>
            <w:r>
              <w:rPr>
                <w:rStyle w:val="511"/>
                <w:rFonts w:hint="eastAsia"/>
                <w:lang w:eastAsia="zh-CN"/>
              </w:rPr>
              <w:t>《</w:t>
            </w:r>
            <w:r>
              <w:rPr>
                <w:rStyle w:val="511"/>
                <w:rFonts w:hint="eastAsia"/>
                <w:lang w:val="en-US" w:eastAsia="zh-CN"/>
              </w:rPr>
              <w:t>2023年度连云港市生态环境状况公报</w:t>
            </w:r>
            <w:r>
              <w:rPr>
                <w:rStyle w:val="511"/>
                <w:rFonts w:hint="eastAsia"/>
                <w:lang w:eastAsia="zh-CN"/>
              </w:rPr>
              <w:t>》</w:t>
            </w:r>
            <w:r>
              <w:rPr>
                <w:rStyle w:val="511"/>
              </w:rPr>
              <w:t>，</w:t>
            </w:r>
            <w:r>
              <w:rPr>
                <w:rStyle w:val="511"/>
                <w:rFonts w:hint="eastAsia"/>
                <w:lang w:val="en-US" w:eastAsia="zh-CN"/>
              </w:rPr>
              <w:t>2023年连云港市（含赣榆区）昼间区域环境噪声平均等效声级为52.7分贝，达到“较好”等级，与去年相比下降0.1分贝；夜间区域环境噪声平均等效声级为45.6分贝，为“一般”等级。2023年，</w:t>
            </w:r>
            <w:r>
              <w:rPr>
                <w:rStyle w:val="511"/>
              </w:rPr>
              <w:t>连云港市（含赣榆区）17个功能区点位</w:t>
            </w:r>
            <w:r>
              <w:rPr>
                <w:rStyle w:val="511"/>
                <w:rFonts w:hint="eastAsia"/>
                <w:lang w:eastAsia="zh-CN"/>
              </w:rPr>
              <w:t>共监测</w:t>
            </w:r>
            <w:r>
              <w:rPr>
                <w:rStyle w:val="511"/>
                <w:rFonts w:hint="eastAsia"/>
                <w:lang w:val="en-US" w:eastAsia="zh-CN"/>
              </w:rPr>
              <w:t>68个频次</w:t>
            </w:r>
            <w:r>
              <w:rPr>
                <w:rStyle w:val="511"/>
              </w:rPr>
              <w:t>，昼</w:t>
            </w:r>
            <w:r>
              <w:rPr>
                <w:rStyle w:val="511"/>
                <w:rFonts w:hint="eastAsia"/>
                <w:lang w:eastAsia="zh-CN"/>
              </w:rPr>
              <w:t>间</w:t>
            </w:r>
            <w:r>
              <w:rPr>
                <w:rStyle w:val="511"/>
              </w:rPr>
              <w:t>、夜间</w:t>
            </w:r>
            <w:r>
              <w:rPr>
                <w:rStyle w:val="511"/>
                <w:rFonts w:hint="eastAsia"/>
                <w:lang w:eastAsia="zh-CN"/>
              </w:rPr>
              <w:t>噪声</w:t>
            </w:r>
            <w:r>
              <w:rPr>
                <w:rStyle w:val="511"/>
              </w:rPr>
              <w:t>达标率均为100%。</w:t>
            </w:r>
          </w:p>
        </w:tc>
      </w:tr>
      <w:tr w14:paraId="6CB0DC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6" w:hRule="atLeast"/>
          <w:jc w:val="center"/>
        </w:trPr>
        <w:tc>
          <w:tcPr>
            <w:tcW w:w="800" w:type="dxa"/>
            <w:vAlign w:val="center"/>
          </w:tcPr>
          <w:p w14:paraId="0F4A14BF">
            <w:pPr>
              <w:adjustRightInd w:val="0"/>
              <w:snapToGrid w:val="0"/>
              <w:jc w:val="center"/>
              <w:rPr>
                <w:kern w:val="0"/>
                <w:szCs w:val="21"/>
              </w:rPr>
            </w:pPr>
            <w:r>
              <w:rPr>
                <w:kern w:val="0"/>
                <w:sz w:val="24"/>
              </w:rPr>
              <w:t>环境保护目标</w:t>
            </w:r>
          </w:p>
        </w:tc>
        <w:tc>
          <w:tcPr>
            <w:tcW w:w="8190" w:type="dxa"/>
            <w:vAlign w:val="center"/>
          </w:tcPr>
          <w:p w14:paraId="5CA44B2B">
            <w:pPr>
              <w:pStyle w:val="512"/>
            </w:pPr>
            <w:r>
              <w:rPr>
                <w:rFonts w:hint="eastAsia"/>
              </w:rPr>
              <w:t>根据本项目所在地环境现状，确定本项目环境保护目标，详见表3</w:t>
            </w:r>
            <w:r>
              <w:t>-</w:t>
            </w:r>
            <w:r>
              <w:rPr>
                <w:rFonts w:hint="eastAsia"/>
                <w:lang w:val="en-US" w:eastAsia="zh-CN"/>
              </w:rPr>
              <w:t>8</w:t>
            </w:r>
            <w:r>
              <w:rPr>
                <w:rFonts w:hint="eastAsia"/>
              </w:rPr>
              <w:t>。</w:t>
            </w:r>
          </w:p>
          <w:p w14:paraId="65C6C867">
            <w:pPr>
              <w:pStyle w:val="1111"/>
              <w:bidi w:val="0"/>
              <w:rPr>
                <w:rFonts w:hint="eastAsia"/>
              </w:rPr>
            </w:pPr>
            <w:r>
              <w:rPr>
                <w:rFonts w:hint="eastAsia"/>
              </w:rPr>
              <w:t>表3</w:t>
            </w:r>
            <w:r>
              <w:t>-</w:t>
            </w:r>
            <w:r>
              <w:rPr>
                <w:rFonts w:hint="eastAsia"/>
                <w:lang w:val="en-US" w:eastAsia="zh-CN"/>
              </w:rPr>
              <w:t>8</w:t>
            </w:r>
            <w:r>
              <w:t xml:space="preserve"> </w:t>
            </w:r>
            <w:r>
              <w:rPr>
                <w:rFonts w:hint="eastAsia"/>
              </w:rPr>
              <w:t>主要环境保护目标</w:t>
            </w:r>
          </w:p>
          <w:tbl>
            <w:tblPr>
              <w:tblStyle w:val="7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875"/>
              <w:gridCol w:w="1179"/>
              <w:gridCol w:w="1122"/>
              <w:gridCol w:w="763"/>
              <w:gridCol w:w="637"/>
              <w:gridCol w:w="1453"/>
              <w:gridCol w:w="676"/>
              <w:gridCol w:w="733"/>
            </w:tblGrid>
            <w:tr w14:paraId="39F691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270" w:type="pct"/>
                  <w:vMerge w:val="restart"/>
                  <w:noWrap w:val="0"/>
                  <w:vAlign w:val="center"/>
                </w:tcPr>
                <w:p w14:paraId="0AFB6A0B">
                  <w:pPr>
                    <w:pStyle w:val="1111"/>
                    <w:bidi w:val="0"/>
                  </w:pPr>
                  <w:r>
                    <w:t>环境</w:t>
                  </w:r>
                </w:p>
              </w:tc>
              <w:tc>
                <w:tcPr>
                  <w:tcW w:w="557" w:type="pct"/>
                  <w:vMerge w:val="restart"/>
                  <w:noWrap w:val="0"/>
                  <w:vAlign w:val="center"/>
                </w:tcPr>
                <w:p w14:paraId="038C253C">
                  <w:pPr>
                    <w:pStyle w:val="1111"/>
                    <w:bidi w:val="0"/>
                  </w:pPr>
                  <w:r>
                    <w:t>环境保护对象</w:t>
                  </w:r>
                </w:p>
              </w:tc>
              <w:tc>
                <w:tcPr>
                  <w:tcW w:w="1463" w:type="pct"/>
                  <w:gridSpan w:val="2"/>
                  <w:noWrap w:val="0"/>
                  <w:vAlign w:val="center"/>
                </w:tcPr>
                <w:p w14:paraId="21336366">
                  <w:pPr>
                    <w:pStyle w:val="1111"/>
                    <w:bidi w:val="0"/>
                  </w:pPr>
                  <w:r>
                    <w:t>坐标</w:t>
                  </w:r>
                </w:p>
              </w:tc>
              <w:tc>
                <w:tcPr>
                  <w:tcW w:w="485" w:type="pct"/>
                  <w:vMerge w:val="restart"/>
                  <w:noWrap w:val="0"/>
                  <w:vAlign w:val="center"/>
                </w:tcPr>
                <w:p w14:paraId="34E95EDE">
                  <w:pPr>
                    <w:pStyle w:val="1111"/>
                    <w:bidi w:val="0"/>
                  </w:pPr>
                  <w:r>
                    <w:t>保护对象</w:t>
                  </w:r>
                </w:p>
              </w:tc>
              <w:tc>
                <w:tcPr>
                  <w:tcW w:w="404" w:type="pct"/>
                  <w:vMerge w:val="restart"/>
                  <w:noWrap w:val="0"/>
                  <w:vAlign w:val="center"/>
                </w:tcPr>
                <w:p w14:paraId="3681B388">
                  <w:pPr>
                    <w:pStyle w:val="1111"/>
                    <w:bidi w:val="0"/>
                  </w:pPr>
                  <w:r>
                    <w:t>保护</w:t>
                  </w:r>
                </w:p>
                <w:p w14:paraId="412EAA9D">
                  <w:pPr>
                    <w:pStyle w:val="1111"/>
                    <w:bidi w:val="0"/>
                  </w:pPr>
                  <w:r>
                    <w:t>内容</w:t>
                  </w:r>
                </w:p>
              </w:tc>
              <w:tc>
                <w:tcPr>
                  <w:tcW w:w="923" w:type="pct"/>
                  <w:vMerge w:val="restart"/>
                  <w:noWrap w:val="0"/>
                  <w:vAlign w:val="center"/>
                </w:tcPr>
                <w:p w14:paraId="58D7EB5A">
                  <w:pPr>
                    <w:pStyle w:val="1111"/>
                    <w:bidi w:val="0"/>
                  </w:pPr>
                  <w:r>
                    <w:t>环境功能区</w:t>
                  </w:r>
                </w:p>
              </w:tc>
              <w:tc>
                <w:tcPr>
                  <w:tcW w:w="430" w:type="pct"/>
                  <w:vMerge w:val="restart"/>
                  <w:noWrap w:val="0"/>
                  <w:vAlign w:val="center"/>
                </w:tcPr>
                <w:p w14:paraId="4A608F10">
                  <w:pPr>
                    <w:pStyle w:val="1111"/>
                    <w:bidi w:val="0"/>
                  </w:pPr>
                  <w:r>
                    <w:t>相对厂址方位</w:t>
                  </w:r>
                </w:p>
              </w:tc>
              <w:tc>
                <w:tcPr>
                  <w:tcW w:w="463" w:type="pct"/>
                  <w:vMerge w:val="restart"/>
                  <w:noWrap w:val="0"/>
                  <w:vAlign w:val="center"/>
                </w:tcPr>
                <w:p w14:paraId="06F3A387">
                  <w:pPr>
                    <w:pStyle w:val="1111"/>
                    <w:bidi w:val="0"/>
                  </w:pPr>
                  <w:r>
                    <w:t>相对厂址距离/m</w:t>
                  </w:r>
                </w:p>
              </w:tc>
            </w:tr>
            <w:tr w14:paraId="69A8A8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270" w:type="pct"/>
                  <w:vMerge w:val="continue"/>
                  <w:noWrap w:val="0"/>
                  <w:vAlign w:val="center"/>
                </w:tcPr>
                <w:p w14:paraId="704342DB">
                  <w:pPr>
                    <w:pStyle w:val="1111"/>
                    <w:bidi w:val="0"/>
                  </w:pPr>
                </w:p>
              </w:tc>
              <w:tc>
                <w:tcPr>
                  <w:tcW w:w="557" w:type="pct"/>
                  <w:vMerge w:val="continue"/>
                  <w:noWrap w:val="0"/>
                  <w:vAlign w:val="center"/>
                </w:tcPr>
                <w:p w14:paraId="0867A42E">
                  <w:pPr>
                    <w:pStyle w:val="1111"/>
                    <w:bidi w:val="0"/>
                  </w:pPr>
                </w:p>
              </w:tc>
              <w:tc>
                <w:tcPr>
                  <w:tcW w:w="750" w:type="pct"/>
                  <w:noWrap w:val="0"/>
                  <w:vAlign w:val="center"/>
                </w:tcPr>
                <w:p w14:paraId="3838D42F">
                  <w:pPr>
                    <w:pStyle w:val="1111"/>
                    <w:bidi w:val="0"/>
                  </w:pPr>
                  <w:r>
                    <w:t>经度°</w:t>
                  </w:r>
                </w:p>
              </w:tc>
              <w:tc>
                <w:tcPr>
                  <w:tcW w:w="713" w:type="pct"/>
                  <w:noWrap w:val="0"/>
                  <w:vAlign w:val="center"/>
                </w:tcPr>
                <w:p w14:paraId="189DEE37">
                  <w:pPr>
                    <w:pStyle w:val="1111"/>
                    <w:bidi w:val="0"/>
                  </w:pPr>
                  <w:r>
                    <w:t>纬度°</w:t>
                  </w:r>
                </w:p>
              </w:tc>
              <w:tc>
                <w:tcPr>
                  <w:tcW w:w="485" w:type="pct"/>
                  <w:vMerge w:val="continue"/>
                  <w:noWrap w:val="0"/>
                  <w:vAlign w:val="center"/>
                </w:tcPr>
                <w:p w14:paraId="0914F29B">
                  <w:pPr>
                    <w:pStyle w:val="1111"/>
                    <w:bidi w:val="0"/>
                  </w:pPr>
                </w:p>
              </w:tc>
              <w:tc>
                <w:tcPr>
                  <w:tcW w:w="404" w:type="pct"/>
                  <w:vMerge w:val="continue"/>
                  <w:noWrap w:val="0"/>
                  <w:vAlign w:val="center"/>
                </w:tcPr>
                <w:p w14:paraId="5030B42F">
                  <w:pPr>
                    <w:pStyle w:val="1111"/>
                    <w:bidi w:val="0"/>
                  </w:pPr>
                </w:p>
              </w:tc>
              <w:tc>
                <w:tcPr>
                  <w:tcW w:w="923" w:type="pct"/>
                  <w:vMerge w:val="continue"/>
                  <w:noWrap w:val="0"/>
                  <w:vAlign w:val="center"/>
                </w:tcPr>
                <w:p w14:paraId="24B009D2">
                  <w:pPr>
                    <w:pStyle w:val="1111"/>
                    <w:bidi w:val="0"/>
                  </w:pPr>
                </w:p>
              </w:tc>
              <w:tc>
                <w:tcPr>
                  <w:tcW w:w="430" w:type="pct"/>
                  <w:vMerge w:val="continue"/>
                  <w:noWrap w:val="0"/>
                  <w:vAlign w:val="center"/>
                </w:tcPr>
                <w:p w14:paraId="471A8AF3">
                  <w:pPr>
                    <w:pStyle w:val="1111"/>
                    <w:bidi w:val="0"/>
                  </w:pPr>
                </w:p>
              </w:tc>
              <w:tc>
                <w:tcPr>
                  <w:tcW w:w="463" w:type="pct"/>
                  <w:vMerge w:val="continue"/>
                  <w:noWrap w:val="0"/>
                  <w:vAlign w:val="center"/>
                </w:tcPr>
                <w:p w14:paraId="01891F94">
                  <w:pPr>
                    <w:pStyle w:val="1111"/>
                    <w:bidi w:val="0"/>
                  </w:pPr>
                </w:p>
              </w:tc>
            </w:tr>
            <w:tr w14:paraId="68D120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70" w:type="pct"/>
                  <w:vMerge w:val="restart"/>
                  <w:noWrap w:val="0"/>
                  <w:vAlign w:val="center"/>
                </w:tcPr>
                <w:p w14:paraId="5C387A8B">
                  <w:pPr>
                    <w:pStyle w:val="1111"/>
                    <w:bidi w:val="0"/>
                    <w:rPr>
                      <w:rFonts w:hint="eastAsia" w:eastAsia="宋体"/>
                      <w:lang w:eastAsia="zh-CN"/>
                    </w:rPr>
                  </w:pPr>
                  <w:r>
                    <w:rPr>
                      <w:rFonts w:hint="eastAsia"/>
                      <w:lang w:eastAsia="zh-CN"/>
                    </w:rPr>
                    <w:t>大气</w:t>
                  </w:r>
                </w:p>
              </w:tc>
              <w:tc>
                <w:tcPr>
                  <w:tcW w:w="557" w:type="pct"/>
                  <w:noWrap w:val="0"/>
                  <w:vAlign w:val="center"/>
                </w:tcPr>
                <w:p w14:paraId="11937839">
                  <w:pPr>
                    <w:pStyle w:val="1111"/>
                    <w:bidi w:val="0"/>
                  </w:pPr>
                  <w:r>
                    <w:t>冠豪名苑</w:t>
                  </w:r>
                </w:p>
              </w:tc>
              <w:tc>
                <w:tcPr>
                  <w:tcW w:w="750" w:type="pct"/>
                  <w:noWrap w:val="0"/>
                  <w:vAlign w:val="center"/>
                </w:tcPr>
                <w:p w14:paraId="393642DD">
                  <w:pPr>
                    <w:pStyle w:val="1111"/>
                    <w:bidi w:val="0"/>
                    <w:rPr>
                      <w:rFonts w:hint="eastAsia"/>
                    </w:rPr>
                  </w:pPr>
                  <w:r>
                    <w:t>119</w:t>
                  </w:r>
                  <w:r>
                    <w:rPr>
                      <w:rFonts w:hint="eastAsia"/>
                    </w:rPr>
                    <w:t>°</w:t>
                  </w:r>
                </w:p>
                <w:p w14:paraId="2706FFB4">
                  <w:pPr>
                    <w:pStyle w:val="1111"/>
                    <w:bidi w:val="0"/>
                    <w:rPr>
                      <w:rFonts w:hint="eastAsia" w:eastAsia="宋体"/>
                      <w:lang w:val="en-US" w:eastAsia="zh-CN"/>
                    </w:rPr>
                  </w:pPr>
                  <w:r>
                    <w:t>13</w:t>
                  </w:r>
                  <w:r>
                    <w:rPr>
                      <w:rFonts w:hint="eastAsia"/>
                      <w:lang w:eastAsia="zh-CN"/>
                    </w:rPr>
                    <w:t>'</w:t>
                  </w:r>
                  <w:r>
                    <w:t>50.22</w:t>
                  </w:r>
                  <w:r>
                    <w:rPr>
                      <w:rFonts w:hint="eastAsia"/>
                      <w:lang w:val="en-US" w:eastAsia="zh-CN"/>
                    </w:rPr>
                    <w:t>"</w:t>
                  </w:r>
                </w:p>
              </w:tc>
              <w:tc>
                <w:tcPr>
                  <w:tcW w:w="713" w:type="pct"/>
                  <w:noWrap w:val="0"/>
                  <w:vAlign w:val="center"/>
                </w:tcPr>
                <w:p w14:paraId="5F0A9815">
                  <w:pPr>
                    <w:pStyle w:val="1111"/>
                    <w:bidi w:val="0"/>
                    <w:rPr>
                      <w:rFonts w:hint="eastAsia"/>
                    </w:rPr>
                  </w:pPr>
                  <w:r>
                    <w:t>34</w:t>
                  </w:r>
                  <w:r>
                    <w:rPr>
                      <w:rFonts w:hint="eastAsia"/>
                    </w:rPr>
                    <w:t>°</w:t>
                  </w:r>
                </w:p>
                <w:p w14:paraId="0877DB9F">
                  <w:pPr>
                    <w:pStyle w:val="1111"/>
                    <w:bidi w:val="0"/>
                    <w:rPr>
                      <w:rFonts w:hint="eastAsia" w:eastAsia="宋体"/>
                      <w:lang w:eastAsia="zh-CN"/>
                    </w:rPr>
                  </w:pPr>
                  <w:r>
                    <w:t>41</w:t>
                  </w:r>
                  <w:r>
                    <w:rPr>
                      <w:rFonts w:hint="eastAsia"/>
                      <w:lang w:eastAsia="zh-CN"/>
                    </w:rPr>
                    <w:t>'</w:t>
                  </w:r>
                  <w:r>
                    <w:t>30.35</w:t>
                  </w:r>
                  <w:r>
                    <w:rPr>
                      <w:rFonts w:hint="eastAsia"/>
                      <w:lang w:eastAsia="zh-CN"/>
                    </w:rPr>
                    <w:t>"</w:t>
                  </w:r>
                </w:p>
              </w:tc>
              <w:tc>
                <w:tcPr>
                  <w:tcW w:w="485" w:type="pct"/>
                  <w:noWrap w:val="0"/>
                  <w:vAlign w:val="center"/>
                </w:tcPr>
                <w:p w14:paraId="4607642B">
                  <w:pPr>
                    <w:pStyle w:val="1111"/>
                    <w:bidi w:val="0"/>
                  </w:pPr>
                  <w:r>
                    <w:rPr>
                      <w:rFonts w:hint="eastAsia"/>
                      <w:lang w:eastAsia="zh-CN"/>
                    </w:rPr>
                    <w:t>约</w:t>
                  </w:r>
                  <w:r>
                    <w:rPr>
                      <w:rFonts w:hint="eastAsia"/>
                      <w:lang w:val="en-US" w:eastAsia="zh-CN"/>
                    </w:rPr>
                    <w:t>2645</w:t>
                  </w:r>
                  <w:r>
                    <w:t>人</w:t>
                  </w:r>
                </w:p>
              </w:tc>
              <w:tc>
                <w:tcPr>
                  <w:tcW w:w="404" w:type="pct"/>
                  <w:noWrap w:val="0"/>
                  <w:vAlign w:val="center"/>
                </w:tcPr>
                <w:p w14:paraId="429C0472">
                  <w:pPr>
                    <w:pStyle w:val="1111"/>
                    <w:bidi w:val="0"/>
                  </w:pPr>
                  <w:r>
                    <w:t>居住区</w:t>
                  </w:r>
                </w:p>
              </w:tc>
              <w:tc>
                <w:tcPr>
                  <w:tcW w:w="923" w:type="pct"/>
                  <w:vMerge w:val="restart"/>
                  <w:noWrap w:val="0"/>
                  <w:vAlign w:val="center"/>
                </w:tcPr>
                <w:p w14:paraId="5528ABF1">
                  <w:pPr>
                    <w:pStyle w:val="1111"/>
                    <w:bidi w:val="0"/>
                  </w:pPr>
                  <w:r>
                    <w:t>GB3095–2012二级</w:t>
                  </w:r>
                </w:p>
              </w:tc>
              <w:tc>
                <w:tcPr>
                  <w:tcW w:w="430" w:type="pct"/>
                  <w:noWrap w:val="0"/>
                  <w:vAlign w:val="center"/>
                </w:tcPr>
                <w:p w14:paraId="642074F6">
                  <w:pPr>
                    <w:pStyle w:val="1111"/>
                    <w:bidi w:val="0"/>
                  </w:pPr>
                  <w:r>
                    <w:t>SE</w:t>
                  </w:r>
                </w:p>
              </w:tc>
              <w:tc>
                <w:tcPr>
                  <w:tcW w:w="463" w:type="pct"/>
                  <w:noWrap w:val="0"/>
                  <w:vAlign w:val="center"/>
                </w:tcPr>
                <w:p w14:paraId="26C7DC3E">
                  <w:pPr>
                    <w:pStyle w:val="1111"/>
                    <w:bidi w:val="0"/>
                    <w:rPr>
                      <w:rFonts w:hint="default" w:eastAsia="宋体"/>
                      <w:lang w:val="en-US" w:eastAsia="zh-CN"/>
                    </w:rPr>
                  </w:pPr>
                  <w:r>
                    <w:rPr>
                      <w:rFonts w:hint="eastAsia"/>
                      <w:lang w:val="en-US" w:eastAsia="zh-CN"/>
                    </w:rPr>
                    <w:t>594</w:t>
                  </w:r>
                </w:p>
              </w:tc>
            </w:tr>
            <w:tr w14:paraId="0C97FF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70" w:type="pct"/>
                  <w:vMerge w:val="continue"/>
                  <w:noWrap w:val="0"/>
                  <w:vAlign w:val="center"/>
                </w:tcPr>
                <w:p w14:paraId="4AF366AA">
                  <w:pPr>
                    <w:pStyle w:val="1111"/>
                    <w:bidi w:val="0"/>
                  </w:pPr>
                </w:p>
              </w:tc>
              <w:tc>
                <w:tcPr>
                  <w:tcW w:w="557" w:type="pct"/>
                  <w:noWrap w:val="0"/>
                  <w:vAlign w:val="center"/>
                </w:tcPr>
                <w:p w14:paraId="3C03F11F">
                  <w:pPr>
                    <w:pStyle w:val="1111"/>
                    <w:bidi w:val="0"/>
                  </w:pPr>
                  <w:r>
                    <w:t>食品药品检验检测中心</w:t>
                  </w:r>
                </w:p>
              </w:tc>
              <w:tc>
                <w:tcPr>
                  <w:tcW w:w="750" w:type="pct"/>
                  <w:noWrap w:val="0"/>
                  <w:vAlign w:val="center"/>
                </w:tcPr>
                <w:p w14:paraId="3EADDFD1">
                  <w:pPr>
                    <w:pStyle w:val="1111"/>
                    <w:bidi w:val="0"/>
                    <w:rPr>
                      <w:rFonts w:hint="eastAsia"/>
                    </w:rPr>
                  </w:pPr>
                  <w:r>
                    <w:t>119</w:t>
                  </w:r>
                  <w:r>
                    <w:rPr>
                      <w:rFonts w:hint="eastAsia"/>
                    </w:rPr>
                    <w:t>°</w:t>
                  </w:r>
                </w:p>
                <w:p w14:paraId="490A55E0">
                  <w:pPr>
                    <w:pStyle w:val="1111"/>
                    <w:bidi w:val="0"/>
                    <w:rPr>
                      <w:rFonts w:hint="eastAsia" w:eastAsia="宋体"/>
                      <w:lang w:eastAsia="zh-CN"/>
                    </w:rPr>
                  </w:pPr>
                  <w:r>
                    <w:t>13</w:t>
                  </w:r>
                  <w:r>
                    <w:rPr>
                      <w:rFonts w:hint="eastAsia"/>
                      <w:lang w:eastAsia="zh-CN"/>
                    </w:rPr>
                    <w:t>'</w:t>
                  </w:r>
                  <w:r>
                    <w:t>34.59</w:t>
                  </w:r>
                  <w:r>
                    <w:rPr>
                      <w:rFonts w:hint="eastAsia"/>
                      <w:lang w:eastAsia="zh-CN"/>
                    </w:rPr>
                    <w:t>"</w:t>
                  </w:r>
                </w:p>
              </w:tc>
              <w:tc>
                <w:tcPr>
                  <w:tcW w:w="713" w:type="pct"/>
                  <w:noWrap w:val="0"/>
                  <w:vAlign w:val="center"/>
                </w:tcPr>
                <w:p w14:paraId="40270538">
                  <w:pPr>
                    <w:pStyle w:val="1111"/>
                    <w:bidi w:val="0"/>
                    <w:rPr>
                      <w:rFonts w:hint="eastAsia"/>
                    </w:rPr>
                  </w:pPr>
                  <w:r>
                    <w:t>34</w:t>
                  </w:r>
                  <w:r>
                    <w:rPr>
                      <w:rFonts w:hint="eastAsia"/>
                    </w:rPr>
                    <w:t>°</w:t>
                  </w:r>
                </w:p>
                <w:p w14:paraId="4507EED8">
                  <w:pPr>
                    <w:pStyle w:val="1111"/>
                    <w:bidi w:val="0"/>
                    <w:rPr>
                      <w:rFonts w:hint="eastAsia" w:eastAsia="宋体"/>
                      <w:lang w:eastAsia="zh-CN"/>
                    </w:rPr>
                  </w:pPr>
                  <w:r>
                    <w:t>41</w:t>
                  </w:r>
                  <w:r>
                    <w:rPr>
                      <w:rFonts w:hint="eastAsia"/>
                      <w:lang w:eastAsia="zh-CN"/>
                    </w:rPr>
                    <w:t>'</w:t>
                  </w:r>
                  <w:r>
                    <w:t>41.25</w:t>
                  </w:r>
                  <w:r>
                    <w:rPr>
                      <w:rFonts w:hint="eastAsia"/>
                      <w:lang w:eastAsia="zh-CN"/>
                    </w:rPr>
                    <w:t>"</w:t>
                  </w:r>
                </w:p>
              </w:tc>
              <w:tc>
                <w:tcPr>
                  <w:tcW w:w="485" w:type="pct"/>
                  <w:noWrap w:val="0"/>
                  <w:vAlign w:val="center"/>
                </w:tcPr>
                <w:p w14:paraId="0813346E">
                  <w:pPr>
                    <w:pStyle w:val="1111"/>
                    <w:bidi w:val="0"/>
                  </w:pPr>
                  <w:r>
                    <w:t>约</w:t>
                  </w:r>
                  <w:r>
                    <w:rPr>
                      <w:rFonts w:hint="eastAsia"/>
                      <w:lang w:val="en-US" w:eastAsia="zh-CN"/>
                    </w:rPr>
                    <w:t>5</w:t>
                  </w:r>
                  <w:r>
                    <w:t>0人</w:t>
                  </w:r>
                </w:p>
              </w:tc>
              <w:tc>
                <w:tcPr>
                  <w:tcW w:w="404" w:type="pct"/>
                  <w:noWrap w:val="0"/>
                  <w:vAlign w:val="center"/>
                </w:tcPr>
                <w:p w14:paraId="012FE90F">
                  <w:pPr>
                    <w:pStyle w:val="1111"/>
                    <w:bidi w:val="0"/>
                  </w:pPr>
                  <w:r>
                    <w:t>检测中心</w:t>
                  </w:r>
                </w:p>
              </w:tc>
              <w:tc>
                <w:tcPr>
                  <w:tcW w:w="923" w:type="pct"/>
                  <w:vMerge w:val="continue"/>
                  <w:noWrap w:val="0"/>
                  <w:vAlign w:val="center"/>
                </w:tcPr>
                <w:p w14:paraId="3B5C10FB">
                  <w:pPr>
                    <w:pStyle w:val="1111"/>
                    <w:bidi w:val="0"/>
                  </w:pPr>
                </w:p>
              </w:tc>
              <w:tc>
                <w:tcPr>
                  <w:tcW w:w="430" w:type="pct"/>
                  <w:noWrap w:val="0"/>
                  <w:vAlign w:val="center"/>
                </w:tcPr>
                <w:p w14:paraId="54016F83">
                  <w:pPr>
                    <w:pStyle w:val="1111"/>
                    <w:bidi w:val="0"/>
                  </w:pPr>
                  <w:r>
                    <w:t>SE</w:t>
                  </w:r>
                </w:p>
              </w:tc>
              <w:tc>
                <w:tcPr>
                  <w:tcW w:w="463" w:type="pct"/>
                  <w:noWrap w:val="0"/>
                  <w:vAlign w:val="center"/>
                </w:tcPr>
                <w:p w14:paraId="1F11E8E3">
                  <w:pPr>
                    <w:pStyle w:val="1111"/>
                    <w:bidi w:val="0"/>
                    <w:rPr>
                      <w:rFonts w:hint="eastAsia" w:eastAsia="宋体"/>
                      <w:lang w:eastAsia="zh-CN"/>
                    </w:rPr>
                  </w:pPr>
                  <w:r>
                    <w:t>45</w:t>
                  </w:r>
                  <w:r>
                    <w:rPr>
                      <w:rFonts w:hint="eastAsia"/>
                      <w:lang w:val="en-US" w:eastAsia="zh-CN"/>
                    </w:rPr>
                    <w:t>4</w:t>
                  </w:r>
                </w:p>
              </w:tc>
            </w:tr>
            <w:tr w14:paraId="4A6738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70" w:type="pct"/>
                  <w:vMerge w:val="continue"/>
                  <w:noWrap w:val="0"/>
                  <w:vAlign w:val="center"/>
                </w:tcPr>
                <w:p w14:paraId="73731225">
                  <w:pPr>
                    <w:pStyle w:val="1111"/>
                    <w:bidi w:val="0"/>
                  </w:pPr>
                </w:p>
              </w:tc>
              <w:tc>
                <w:tcPr>
                  <w:tcW w:w="557" w:type="pct"/>
                  <w:noWrap w:val="0"/>
                  <w:vAlign w:val="center"/>
                </w:tcPr>
                <w:p w14:paraId="27533138">
                  <w:pPr>
                    <w:pStyle w:val="1111"/>
                    <w:bidi w:val="0"/>
                    <w:rPr>
                      <w:rFonts w:hint="eastAsia" w:eastAsia="宋体"/>
                      <w:lang w:eastAsia="zh-CN"/>
                    </w:rPr>
                  </w:pPr>
                  <w:r>
                    <w:rPr>
                      <w:rFonts w:hint="eastAsia"/>
                      <w:lang w:eastAsia="zh-CN"/>
                    </w:rPr>
                    <w:t>规划学校用地</w:t>
                  </w:r>
                </w:p>
              </w:tc>
              <w:tc>
                <w:tcPr>
                  <w:tcW w:w="750" w:type="pct"/>
                  <w:noWrap w:val="0"/>
                  <w:vAlign w:val="center"/>
                </w:tcPr>
                <w:p w14:paraId="76423564">
                  <w:pPr>
                    <w:pStyle w:val="1111"/>
                    <w:bidi w:val="0"/>
                    <w:rPr>
                      <w:rFonts w:hint="eastAsia"/>
                    </w:rPr>
                  </w:pPr>
                  <w:r>
                    <w:rPr>
                      <w:rFonts w:hint="eastAsia"/>
                    </w:rPr>
                    <w:t>119°</w:t>
                  </w:r>
                </w:p>
                <w:p w14:paraId="3699E9DC">
                  <w:pPr>
                    <w:pStyle w:val="1111"/>
                    <w:bidi w:val="0"/>
                  </w:pPr>
                  <w:r>
                    <w:rPr>
                      <w:rFonts w:hint="eastAsia"/>
                    </w:rPr>
                    <w:t>13'43.92"</w:t>
                  </w:r>
                </w:p>
              </w:tc>
              <w:tc>
                <w:tcPr>
                  <w:tcW w:w="713" w:type="pct"/>
                  <w:noWrap w:val="0"/>
                  <w:vAlign w:val="center"/>
                </w:tcPr>
                <w:p w14:paraId="60324F72">
                  <w:pPr>
                    <w:pStyle w:val="1111"/>
                    <w:bidi w:val="0"/>
                    <w:rPr>
                      <w:rFonts w:hint="eastAsia"/>
                    </w:rPr>
                  </w:pPr>
                  <w:r>
                    <w:rPr>
                      <w:rFonts w:hint="eastAsia"/>
                    </w:rPr>
                    <w:t>34°</w:t>
                  </w:r>
                </w:p>
                <w:p w14:paraId="5C81D3F0">
                  <w:pPr>
                    <w:pStyle w:val="1111"/>
                    <w:bidi w:val="0"/>
                  </w:pPr>
                  <w:r>
                    <w:rPr>
                      <w:rFonts w:hint="eastAsia"/>
                    </w:rPr>
                    <w:t>41'29.79"</w:t>
                  </w:r>
                </w:p>
              </w:tc>
              <w:tc>
                <w:tcPr>
                  <w:tcW w:w="485" w:type="pct"/>
                  <w:noWrap w:val="0"/>
                  <w:vAlign w:val="center"/>
                </w:tcPr>
                <w:p w14:paraId="20EB055E">
                  <w:pPr>
                    <w:pStyle w:val="1111"/>
                    <w:bidi w:val="0"/>
                    <w:rPr>
                      <w:rFonts w:hint="eastAsia" w:eastAsia="宋体"/>
                      <w:lang w:val="en-US" w:eastAsia="zh-CN"/>
                    </w:rPr>
                  </w:pPr>
                  <w:r>
                    <w:rPr>
                      <w:rFonts w:hint="eastAsia"/>
                      <w:lang w:val="en-US" w:eastAsia="zh-CN"/>
                    </w:rPr>
                    <w:t>-</w:t>
                  </w:r>
                </w:p>
              </w:tc>
              <w:tc>
                <w:tcPr>
                  <w:tcW w:w="404" w:type="pct"/>
                  <w:noWrap w:val="0"/>
                  <w:vAlign w:val="center"/>
                </w:tcPr>
                <w:p w14:paraId="66E8C376">
                  <w:pPr>
                    <w:pStyle w:val="1111"/>
                    <w:bidi w:val="0"/>
                    <w:rPr>
                      <w:rFonts w:hint="eastAsia" w:eastAsia="宋体"/>
                      <w:lang w:eastAsia="zh-CN"/>
                    </w:rPr>
                  </w:pPr>
                  <w:r>
                    <w:rPr>
                      <w:rFonts w:hint="eastAsia"/>
                      <w:lang w:eastAsia="zh-CN"/>
                    </w:rPr>
                    <w:t>教育</w:t>
                  </w:r>
                </w:p>
              </w:tc>
              <w:tc>
                <w:tcPr>
                  <w:tcW w:w="923" w:type="pct"/>
                  <w:vMerge w:val="continue"/>
                  <w:noWrap w:val="0"/>
                  <w:vAlign w:val="center"/>
                </w:tcPr>
                <w:p w14:paraId="28CB1B57">
                  <w:pPr>
                    <w:pStyle w:val="1111"/>
                    <w:bidi w:val="0"/>
                  </w:pPr>
                </w:p>
              </w:tc>
              <w:tc>
                <w:tcPr>
                  <w:tcW w:w="430" w:type="pct"/>
                  <w:noWrap w:val="0"/>
                  <w:vAlign w:val="center"/>
                </w:tcPr>
                <w:p w14:paraId="706F9297">
                  <w:pPr>
                    <w:pStyle w:val="1111"/>
                    <w:bidi w:val="0"/>
                    <w:rPr>
                      <w:rFonts w:hint="eastAsia" w:eastAsia="宋体"/>
                      <w:lang w:val="en-US" w:eastAsia="zh-CN"/>
                    </w:rPr>
                  </w:pPr>
                  <w:r>
                    <w:rPr>
                      <w:rFonts w:hint="eastAsia"/>
                      <w:lang w:val="en-US" w:eastAsia="zh-CN"/>
                    </w:rPr>
                    <w:t>S</w:t>
                  </w:r>
                </w:p>
              </w:tc>
              <w:tc>
                <w:tcPr>
                  <w:tcW w:w="463" w:type="pct"/>
                  <w:noWrap w:val="0"/>
                  <w:vAlign w:val="center"/>
                </w:tcPr>
                <w:p w14:paraId="274110FE">
                  <w:pPr>
                    <w:pStyle w:val="1111"/>
                    <w:bidi w:val="0"/>
                    <w:rPr>
                      <w:rFonts w:hint="default" w:eastAsia="宋体"/>
                      <w:lang w:val="en-US" w:eastAsia="zh-CN"/>
                    </w:rPr>
                  </w:pPr>
                  <w:r>
                    <w:rPr>
                      <w:rFonts w:hint="eastAsia"/>
                      <w:lang w:val="en-US" w:eastAsia="zh-CN"/>
                    </w:rPr>
                    <w:t>463</w:t>
                  </w:r>
                </w:p>
              </w:tc>
            </w:tr>
            <w:tr w14:paraId="4818DA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70" w:type="pct"/>
                  <w:vMerge w:val="continue"/>
                  <w:noWrap w:val="0"/>
                  <w:vAlign w:val="center"/>
                </w:tcPr>
                <w:p w14:paraId="5FC27833">
                  <w:pPr>
                    <w:pStyle w:val="1111"/>
                    <w:bidi w:val="0"/>
                  </w:pPr>
                </w:p>
              </w:tc>
              <w:tc>
                <w:tcPr>
                  <w:tcW w:w="557" w:type="pct"/>
                  <w:noWrap w:val="0"/>
                  <w:vAlign w:val="center"/>
                </w:tcPr>
                <w:p w14:paraId="4018652A">
                  <w:pPr>
                    <w:pStyle w:val="1111"/>
                    <w:bidi w:val="0"/>
                    <w:rPr>
                      <w:rFonts w:hint="default"/>
                      <w:lang w:val="en-US" w:eastAsia="zh-CN"/>
                    </w:rPr>
                  </w:pPr>
                  <w:r>
                    <w:rPr>
                      <w:rFonts w:hint="eastAsia"/>
                      <w:lang w:eastAsia="zh-CN"/>
                    </w:rPr>
                    <w:t>规划建设用地</w:t>
                  </w:r>
                  <w:r>
                    <w:rPr>
                      <w:rFonts w:hint="eastAsia"/>
                      <w:lang w:val="en-US" w:eastAsia="zh-CN"/>
                    </w:rPr>
                    <w:t>1</w:t>
                  </w:r>
                </w:p>
              </w:tc>
              <w:tc>
                <w:tcPr>
                  <w:tcW w:w="750" w:type="pct"/>
                  <w:noWrap w:val="0"/>
                  <w:vAlign w:val="center"/>
                </w:tcPr>
                <w:p w14:paraId="0FB076F0">
                  <w:pPr>
                    <w:pStyle w:val="1111"/>
                    <w:bidi w:val="0"/>
                    <w:rPr>
                      <w:rFonts w:hint="eastAsia"/>
                    </w:rPr>
                  </w:pPr>
                  <w:r>
                    <w:rPr>
                      <w:rFonts w:hint="eastAsia"/>
                    </w:rPr>
                    <w:t>119°</w:t>
                  </w:r>
                </w:p>
                <w:p w14:paraId="1B01F8C4">
                  <w:pPr>
                    <w:pStyle w:val="1111"/>
                    <w:bidi w:val="0"/>
                  </w:pPr>
                  <w:r>
                    <w:rPr>
                      <w:rFonts w:hint="eastAsia"/>
                    </w:rPr>
                    <w:t>14'09.88"</w:t>
                  </w:r>
                </w:p>
              </w:tc>
              <w:tc>
                <w:tcPr>
                  <w:tcW w:w="713" w:type="pct"/>
                  <w:noWrap w:val="0"/>
                  <w:vAlign w:val="center"/>
                </w:tcPr>
                <w:p w14:paraId="276B82AC">
                  <w:pPr>
                    <w:pStyle w:val="1111"/>
                    <w:bidi w:val="0"/>
                    <w:rPr>
                      <w:rFonts w:hint="eastAsia"/>
                    </w:rPr>
                  </w:pPr>
                  <w:r>
                    <w:rPr>
                      <w:rFonts w:hint="eastAsia"/>
                    </w:rPr>
                    <w:t>34°</w:t>
                  </w:r>
                </w:p>
                <w:p w14:paraId="35E38BE0">
                  <w:pPr>
                    <w:pStyle w:val="1111"/>
                    <w:bidi w:val="0"/>
                  </w:pPr>
                  <w:r>
                    <w:rPr>
                      <w:rFonts w:hint="eastAsia"/>
                    </w:rPr>
                    <w:t>42'13.11"</w:t>
                  </w:r>
                </w:p>
              </w:tc>
              <w:tc>
                <w:tcPr>
                  <w:tcW w:w="485" w:type="pct"/>
                  <w:noWrap w:val="0"/>
                  <w:vAlign w:val="center"/>
                </w:tcPr>
                <w:p w14:paraId="225B2F3F">
                  <w:pPr>
                    <w:pStyle w:val="1111"/>
                    <w:bidi w:val="0"/>
                    <w:rPr>
                      <w:rFonts w:hint="eastAsia" w:eastAsia="宋体"/>
                      <w:lang w:val="en-US" w:eastAsia="zh-CN"/>
                    </w:rPr>
                  </w:pPr>
                  <w:r>
                    <w:rPr>
                      <w:rFonts w:hint="eastAsia"/>
                      <w:lang w:val="en-US" w:eastAsia="zh-CN"/>
                    </w:rPr>
                    <w:t>-</w:t>
                  </w:r>
                </w:p>
              </w:tc>
              <w:tc>
                <w:tcPr>
                  <w:tcW w:w="404" w:type="pct"/>
                  <w:noWrap w:val="0"/>
                  <w:vAlign w:val="center"/>
                </w:tcPr>
                <w:p w14:paraId="5354B24E">
                  <w:pPr>
                    <w:pStyle w:val="1111"/>
                    <w:bidi w:val="0"/>
                    <w:rPr>
                      <w:rFonts w:hint="eastAsia" w:eastAsia="宋体"/>
                      <w:lang w:eastAsia="zh-CN"/>
                    </w:rPr>
                  </w:pPr>
                  <w:r>
                    <w:rPr>
                      <w:rFonts w:hint="eastAsia"/>
                      <w:lang w:eastAsia="zh-CN"/>
                    </w:rPr>
                    <w:t>居住区</w:t>
                  </w:r>
                </w:p>
              </w:tc>
              <w:tc>
                <w:tcPr>
                  <w:tcW w:w="923" w:type="pct"/>
                  <w:vMerge w:val="continue"/>
                  <w:noWrap w:val="0"/>
                  <w:vAlign w:val="center"/>
                </w:tcPr>
                <w:p w14:paraId="0B1CA39E">
                  <w:pPr>
                    <w:pStyle w:val="1111"/>
                    <w:bidi w:val="0"/>
                  </w:pPr>
                </w:p>
              </w:tc>
              <w:tc>
                <w:tcPr>
                  <w:tcW w:w="430" w:type="pct"/>
                  <w:noWrap w:val="0"/>
                  <w:vAlign w:val="center"/>
                </w:tcPr>
                <w:p w14:paraId="36EA54CC">
                  <w:pPr>
                    <w:pStyle w:val="1111"/>
                    <w:bidi w:val="0"/>
                    <w:rPr>
                      <w:rFonts w:hint="default" w:eastAsia="宋体"/>
                      <w:lang w:val="en-US" w:eastAsia="zh-CN"/>
                    </w:rPr>
                  </w:pPr>
                  <w:r>
                    <w:rPr>
                      <w:rFonts w:hint="eastAsia"/>
                      <w:lang w:val="en-US" w:eastAsia="zh-CN"/>
                    </w:rPr>
                    <w:t>NE</w:t>
                  </w:r>
                </w:p>
              </w:tc>
              <w:tc>
                <w:tcPr>
                  <w:tcW w:w="463" w:type="pct"/>
                  <w:noWrap w:val="0"/>
                  <w:vAlign w:val="center"/>
                </w:tcPr>
                <w:p w14:paraId="181F9578">
                  <w:pPr>
                    <w:pStyle w:val="1111"/>
                    <w:bidi w:val="0"/>
                    <w:rPr>
                      <w:rFonts w:hint="default" w:eastAsia="宋体"/>
                      <w:lang w:val="en-US" w:eastAsia="zh-CN"/>
                    </w:rPr>
                  </w:pPr>
                  <w:r>
                    <w:rPr>
                      <w:rFonts w:hint="eastAsia"/>
                      <w:lang w:val="en-US" w:eastAsia="zh-CN"/>
                    </w:rPr>
                    <w:t>720</w:t>
                  </w:r>
                </w:p>
              </w:tc>
            </w:tr>
            <w:tr w14:paraId="5CBFB0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70" w:type="pct"/>
                  <w:vMerge w:val="restart"/>
                  <w:noWrap w:val="0"/>
                  <w:vAlign w:val="center"/>
                </w:tcPr>
                <w:p w14:paraId="48122F3F">
                  <w:pPr>
                    <w:pStyle w:val="1111"/>
                    <w:bidi w:val="0"/>
                  </w:pPr>
                  <w:r>
                    <w:t>地表水</w:t>
                  </w:r>
                </w:p>
              </w:tc>
              <w:tc>
                <w:tcPr>
                  <w:tcW w:w="2021" w:type="pct"/>
                  <w:gridSpan w:val="3"/>
                  <w:noWrap w:val="0"/>
                  <w:vAlign w:val="center"/>
                </w:tcPr>
                <w:p w14:paraId="69673B7E">
                  <w:pPr>
                    <w:pStyle w:val="1111"/>
                    <w:bidi w:val="0"/>
                  </w:pPr>
                  <w:r>
                    <w:t>大浦河排污通道</w:t>
                  </w:r>
                </w:p>
              </w:tc>
              <w:tc>
                <w:tcPr>
                  <w:tcW w:w="485" w:type="pct"/>
                  <w:noWrap w:val="0"/>
                  <w:vAlign w:val="center"/>
                </w:tcPr>
                <w:p w14:paraId="0F61B811">
                  <w:pPr>
                    <w:pStyle w:val="1111"/>
                    <w:bidi w:val="0"/>
                  </w:pPr>
                  <w:r>
                    <w:t>河流</w:t>
                  </w:r>
                </w:p>
              </w:tc>
              <w:tc>
                <w:tcPr>
                  <w:tcW w:w="404" w:type="pct"/>
                  <w:noWrap w:val="0"/>
                  <w:vAlign w:val="center"/>
                </w:tcPr>
                <w:p w14:paraId="15A92CAF">
                  <w:pPr>
                    <w:pStyle w:val="1111"/>
                    <w:bidi w:val="0"/>
                  </w:pPr>
                  <w:r>
                    <w:t>混合区</w:t>
                  </w:r>
                </w:p>
              </w:tc>
              <w:tc>
                <w:tcPr>
                  <w:tcW w:w="923" w:type="pct"/>
                  <w:noWrap w:val="0"/>
                  <w:vAlign w:val="center"/>
                </w:tcPr>
                <w:p w14:paraId="7620AF25">
                  <w:pPr>
                    <w:pStyle w:val="1111"/>
                    <w:bidi w:val="0"/>
                  </w:pPr>
                  <w:r>
                    <w:t xml:space="preserve">GB3838–2002 </w:t>
                  </w:r>
                  <w:r>
                    <w:rPr>
                      <w:rFonts w:hint="eastAsia"/>
                    </w:rPr>
                    <w:t>Ⅲ</w:t>
                  </w:r>
                  <w:r>
                    <w:t>类水体</w:t>
                  </w:r>
                </w:p>
              </w:tc>
              <w:tc>
                <w:tcPr>
                  <w:tcW w:w="430" w:type="pct"/>
                  <w:noWrap w:val="0"/>
                  <w:vAlign w:val="center"/>
                </w:tcPr>
                <w:p w14:paraId="5D310A64">
                  <w:pPr>
                    <w:pStyle w:val="1111"/>
                    <w:bidi w:val="0"/>
                  </w:pPr>
                  <w:r>
                    <w:t>W</w:t>
                  </w:r>
                </w:p>
              </w:tc>
              <w:tc>
                <w:tcPr>
                  <w:tcW w:w="463" w:type="pct"/>
                  <w:noWrap w:val="0"/>
                  <w:vAlign w:val="center"/>
                </w:tcPr>
                <w:p w14:paraId="7A21DC15">
                  <w:pPr>
                    <w:pStyle w:val="1111"/>
                    <w:bidi w:val="0"/>
                  </w:pPr>
                  <w:r>
                    <w:t>2000</w:t>
                  </w:r>
                </w:p>
              </w:tc>
            </w:tr>
            <w:tr w14:paraId="55FC52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70" w:type="pct"/>
                  <w:vMerge w:val="continue"/>
                  <w:noWrap w:val="0"/>
                  <w:vAlign w:val="center"/>
                </w:tcPr>
                <w:p w14:paraId="3EBDF535">
                  <w:pPr>
                    <w:pStyle w:val="1111"/>
                    <w:bidi w:val="0"/>
                  </w:pPr>
                </w:p>
              </w:tc>
              <w:tc>
                <w:tcPr>
                  <w:tcW w:w="2021" w:type="pct"/>
                  <w:gridSpan w:val="3"/>
                  <w:noWrap w:val="0"/>
                  <w:vAlign w:val="center"/>
                </w:tcPr>
                <w:p w14:paraId="54866A9B">
                  <w:pPr>
                    <w:pStyle w:val="1111"/>
                    <w:bidi w:val="0"/>
                  </w:pPr>
                  <w:r>
                    <w:t>开泰河</w:t>
                  </w:r>
                </w:p>
              </w:tc>
              <w:tc>
                <w:tcPr>
                  <w:tcW w:w="485" w:type="pct"/>
                  <w:noWrap w:val="0"/>
                  <w:vAlign w:val="center"/>
                </w:tcPr>
                <w:p w14:paraId="7D518477">
                  <w:pPr>
                    <w:pStyle w:val="1111"/>
                    <w:bidi w:val="0"/>
                  </w:pPr>
                  <w:r>
                    <w:t>河流</w:t>
                  </w:r>
                </w:p>
              </w:tc>
              <w:tc>
                <w:tcPr>
                  <w:tcW w:w="404" w:type="pct"/>
                  <w:noWrap w:val="0"/>
                  <w:vAlign w:val="center"/>
                </w:tcPr>
                <w:p w14:paraId="185494C2">
                  <w:pPr>
                    <w:pStyle w:val="1111"/>
                    <w:bidi w:val="0"/>
                  </w:pPr>
                  <w:r>
                    <w:t>景观、排洪</w:t>
                  </w:r>
                </w:p>
              </w:tc>
              <w:tc>
                <w:tcPr>
                  <w:tcW w:w="923" w:type="pct"/>
                  <w:noWrap w:val="0"/>
                  <w:vAlign w:val="center"/>
                </w:tcPr>
                <w:p w14:paraId="6CC8DCA5">
                  <w:pPr>
                    <w:pStyle w:val="1111"/>
                    <w:bidi w:val="0"/>
                  </w:pPr>
                  <w:r>
                    <w:t xml:space="preserve">GB3838–2002 </w:t>
                  </w:r>
                  <w:r>
                    <w:rPr>
                      <w:rFonts w:hint="eastAsia"/>
                    </w:rPr>
                    <w:t>Ⅲ</w:t>
                  </w:r>
                  <w:r>
                    <w:t>类水体</w:t>
                  </w:r>
                </w:p>
              </w:tc>
              <w:tc>
                <w:tcPr>
                  <w:tcW w:w="430" w:type="pct"/>
                  <w:noWrap w:val="0"/>
                  <w:vAlign w:val="center"/>
                </w:tcPr>
                <w:p w14:paraId="50CA09D0">
                  <w:pPr>
                    <w:pStyle w:val="1111"/>
                    <w:bidi w:val="0"/>
                  </w:pPr>
                  <w:r>
                    <w:t>W</w:t>
                  </w:r>
                </w:p>
              </w:tc>
              <w:tc>
                <w:tcPr>
                  <w:tcW w:w="463" w:type="pct"/>
                  <w:noWrap w:val="0"/>
                  <w:vAlign w:val="center"/>
                </w:tcPr>
                <w:p w14:paraId="47F3C8A8">
                  <w:pPr>
                    <w:pStyle w:val="1111"/>
                    <w:bidi w:val="0"/>
                  </w:pPr>
                  <w:r>
                    <w:t>360</w:t>
                  </w:r>
                </w:p>
              </w:tc>
            </w:tr>
            <w:tr w14:paraId="3CCA7B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8" w:hRule="atLeast"/>
                <w:jc w:val="center"/>
              </w:trPr>
              <w:tc>
                <w:tcPr>
                  <w:tcW w:w="270" w:type="pct"/>
                  <w:noWrap w:val="0"/>
                  <w:vAlign w:val="center"/>
                </w:tcPr>
                <w:p w14:paraId="523BA544">
                  <w:pPr>
                    <w:pStyle w:val="1111"/>
                    <w:bidi w:val="0"/>
                  </w:pPr>
                  <w:r>
                    <w:t>声环境</w:t>
                  </w:r>
                </w:p>
              </w:tc>
              <w:tc>
                <w:tcPr>
                  <w:tcW w:w="4729" w:type="pct"/>
                  <w:gridSpan w:val="8"/>
                  <w:noWrap w:val="0"/>
                  <w:vAlign w:val="center"/>
                </w:tcPr>
                <w:p w14:paraId="7B3B8FBB">
                  <w:pPr>
                    <w:pStyle w:val="1111"/>
                    <w:bidi w:val="0"/>
                  </w:pPr>
                  <w:r>
                    <w:rPr>
                      <w:rFonts w:hint="eastAsia"/>
                    </w:rPr>
                    <w:t>厂界50m范围内无声环境敏感目标</w:t>
                  </w:r>
                </w:p>
              </w:tc>
            </w:tr>
            <w:tr w14:paraId="56700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0" w:hRule="atLeast"/>
                <w:jc w:val="center"/>
              </w:trPr>
              <w:tc>
                <w:tcPr>
                  <w:tcW w:w="270" w:type="pct"/>
                  <w:vMerge w:val="restart"/>
                  <w:noWrap w:val="0"/>
                  <w:vAlign w:val="center"/>
                </w:tcPr>
                <w:p w14:paraId="46C43AB8">
                  <w:pPr>
                    <w:pStyle w:val="1111"/>
                    <w:bidi w:val="0"/>
                  </w:pPr>
                  <w:r>
                    <w:t>生态环境</w:t>
                  </w:r>
                </w:p>
              </w:tc>
              <w:tc>
                <w:tcPr>
                  <w:tcW w:w="2021" w:type="pct"/>
                  <w:gridSpan w:val="3"/>
                  <w:noWrap w:val="0"/>
                  <w:vAlign w:val="center"/>
                </w:tcPr>
                <w:p w14:paraId="4B2E5B13">
                  <w:pPr>
                    <w:pStyle w:val="1111"/>
                    <w:bidi w:val="0"/>
                  </w:pPr>
                  <w:r>
                    <w:t>临洪河重要湿地</w:t>
                  </w:r>
                </w:p>
              </w:tc>
              <w:tc>
                <w:tcPr>
                  <w:tcW w:w="890" w:type="pct"/>
                  <w:gridSpan w:val="2"/>
                  <w:noWrap w:val="0"/>
                  <w:vAlign w:val="center"/>
                </w:tcPr>
                <w:p w14:paraId="4B1B1F67">
                  <w:pPr>
                    <w:pStyle w:val="1111"/>
                    <w:bidi w:val="0"/>
                  </w:pPr>
                  <w:r>
                    <w:t>湿地生态系统保护</w:t>
                  </w:r>
                </w:p>
              </w:tc>
              <w:tc>
                <w:tcPr>
                  <w:tcW w:w="923" w:type="pct"/>
                  <w:vMerge w:val="restart"/>
                  <w:noWrap w:val="0"/>
                  <w:vAlign w:val="center"/>
                </w:tcPr>
                <w:p w14:paraId="549FDE7B">
                  <w:pPr>
                    <w:pStyle w:val="1111"/>
                    <w:bidi w:val="0"/>
                  </w:pPr>
                  <w:r>
                    <w:t>生态空间管控</w:t>
                  </w:r>
                </w:p>
              </w:tc>
              <w:tc>
                <w:tcPr>
                  <w:tcW w:w="430" w:type="pct"/>
                  <w:noWrap w:val="0"/>
                  <w:vAlign w:val="center"/>
                </w:tcPr>
                <w:p w14:paraId="0E5D09DC">
                  <w:pPr>
                    <w:pStyle w:val="1111"/>
                    <w:bidi w:val="0"/>
                    <w:rPr>
                      <w:rFonts w:hint="eastAsia" w:eastAsia="宋体"/>
                      <w:lang w:eastAsia="zh-CN"/>
                    </w:rPr>
                  </w:pPr>
                  <w:r>
                    <w:t>W</w:t>
                  </w:r>
                </w:p>
              </w:tc>
              <w:tc>
                <w:tcPr>
                  <w:tcW w:w="463" w:type="pct"/>
                  <w:noWrap w:val="0"/>
                  <w:vAlign w:val="center"/>
                </w:tcPr>
                <w:p w14:paraId="3AD69DF9">
                  <w:pPr>
                    <w:pStyle w:val="1111"/>
                    <w:bidi w:val="0"/>
                    <w:rPr>
                      <w:rFonts w:hint="default" w:eastAsia="宋体"/>
                      <w:lang w:val="en-US" w:eastAsia="zh-CN"/>
                    </w:rPr>
                  </w:pPr>
                  <w:r>
                    <w:rPr>
                      <w:rFonts w:hint="eastAsia"/>
                      <w:lang w:val="en-US" w:eastAsia="zh-CN"/>
                    </w:rPr>
                    <w:t>1644</w:t>
                  </w:r>
                </w:p>
              </w:tc>
            </w:tr>
            <w:tr w14:paraId="4530D1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270" w:type="pct"/>
                  <w:vMerge w:val="continue"/>
                  <w:noWrap w:val="0"/>
                  <w:vAlign w:val="center"/>
                </w:tcPr>
                <w:p w14:paraId="1FA415EA">
                  <w:pPr>
                    <w:pStyle w:val="1111"/>
                    <w:bidi w:val="0"/>
                  </w:pPr>
                </w:p>
              </w:tc>
              <w:tc>
                <w:tcPr>
                  <w:tcW w:w="2021" w:type="pct"/>
                  <w:gridSpan w:val="3"/>
                  <w:noWrap w:val="0"/>
                  <w:vAlign w:val="center"/>
                </w:tcPr>
                <w:p w14:paraId="7D064C32">
                  <w:pPr>
                    <w:pStyle w:val="1111"/>
                    <w:bidi w:val="0"/>
                    <w:rPr>
                      <w:rFonts w:hint="eastAsia" w:eastAsia="宋体"/>
                      <w:lang w:val="en-US" w:eastAsia="zh-CN"/>
                    </w:rPr>
                  </w:pPr>
                  <w:r>
                    <w:t>连云港临洪河口省级湿地公园</w:t>
                  </w:r>
                </w:p>
              </w:tc>
              <w:tc>
                <w:tcPr>
                  <w:tcW w:w="890" w:type="pct"/>
                  <w:gridSpan w:val="2"/>
                  <w:noWrap w:val="0"/>
                  <w:vAlign w:val="center"/>
                </w:tcPr>
                <w:p w14:paraId="5790D08A">
                  <w:pPr>
                    <w:pStyle w:val="1111"/>
                    <w:bidi w:val="0"/>
                  </w:pPr>
                  <w:r>
                    <w:t>湿地生态系统保护</w:t>
                  </w:r>
                </w:p>
              </w:tc>
              <w:tc>
                <w:tcPr>
                  <w:tcW w:w="923" w:type="pct"/>
                  <w:vMerge w:val="continue"/>
                  <w:noWrap w:val="0"/>
                  <w:vAlign w:val="center"/>
                </w:tcPr>
                <w:p w14:paraId="1EB2464A">
                  <w:pPr>
                    <w:pStyle w:val="1111"/>
                    <w:bidi w:val="0"/>
                  </w:pPr>
                </w:p>
              </w:tc>
              <w:tc>
                <w:tcPr>
                  <w:tcW w:w="430" w:type="pct"/>
                  <w:noWrap w:val="0"/>
                  <w:vAlign w:val="center"/>
                </w:tcPr>
                <w:p w14:paraId="69EE58E8">
                  <w:pPr>
                    <w:pStyle w:val="1111"/>
                    <w:bidi w:val="0"/>
                  </w:pPr>
                  <w:r>
                    <w:t>W</w:t>
                  </w:r>
                </w:p>
              </w:tc>
              <w:tc>
                <w:tcPr>
                  <w:tcW w:w="463" w:type="pct"/>
                  <w:noWrap w:val="0"/>
                  <w:vAlign w:val="center"/>
                </w:tcPr>
                <w:p w14:paraId="1A4EC4E2">
                  <w:pPr>
                    <w:pStyle w:val="1111"/>
                    <w:bidi w:val="0"/>
                    <w:rPr>
                      <w:rFonts w:hint="default" w:eastAsia="宋体"/>
                      <w:lang w:val="en-US" w:eastAsia="zh-CN"/>
                    </w:rPr>
                  </w:pPr>
                  <w:r>
                    <w:rPr>
                      <w:rFonts w:hint="eastAsia"/>
                      <w:lang w:val="en-US" w:eastAsia="zh-CN"/>
                    </w:rPr>
                    <w:t>1778</w:t>
                  </w:r>
                </w:p>
              </w:tc>
            </w:tr>
            <w:tr w14:paraId="223696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270" w:type="pct"/>
                  <w:vMerge w:val="continue"/>
                  <w:noWrap w:val="0"/>
                  <w:vAlign w:val="center"/>
                </w:tcPr>
                <w:p w14:paraId="2F64AAB7">
                  <w:pPr>
                    <w:pStyle w:val="1111"/>
                    <w:bidi w:val="0"/>
                  </w:pPr>
                </w:p>
              </w:tc>
              <w:tc>
                <w:tcPr>
                  <w:tcW w:w="2021" w:type="pct"/>
                  <w:gridSpan w:val="3"/>
                  <w:noWrap w:val="0"/>
                  <w:vAlign w:val="center"/>
                </w:tcPr>
                <w:p w14:paraId="0B6ED63D">
                  <w:pPr>
                    <w:pStyle w:val="1111"/>
                    <w:bidi w:val="0"/>
                  </w:pPr>
                  <w:r>
                    <w:t>连云港云台山风景名胜区</w:t>
                  </w:r>
                </w:p>
              </w:tc>
              <w:tc>
                <w:tcPr>
                  <w:tcW w:w="890" w:type="pct"/>
                  <w:gridSpan w:val="2"/>
                  <w:noWrap w:val="0"/>
                  <w:vAlign w:val="center"/>
                </w:tcPr>
                <w:p w14:paraId="005B930D">
                  <w:pPr>
                    <w:pStyle w:val="1111"/>
                    <w:bidi w:val="0"/>
                  </w:pPr>
                  <w:r>
                    <w:t>自然与人文景观保护区</w:t>
                  </w:r>
                </w:p>
              </w:tc>
              <w:tc>
                <w:tcPr>
                  <w:tcW w:w="923" w:type="pct"/>
                  <w:vMerge w:val="continue"/>
                  <w:noWrap w:val="0"/>
                  <w:vAlign w:val="center"/>
                </w:tcPr>
                <w:p w14:paraId="7F990126">
                  <w:pPr>
                    <w:pStyle w:val="1111"/>
                    <w:bidi w:val="0"/>
                  </w:pPr>
                </w:p>
              </w:tc>
              <w:tc>
                <w:tcPr>
                  <w:tcW w:w="430" w:type="pct"/>
                  <w:noWrap w:val="0"/>
                  <w:vAlign w:val="center"/>
                </w:tcPr>
                <w:p w14:paraId="675B0029">
                  <w:pPr>
                    <w:pStyle w:val="1111"/>
                    <w:bidi w:val="0"/>
                  </w:pPr>
                  <w:r>
                    <w:t>E</w:t>
                  </w:r>
                </w:p>
              </w:tc>
              <w:tc>
                <w:tcPr>
                  <w:tcW w:w="463" w:type="pct"/>
                  <w:noWrap w:val="0"/>
                  <w:vAlign w:val="center"/>
                </w:tcPr>
                <w:p w14:paraId="30308747">
                  <w:pPr>
                    <w:pStyle w:val="1111"/>
                    <w:bidi w:val="0"/>
                    <w:rPr>
                      <w:rFonts w:hint="default" w:eastAsia="宋体"/>
                      <w:lang w:val="en-US" w:eastAsia="zh-CN"/>
                    </w:rPr>
                  </w:pPr>
                  <w:r>
                    <w:rPr>
                      <w:rFonts w:hint="eastAsia"/>
                      <w:lang w:val="en-US" w:eastAsia="zh-CN"/>
                    </w:rPr>
                    <w:t>2950</w:t>
                  </w:r>
                </w:p>
              </w:tc>
            </w:tr>
          </w:tbl>
          <w:p w14:paraId="36A0CD84">
            <w:pPr>
              <w:pStyle w:val="1111"/>
              <w:rPr>
                <w:rFonts w:hint="eastAsia"/>
              </w:rPr>
            </w:pPr>
          </w:p>
          <w:p w14:paraId="6C6E04B0">
            <w:pPr>
              <w:pStyle w:val="512"/>
            </w:pPr>
          </w:p>
        </w:tc>
      </w:tr>
      <w:tr w14:paraId="5A0B8E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800" w:type="dxa"/>
            <w:tcMar>
              <w:left w:w="28" w:type="dxa"/>
              <w:right w:w="28" w:type="dxa"/>
            </w:tcMar>
            <w:vAlign w:val="center"/>
          </w:tcPr>
          <w:p w14:paraId="4992BC67">
            <w:pPr>
              <w:adjustRightInd w:val="0"/>
              <w:snapToGrid w:val="0"/>
              <w:jc w:val="center"/>
              <w:rPr>
                <w:kern w:val="0"/>
                <w:szCs w:val="21"/>
              </w:rPr>
            </w:pPr>
            <w:r>
              <w:rPr>
                <w:kern w:val="0"/>
                <w:szCs w:val="21"/>
              </w:rPr>
              <w:t>污染物排放控制标准</w:t>
            </w:r>
          </w:p>
        </w:tc>
        <w:tc>
          <w:tcPr>
            <w:tcW w:w="8190" w:type="dxa"/>
            <w:vAlign w:val="center"/>
          </w:tcPr>
          <w:p w14:paraId="4DABAFDF">
            <w:pPr>
              <w:pStyle w:val="512"/>
              <w:bidi w:val="0"/>
            </w:pPr>
            <w:r>
              <w:t>1</w:t>
            </w:r>
            <w:r>
              <w:rPr>
                <w:rFonts w:hint="eastAsia"/>
              </w:rPr>
              <w:t>、</w:t>
            </w:r>
            <w:r>
              <w:t>废气排放标准</w:t>
            </w:r>
          </w:p>
          <w:p w14:paraId="77103251">
            <w:pPr>
              <w:pStyle w:val="512"/>
              <w:bidi w:val="0"/>
              <w:rPr>
                <w:rFonts w:ascii="Times New Roman" w:eastAsia="宋体"/>
              </w:rPr>
            </w:pPr>
            <w:r>
              <w:t>本项目</w:t>
            </w:r>
            <w:r>
              <w:rPr>
                <w:rFonts w:hint="eastAsia"/>
                <w:color w:val="000000"/>
                <w:sz w:val="24"/>
                <w:lang w:eastAsia="zh-CN"/>
              </w:rPr>
              <w:t>非甲烷总烃</w:t>
            </w:r>
            <w:r>
              <w:rPr>
                <w:rFonts w:hint="eastAsia"/>
                <w:color w:val="000000"/>
                <w:sz w:val="24"/>
                <w:lang w:val="en-US" w:eastAsia="zh-CN"/>
              </w:rPr>
              <w:t>排放执行《大气污染物综合排放标准》（DB32/4041-2021）表1及表3标准，臭气浓度排放执行《恶臭污染物排放标准》（GB14554-93）表1二级标准与表2“15m排气筒”标准</w:t>
            </w:r>
            <w:r>
              <w:rPr>
                <w:rFonts w:ascii="Times New Roman" w:eastAsia="宋体"/>
                <w:bCs/>
              </w:rPr>
              <w:t>，</w:t>
            </w:r>
            <w:r>
              <w:rPr>
                <w:rFonts w:ascii="Times New Roman" w:eastAsia="宋体"/>
              </w:rPr>
              <w:t>具体排放标准见下表。</w:t>
            </w:r>
          </w:p>
          <w:p w14:paraId="6DD95BBA">
            <w:pPr>
              <w:pStyle w:val="1111"/>
              <w:bidi w:val="0"/>
            </w:pPr>
            <w:r>
              <w:rPr>
                <w:rFonts w:hint="eastAsia"/>
              </w:rPr>
              <w:t>表3</w:t>
            </w:r>
            <w:r>
              <w:t>-</w:t>
            </w:r>
            <w:r>
              <w:rPr>
                <w:rFonts w:hint="eastAsia"/>
                <w:lang w:val="en-US" w:eastAsia="zh-CN"/>
              </w:rPr>
              <w:t>9</w:t>
            </w:r>
            <w:r>
              <w:t xml:space="preserve"> </w:t>
            </w:r>
            <w:r>
              <w:rPr>
                <w:rFonts w:hint="eastAsia"/>
              </w:rPr>
              <w:t>大气污染物</w:t>
            </w:r>
            <w:r>
              <w:rPr>
                <w:rFonts w:hint="eastAsia"/>
                <w:lang w:eastAsia="zh-CN"/>
              </w:rPr>
              <w:t>有组织</w:t>
            </w:r>
            <w:r>
              <w:rPr>
                <w:rFonts w:hint="eastAsia"/>
              </w:rPr>
              <w:t>排放限值</w:t>
            </w:r>
          </w:p>
          <w:tbl>
            <w:tblPr>
              <w:tblStyle w:val="7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97"/>
              <w:gridCol w:w="1302"/>
              <w:gridCol w:w="1392"/>
              <w:gridCol w:w="1296"/>
              <w:gridCol w:w="2474"/>
            </w:tblGrid>
            <w:tr w14:paraId="355B7C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1" w:hRule="atLeast"/>
              </w:trPr>
              <w:tc>
                <w:tcPr>
                  <w:tcW w:w="888" w:type="pct"/>
                  <w:vAlign w:val="center"/>
                </w:tcPr>
                <w:p w14:paraId="0C273961">
                  <w:pPr>
                    <w:pStyle w:val="1111"/>
                    <w:bidi w:val="0"/>
                    <w:rPr>
                      <w:rFonts w:hint="default"/>
                      <w:vertAlign w:val="baseline"/>
                      <w:lang w:val="en-US" w:eastAsia="zh-CN"/>
                    </w:rPr>
                  </w:pPr>
                  <w:r>
                    <w:rPr>
                      <w:rFonts w:hint="eastAsia"/>
                      <w:vertAlign w:val="baseline"/>
                      <w:lang w:val="en-US" w:eastAsia="zh-CN"/>
                    </w:rPr>
                    <w:t>污染物</w:t>
                  </w:r>
                </w:p>
              </w:tc>
              <w:tc>
                <w:tcPr>
                  <w:tcW w:w="828" w:type="pct"/>
                  <w:vAlign w:val="center"/>
                </w:tcPr>
                <w:p w14:paraId="0120D61A">
                  <w:pPr>
                    <w:pStyle w:val="1111"/>
                    <w:rPr>
                      <w:rFonts w:hint="default" w:ascii="Times New Roman" w:hAnsi="Times New Roman" w:eastAsia="宋体" w:cs="Times New Roman"/>
                      <w:kern w:val="0"/>
                      <w:sz w:val="21"/>
                      <w:szCs w:val="20"/>
                      <w:vertAlign w:val="baseline"/>
                      <w:lang w:val="en-US" w:eastAsia="zh-CN" w:bidi="ar-SA"/>
                    </w:rPr>
                  </w:pPr>
                  <w:r>
                    <w:rPr>
                      <w:rFonts w:hint="eastAsia"/>
                      <w:vertAlign w:val="baseline"/>
                      <w:lang w:eastAsia="zh-CN"/>
                    </w:rPr>
                    <w:t>有组织排放速率限值（</w:t>
                  </w:r>
                  <w:r>
                    <w:rPr>
                      <w:rFonts w:hint="eastAsia"/>
                      <w:vertAlign w:val="baseline"/>
                      <w:lang w:val="en-US" w:eastAsia="zh-CN"/>
                    </w:rPr>
                    <w:t>kg/h</w:t>
                  </w:r>
                  <w:r>
                    <w:rPr>
                      <w:rFonts w:hint="eastAsia"/>
                      <w:vertAlign w:val="baseline"/>
                      <w:lang w:eastAsia="zh-CN"/>
                    </w:rPr>
                    <w:t>）</w:t>
                  </w:r>
                </w:p>
              </w:tc>
              <w:tc>
                <w:tcPr>
                  <w:tcW w:w="885" w:type="pct"/>
                  <w:vAlign w:val="center"/>
                </w:tcPr>
                <w:p w14:paraId="5D1DD444">
                  <w:pPr>
                    <w:pStyle w:val="1111"/>
                    <w:rPr>
                      <w:rFonts w:hint="default" w:ascii="Times New Roman" w:hAnsi="Times New Roman" w:eastAsia="宋体" w:cs="Times New Roman"/>
                      <w:kern w:val="0"/>
                      <w:sz w:val="21"/>
                      <w:szCs w:val="20"/>
                      <w:vertAlign w:val="baseline"/>
                      <w:lang w:val="en-US" w:eastAsia="zh-CN" w:bidi="ar-SA"/>
                    </w:rPr>
                  </w:pPr>
                  <w:r>
                    <w:rPr>
                      <w:rFonts w:hint="eastAsia"/>
                      <w:vertAlign w:val="baseline"/>
                      <w:lang w:eastAsia="zh-CN"/>
                    </w:rPr>
                    <w:t>有组织排放浓度限值（</w:t>
                  </w:r>
                  <w:r>
                    <w:rPr>
                      <w:rFonts w:hint="eastAsia"/>
                      <w:vertAlign w:val="baseline"/>
                      <w:lang w:val="en-US" w:eastAsia="zh-CN"/>
                    </w:rPr>
                    <w:t>mg/m</w:t>
                  </w:r>
                  <w:r>
                    <w:rPr>
                      <w:rFonts w:hint="eastAsia"/>
                      <w:vertAlign w:val="superscript"/>
                      <w:lang w:val="en-US" w:eastAsia="zh-CN"/>
                    </w:rPr>
                    <w:t>3</w:t>
                  </w:r>
                  <w:r>
                    <w:rPr>
                      <w:rFonts w:hint="eastAsia"/>
                      <w:vertAlign w:val="baseline"/>
                      <w:lang w:eastAsia="zh-CN"/>
                    </w:rPr>
                    <w:t>）</w:t>
                  </w:r>
                </w:p>
              </w:tc>
              <w:tc>
                <w:tcPr>
                  <w:tcW w:w="824" w:type="pct"/>
                  <w:vAlign w:val="center"/>
                </w:tcPr>
                <w:p w14:paraId="319AA0A2">
                  <w:pPr>
                    <w:pStyle w:val="1111"/>
                    <w:bidi w:val="0"/>
                    <w:rPr>
                      <w:rFonts w:hint="default"/>
                      <w:vertAlign w:val="baseline"/>
                      <w:lang w:val="en-US" w:eastAsia="zh-CN"/>
                    </w:rPr>
                  </w:pPr>
                  <w:r>
                    <w:rPr>
                      <w:rFonts w:hint="eastAsia"/>
                      <w:vertAlign w:val="baseline"/>
                      <w:lang w:val="en-US" w:eastAsia="zh-CN"/>
                    </w:rPr>
                    <w:t>监控位置</w:t>
                  </w:r>
                </w:p>
              </w:tc>
              <w:tc>
                <w:tcPr>
                  <w:tcW w:w="1573" w:type="pct"/>
                  <w:vMerge w:val="restart"/>
                  <w:vAlign w:val="center"/>
                </w:tcPr>
                <w:p w14:paraId="603C77AD">
                  <w:pPr>
                    <w:pStyle w:val="1111"/>
                    <w:bidi w:val="0"/>
                    <w:rPr>
                      <w:rFonts w:hint="default"/>
                      <w:vertAlign w:val="baseline"/>
                      <w:lang w:val="en-US" w:eastAsia="zh-CN"/>
                    </w:rPr>
                  </w:pPr>
                  <w:r>
                    <w:rPr>
                      <w:rFonts w:hint="eastAsia"/>
                      <w:vertAlign w:val="baseline"/>
                      <w:lang w:val="en-US" w:eastAsia="zh-CN"/>
                    </w:rPr>
                    <w:t>标准来源</w:t>
                  </w:r>
                </w:p>
              </w:tc>
            </w:tr>
            <w:tr w14:paraId="4035F0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8" w:type="pct"/>
                  <w:vAlign w:val="center"/>
                </w:tcPr>
                <w:p w14:paraId="3B9B3218">
                  <w:pPr>
                    <w:pStyle w:val="1111"/>
                    <w:bidi w:val="0"/>
                    <w:rPr>
                      <w:rFonts w:hint="default"/>
                      <w:vertAlign w:val="baseline"/>
                      <w:lang w:val="en-US" w:eastAsia="zh-CN"/>
                    </w:rPr>
                  </w:pPr>
                  <w:r>
                    <w:rPr>
                      <w:rFonts w:hint="eastAsia"/>
                      <w:vertAlign w:val="baseline"/>
                      <w:lang w:val="en-US" w:eastAsia="zh-CN"/>
                    </w:rPr>
                    <w:t>非甲烷总烃</w:t>
                  </w:r>
                </w:p>
              </w:tc>
              <w:tc>
                <w:tcPr>
                  <w:tcW w:w="828" w:type="pct"/>
                  <w:vAlign w:val="center"/>
                </w:tcPr>
                <w:p w14:paraId="0E31BC19">
                  <w:pPr>
                    <w:pStyle w:val="1111"/>
                    <w:bidi w:val="0"/>
                    <w:rPr>
                      <w:rFonts w:hint="default"/>
                      <w:vertAlign w:val="baseline"/>
                      <w:lang w:val="en-US" w:eastAsia="zh-CN"/>
                    </w:rPr>
                  </w:pPr>
                  <w:r>
                    <w:rPr>
                      <w:rFonts w:hint="eastAsia"/>
                      <w:vertAlign w:val="baseline"/>
                      <w:lang w:val="en-US" w:eastAsia="zh-CN"/>
                    </w:rPr>
                    <w:t>3</w:t>
                  </w:r>
                </w:p>
              </w:tc>
              <w:tc>
                <w:tcPr>
                  <w:tcW w:w="885" w:type="pct"/>
                  <w:vAlign w:val="center"/>
                </w:tcPr>
                <w:p w14:paraId="62B553D9">
                  <w:pPr>
                    <w:pStyle w:val="1111"/>
                    <w:bidi w:val="0"/>
                    <w:rPr>
                      <w:rFonts w:hint="default"/>
                      <w:vertAlign w:val="baseline"/>
                      <w:lang w:val="en-US" w:eastAsia="zh-CN"/>
                    </w:rPr>
                  </w:pPr>
                  <w:r>
                    <w:rPr>
                      <w:rFonts w:hint="eastAsia"/>
                      <w:vertAlign w:val="baseline"/>
                      <w:lang w:val="en-US" w:eastAsia="zh-CN"/>
                    </w:rPr>
                    <w:t>60</w:t>
                  </w:r>
                </w:p>
              </w:tc>
              <w:tc>
                <w:tcPr>
                  <w:tcW w:w="824" w:type="pct"/>
                  <w:vMerge w:val="restart"/>
                  <w:vAlign w:val="center"/>
                </w:tcPr>
                <w:p w14:paraId="789105F3">
                  <w:pPr>
                    <w:pStyle w:val="1111"/>
                    <w:bidi w:val="0"/>
                    <w:rPr>
                      <w:rFonts w:hint="default" w:ascii="Times New Roman" w:hAnsi="Times New Roman" w:eastAsia="宋体" w:cs="Times New Roman"/>
                      <w:kern w:val="0"/>
                      <w:sz w:val="21"/>
                      <w:szCs w:val="20"/>
                      <w:vertAlign w:val="baseline"/>
                      <w:lang w:val="en-US" w:eastAsia="zh-CN" w:bidi="ar-SA"/>
                    </w:rPr>
                  </w:pPr>
                  <w:r>
                    <w:rPr>
                      <w:rFonts w:hint="eastAsia"/>
                      <w:vertAlign w:val="baseline"/>
                      <w:lang w:eastAsia="zh-CN"/>
                    </w:rPr>
                    <w:t>车间排气筒出口或生产设施排气筒出口</w:t>
                  </w:r>
                </w:p>
              </w:tc>
              <w:tc>
                <w:tcPr>
                  <w:tcW w:w="1573" w:type="pct"/>
                  <w:vAlign w:val="center"/>
                </w:tcPr>
                <w:p w14:paraId="40F4A80E">
                  <w:pPr>
                    <w:pStyle w:val="1111"/>
                    <w:bidi w:val="0"/>
                    <w:rPr>
                      <w:rFonts w:hint="default"/>
                      <w:lang w:val="en-US" w:eastAsia="zh-CN"/>
                    </w:rPr>
                  </w:pPr>
                  <w:r>
                    <w:rPr>
                      <w:rFonts w:hint="eastAsia"/>
                      <w:lang w:val="en-US" w:eastAsia="zh-CN"/>
                    </w:rPr>
                    <w:t>《大气污染物综合排放标准》（DB32/4041-2021）</w:t>
                  </w:r>
                </w:p>
              </w:tc>
            </w:tr>
            <w:tr w14:paraId="7CB8D8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88" w:type="pct"/>
                  <w:vAlign w:val="center"/>
                </w:tcPr>
                <w:p w14:paraId="0C0D5A78">
                  <w:pPr>
                    <w:pStyle w:val="1111"/>
                    <w:bidi w:val="0"/>
                    <w:rPr>
                      <w:rFonts w:hint="default" w:ascii="Times New Roman" w:hAnsi="Times New Roman" w:eastAsia="宋体" w:cs="Times New Roman"/>
                      <w:kern w:val="0"/>
                      <w:sz w:val="21"/>
                      <w:szCs w:val="20"/>
                      <w:vertAlign w:val="baseline"/>
                      <w:lang w:val="en-US" w:eastAsia="zh-CN" w:bidi="ar-SA"/>
                    </w:rPr>
                  </w:pPr>
                  <w:r>
                    <w:rPr>
                      <w:rFonts w:hint="eastAsia"/>
                      <w:vertAlign w:val="baseline"/>
                      <w:lang w:val="en-US" w:eastAsia="zh-CN"/>
                    </w:rPr>
                    <w:t>臭气浓度（无量纲）</w:t>
                  </w:r>
                </w:p>
              </w:tc>
              <w:tc>
                <w:tcPr>
                  <w:tcW w:w="828" w:type="pct"/>
                  <w:vAlign w:val="center"/>
                </w:tcPr>
                <w:p w14:paraId="01754FE3">
                  <w:pPr>
                    <w:pStyle w:val="1111"/>
                    <w:bidi w:val="0"/>
                    <w:rPr>
                      <w:rFonts w:hint="default" w:ascii="Times New Roman" w:hAnsi="Times New Roman" w:eastAsia="宋体" w:cs="Times New Roman"/>
                      <w:kern w:val="0"/>
                      <w:sz w:val="21"/>
                      <w:szCs w:val="20"/>
                      <w:vertAlign w:val="baseline"/>
                      <w:lang w:val="en-US" w:eastAsia="zh-CN" w:bidi="ar-SA"/>
                    </w:rPr>
                  </w:pPr>
                  <w:r>
                    <w:rPr>
                      <w:rFonts w:hint="eastAsia"/>
                      <w:vertAlign w:val="baseline"/>
                      <w:lang w:val="en-US" w:eastAsia="zh-CN"/>
                    </w:rPr>
                    <w:t>2000</w:t>
                  </w:r>
                </w:p>
              </w:tc>
              <w:tc>
                <w:tcPr>
                  <w:tcW w:w="885" w:type="pct"/>
                  <w:vAlign w:val="center"/>
                </w:tcPr>
                <w:p w14:paraId="5651C508">
                  <w:pPr>
                    <w:pStyle w:val="1111"/>
                    <w:bidi w:val="0"/>
                    <w:rPr>
                      <w:rFonts w:hint="default" w:ascii="Times New Roman" w:hAnsi="Times New Roman" w:eastAsia="宋体" w:cs="Times New Roman"/>
                      <w:kern w:val="0"/>
                      <w:sz w:val="21"/>
                      <w:szCs w:val="20"/>
                      <w:vertAlign w:val="baseline"/>
                      <w:lang w:val="en-US" w:eastAsia="zh-CN" w:bidi="ar-SA"/>
                    </w:rPr>
                  </w:pPr>
                  <w:r>
                    <w:rPr>
                      <w:rFonts w:hint="eastAsia"/>
                      <w:vertAlign w:val="baseline"/>
                      <w:lang w:val="en-US" w:eastAsia="zh-CN"/>
                    </w:rPr>
                    <w:t>/</w:t>
                  </w:r>
                </w:p>
              </w:tc>
              <w:tc>
                <w:tcPr>
                  <w:tcW w:w="824" w:type="pct"/>
                  <w:vMerge w:val="continue"/>
                  <w:vAlign w:val="center"/>
                </w:tcPr>
                <w:p w14:paraId="43E50EF0">
                  <w:pPr>
                    <w:pStyle w:val="1111"/>
                    <w:bidi w:val="0"/>
                    <w:rPr>
                      <w:rFonts w:hint="default" w:ascii="Times New Roman" w:hAnsi="Times New Roman" w:eastAsia="宋体" w:cs="Times New Roman"/>
                      <w:kern w:val="0"/>
                      <w:sz w:val="21"/>
                      <w:szCs w:val="20"/>
                      <w:vertAlign w:val="baseline"/>
                      <w:lang w:val="en-US" w:eastAsia="zh-CN" w:bidi="ar-SA"/>
                    </w:rPr>
                  </w:pPr>
                </w:p>
              </w:tc>
              <w:tc>
                <w:tcPr>
                  <w:tcW w:w="1573" w:type="pct"/>
                  <w:vAlign w:val="center"/>
                </w:tcPr>
                <w:p w14:paraId="4E673CD7">
                  <w:pPr>
                    <w:pStyle w:val="1111"/>
                    <w:bidi w:val="0"/>
                    <w:rPr>
                      <w:rFonts w:hint="default"/>
                      <w:lang w:val="en-US" w:eastAsia="zh-CN"/>
                    </w:rPr>
                  </w:pPr>
                  <w:r>
                    <w:rPr>
                      <w:rFonts w:hint="eastAsia"/>
                      <w:lang w:val="en-US" w:eastAsia="zh-CN"/>
                    </w:rPr>
                    <w:t>《恶臭污染物排放标准》（GB14554-93）</w:t>
                  </w:r>
                </w:p>
              </w:tc>
            </w:tr>
          </w:tbl>
          <w:p w14:paraId="58E90579">
            <w:pPr>
              <w:pStyle w:val="1111"/>
              <w:bidi w:val="0"/>
            </w:pPr>
            <w:r>
              <w:rPr>
                <w:rFonts w:hint="eastAsia"/>
              </w:rPr>
              <w:t>表3</w:t>
            </w:r>
            <w:r>
              <w:t>-</w:t>
            </w:r>
            <w:r>
              <w:rPr>
                <w:rFonts w:hint="eastAsia"/>
                <w:lang w:val="en-US" w:eastAsia="zh-CN"/>
              </w:rPr>
              <w:t>10</w:t>
            </w:r>
            <w:r>
              <w:t xml:space="preserve"> </w:t>
            </w:r>
            <w:r>
              <w:rPr>
                <w:rFonts w:hint="eastAsia"/>
              </w:rPr>
              <w:t>大气污染物</w:t>
            </w:r>
            <w:r>
              <w:rPr>
                <w:rFonts w:hint="eastAsia"/>
                <w:lang w:eastAsia="zh-CN"/>
              </w:rPr>
              <w:t>无组织</w:t>
            </w:r>
            <w:r>
              <w:rPr>
                <w:rFonts w:hint="eastAsia"/>
              </w:rPr>
              <w:t>排放限值</w:t>
            </w:r>
          </w:p>
          <w:tbl>
            <w:tblPr>
              <w:tblStyle w:val="7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93"/>
              <w:gridCol w:w="2436"/>
              <w:gridCol w:w="1439"/>
              <w:gridCol w:w="2493"/>
            </w:tblGrid>
            <w:tr w14:paraId="71B58B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9" w:type="pct"/>
                  <w:vAlign w:val="center"/>
                </w:tcPr>
                <w:p w14:paraId="59B87694">
                  <w:pPr>
                    <w:pStyle w:val="1111"/>
                    <w:bidi w:val="0"/>
                    <w:rPr>
                      <w:rFonts w:hint="default"/>
                      <w:vertAlign w:val="baseline"/>
                      <w:lang w:val="en-US" w:eastAsia="zh-CN"/>
                    </w:rPr>
                  </w:pPr>
                  <w:r>
                    <w:rPr>
                      <w:rFonts w:hint="eastAsia"/>
                      <w:vertAlign w:val="baseline"/>
                      <w:lang w:val="en-US" w:eastAsia="zh-CN"/>
                    </w:rPr>
                    <w:t>污染物</w:t>
                  </w:r>
                </w:p>
              </w:tc>
              <w:tc>
                <w:tcPr>
                  <w:tcW w:w="1549" w:type="pct"/>
                  <w:vAlign w:val="center"/>
                </w:tcPr>
                <w:p w14:paraId="06D25B9C">
                  <w:pPr>
                    <w:pStyle w:val="1111"/>
                    <w:bidi w:val="0"/>
                    <w:rPr>
                      <w:rFonts w:hint="default"/>
                      <w:vertAlign w:val="superscript"/>
                      <w:lang w:val="en-US" w:eastAsia="zh-CN"/>
                    </w:rPr>
                  </w:pPr>
                  <w:r>
                    <w:rPr>
                      <w:rFonts w:hint="eastAsia"/>
                      <w:vertAlign w:val="baseline"/>
                      <w:lang w:val="en-US" w:eastAsia="zh-CN"/>
                    </w:rPr>
                    <w:t>无组织排放监控浓度限值mg/m</w:t>
                  </w:r>
                  <w:r>
                    <w:rPr>
                      <w:rFonts w:hint="eastAsia"/>
                      <w:vertAlign w:val="superscript"/>
                      <w:lang w:val="en-US" w:eastAsia="zh-CN"/>
                    </w:rPr>
                    <w:t>3</w:t>
                  </w:r>
                </w:p>
              </w:tc>
              <w:tc>
                <w:tcPr>
                  <w:tcW w:w="915" w:type="pct"/>
                  <w:shd w:val="clear" w:color="auto" w:fill="auto"/>
                  <w:vAlign w:val="center"/>
                </w:tcPr>
                <w:p w14:paraId="1F5C95DF">
                  <w:pPr>
                    <w:pStyle w:val="1111"/>
                    <w:rPr>
                      <w:rFonts w:hint="eastAsia" w:ascii="Times New Roman" w:hAnsi="Times New Roman" w:eastAsia="宋体" w:cs="Times New Roman"/>
                      <w:kern w:val="0"/>
                      <w:sz w:val="21"/>
                      <w:szCs w:val="20"/>
                      <w:vertAlign w:val="baseline"/>
                      <w:lang w:val="en-US" w:eastAsia="zh-CN" w:bidi="ar-SA"/>
                    </w:rPr>
                  </w:pPr>
                  <w:r>
                    <w:rPr>
                      <w:rFonts w:hint="eastAsia"/>
                      <w:vertAlign w:val="baseline"/>
                      <w:lang w:eastAsia="zh-CN"/>
                    </w:rPr>
                    <w:t>监控位置</w:t>
                  </w:r>
                </w:p>
              </w:tc>
              <w:tc>
                <w:tcPr>
                  <w:tcW w:w="1585" w:type="pct"/>
                  <w:vAlign w:val="center"/>
                </w:tcPr>
                <w:p w14:paraId="5F3374F4">
                  <w:pPr>
                    <w:pStyle w:val="1111"/>
                    <w:bidi w:val="0"/>
                    <w:rPr>
                      <w:rFonts w:hint="default"/>
                      <w:vertAlign w:val="baseline"/>
                      <w:lang w:val="en-US" w:eastAsia="zh-CN"/>
                    </w:rPr>
                  </w:pPr>
                  <w:r>
                    <w:rPr>
                      <w:rFonts w:hint="eastAsia"/>
                      <w:vertAlign w:val="baseline"/>
                      <w:lang w:val="en-US" w:eastAsia="zh-CN"/>
                    </w:rPr>
                    <w:t>标准来源</w:t>
                  </w:r>
                </w:p>
              </w:tc>
            </w:tr>
            <w:tr w14:paraId="571447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9" w:type="pct"/>
                  <w:vAlign w:val="center"/>
                </w:tcPr>
                <w:p w14:paraId="67AB84F3">
                  <w:pPr>
                    <w:pStyle w:val="1111"/>
                    <w:bidi w:val="0"/>
                    <w:rPr>
                      <w:rFonts w:hint="default"/>
                      <w:vertAlign w:val="baseline"/>
                      <w:lang w:val="en-US" w:eastAsia="zh-CN"/>
                    </w:rPr>
                  </w:pPr>
                  <w:r>
                    <w:rPr>
                      <w:rFonts w:hint="eastAsia"/>
                      <w:vertAlign w:val="baseline"/>
                      <w:lang w:val="en-US" w:eastAsia="zh-CN"/>
                    </w:rPr>
                    <w:t>非甲烷总烃</w:t>
                  </w:r>
                </w:p>
              </w:tc>
              <w:tc>
                <w:tcPr>
                  <w:tcW w:w="1549" w:type="pct"/>
                  <w:shd w:val="clear" w:color="auto" w:fill="auto"/>
                  <w:vAlign w:val="center"/>
                </w:tcPr>
                <w:p w14:paraId="7EEF45A2">
                  <w:pPr>
                    <w:pStyle w:val="1111"/>
                    <w:bidi w:val="0"/>
                    <w:rPr>
                      <w:rFonts w:hint="default"/>
                      <w:lang w:val="en-US" w:eastAsia="zh-CN"/>
                    </w:rPr>
                  </w:pPr>
                  <w:r>
                    <w:rPr>
                      <w:rFonts w:hint="eastAsia"/>
                      <w:lang w:val="en-US" w:eastAsia="zh-CN"/>
                    </w:rPr>
                    <w:t>4.0</w:t>
                  </w:r>
                </w:p>
              </w:tc>
              <w:tc>
                <w:tcPr>
                  <w:tcW w:w="915" w:type="pct"/>
                  <w:vMerge w:val="restart"/>
                  <w:shd w:val="clear" w:color="auto" w:fill="auto"/>
                  <w:vAlign w:val="center"/>
                </w:tcPr>
                <w:p w14:paraId="6E33C895">
                  <w:pPr>
                    <w:pStyle w:val="1111"/>
                    <w:rPr>
                      <w:rFonts w:hint="eastAsia" w:ascii="Times New Roman" w:hAnsi="Times New Roman" w:eastAsia="宋体" w:cs="Times New Roman"/>
                      <w:kern w:val="0"/>
                      <w:sz w:val="21"/>
                      <w:szCs w:val="20"/>
                      <w:vertAlign w:val="baseline"/>
                      <w:lang w:val="en-US" w:eastAsia="zh-CN" w:bidi="ar-SA"/>
                    </w:rPr>
                  </w:pPr>
                  <w:r>
                    <w:rPr>
                      <w:rFonts w:hint="eastAsia"/>
                      <w:vertAlign w:val="baseline"/>
                      <w:lang w:eastAsia="zh-CN"/>
                    </w:rPr>
                    <w:t>边界浓度最高点</w:t>
                  </w:r>
                </w:p>
              </w:tc>
              <w:tc>
                <w:tcPr>
                  <w:tcW w:w="1585" w:type="pct"/>
                  <w:vAlign w:val="center"/>
                </w:tcPr>
                <w:p w14:paraId="5B80AC80">
                  <w:pPr>
                    <w:pStyle w:val="1111"/>
                    <w:bidi w:val="0"/>
                    <w:rPr>
                      <w:rFonts w:hint="default"/>
                      <w:lang w:val="en-US" w:eastAsia="zh-CN"/>
                    </w:rPr>
                  </w:pPr>
                  <w:r>
                    <w:rPr>
                      <w:rFonts w:hint="eastAsia"/>
                      <w:lang w:val="en-US" w:eastAsia="zh-CN"/>
                    </w:rPr>
                    <w:t>《大气污染物综合排放标准》（DB32/4041-2021）</w:t>
                  </w:r>
                </w:p>
              </w:tc>
            </w:tr>
            <w:tr w14:paraId="26C701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49" w:type="pct"/>
                  <w:vAlign w:val="center"/>
                </w:tcPr>
                <w:p w14:paraId="47E98378">
                  <w:pPr>
                    <w:pStyle w:val="1111"/>
                    <w:bidi w:val="0"/>
                    <w:rPr>
                      <w:rFonts w:hint="default" w:ascii="Times New Roman" w:hAnsi="Times New Roman" w:eastAsia="宋体" w:cs="Times New Roman"/>
                      <w:kern w:val="0"/>
                      <w:sz w:val="21"/>
                      <w:szCs w:val="20"/>
                      <w:vertAlign w:val="baseline"/>
                      <w:lang w:val="en-US" w:eastAsia="zh-CN" w:bidi="ar-SA"/>
                    </w:rPr>
                  </w:pPr>
                  <w:r>
                    <w:rPr>
                      <w:rFonts w:hint="eastAsia"/>
                      <w:vertAlign w:val="baseline"/>
                      <w:lang w:val="en-US" w:eastAsia="zh-CN"/>
                    </w:rPr>
                    <w:t>臭气浓度（无量纲）</w:t>
                  </w:r>
                </w:p>
              </w:tc>
              <w:tc>
                <w:tcPr>
                  <w:tcW w:w="1549" w:type="pct"/>
                  <w:shd w:val="clear" w:color="auto" w:fill="auto"/>
                  <w:vAlign w:val="center"/>
                </w:tcPr>
                <w:p w14:paraId="5A85FC6F">
                  <w:pPr>
                    <w:pStyle w:val="1111"/>
                    <w:bidi w:val="0"/>
                    <w:rPr>
                      <w:rFonts w:hint="default" w:ascii="Times New Roman" w:hAnsi="Times New Roman" w:eastAsia="宋体" w:cs="Times New Roman"/>
                      <w:kern w:val="0"/>
                      <w:sz w:val="21"/>
                      <w:szCs w:val="20"/>
                      <w:lang w:val="en-US" w:eastAsia="zh-CN" w:bidi="ar-SA"/>
                    </w:rPr>
                  </w:pPr>
                  <w:r>
                    <w:rPr>
                      <w:rFonts w:hint="eastAsia"/>
                      <w:lang w:val="en-US" w:eastAsia="zh-CN"/>
                    </w:rPr>
                    <w:t>20</w:t>
                  </w:r>
                </w:p>
              </w:tc>
              <w:tc>
                <w:tcPr>
                  <w:tcW w:w="915" w:type="pct"/>
                  <w:vMerge w:val="continue"/>
                  <w:vAlign w:val="center"/>
                </w:tcPr>
                <w:p w14:paraId="78C4170E">
                  <w:pPr>
                    <w:pStyle w:val="1111"/>
                    <w:bidi w:val="0"/>
                    <w:rPr>
                      <w:rFonts w:hint="eastAsia"/>
                      <w:lang w:val="en-US" w:eastAsia="zh-CN"/>
                    </w:rPr>
                  </w:pPr>
                </w:p>
              </w:tc>
              <w:tc>
                <w:tcPr>
                  <w:tcW w:w="1585" w:type="pct"/>
                  <w:vAlign w:val="center"/>
                </w:tcPr>
                <w:p w14:paraId="42A5945E">
                  <w:pPr>
                    <w:pStyle w:val="1111"/>
                    <w:bidi w:val="0"/>
                    <w:rPr>
                      <w:rFonts w:hint="default"/>
                      <w:lang w:val="en-US" w:eastAsia="zh-CN"/>
                    </w:rPr>
                  </w:pPr>
                  <w:r>
                    <w:rPr>
                      <w:rFonts w:hint="eastAsia"/>
                      <w:lang w:val="en-US" w:eastAsia="zh-CN"/>
                    </w:rPr>
                    <w:t>《恶臭污染物排放标准》（GB14554-93）</w:t>
                  </w:r>
                </w:p>
              </w:tc>
            </w:tr>
          </w:tbl>
          <w:p w14:paraId="620CD1BD">
            <w:pPr>
              <w:pStyle w:val="1111"/>
              <w:rPr>
                <w:rFonts w:hint="eastAsia"/>
                <w:lang w:val="en-US" w:eastAsia="zh-CN"/>
              </w:rPr>
            </w:pPr>
            <w:r>
              <w:rPr>
                <w:rFonts w:hint="eastAsia"/>
                <w:lang w:eastAsia="zh-CN"/>
              </w:rPr>
              <w:t>表</w:t>
            </w:r>
            <w:r>
              <w:rPr>
                <w:rFonts w:hint="eastAsia"/>
                <w:lang w:val="en-US" w:eastAsia="zh-CN"/>
              </w:rPr>
              <w:t>3-11 厂区内无组织排放限值</w:t>
            </w:r>
          </w:p>
          <w:tbl>
            <w:tblPr>
              <w:tblStyle w:val="7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66"/>
              <w:gridCol w:w="1649"/>
              <w:gridCol w:w="2575"/>
              <w:gridCol w:w="2174"/>
            </w:tblGrid>
            <w:tr w14:paraId="3F0474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8" w:type="dxa"/>
                  <w:vAlign w:val="center"/>
                </w:tcPr>
                <w:p w14:paraId="3BC0A7A7">
                  <w:pPr>
                    <w:pStyle w:val="1111"/>
                    <w:rPr>
                      <w:rFonts w:hint="default"/>
                      <w:vertAlign w:val="baseline"/>
                      <w:lang w:val="en-US" w:eastAsia="zh-CN"/>
                    </w:rPr>
                  </w:pPr>
                  <w:r>
                    <w:rPr>
                      <w:rFonts w:hint="eastAsia"/>
                      <w:vertAlign w:val="baseline"/>
                      <w:lang w:val="en-US" w:eastAsia="zh-CN"/>
                    </w:rPr>
                    <w:t>污染物项目</w:t>
                  </w:r>
                </w:p>
              </w:tc>
              <w:tc>
                <w:tcPr>
                  <w:tcW w:w="1650" w:type="dxa"/>
                  <w:vAlign w:val="center"/>
                </w:tcPr>
                <w:p w14:paraId="787892B6">
                  <w:pPr>
                    <w:pStyle w:val="1111"/>
                    <w:rPr>
                      <w:rFonts w:hint="default"/>
                      <w:vertAlign w:val="baseline"/>
                      <w:lang w:val="en-US" w:eastAsia="zh-CN"/>
                    </w:rPr>
                  </w:pPr>
                  <w:r>
                    <w:rPr>
                      <w:rFonts w:hint="eastAsia"/>
                      <w:vertAlign w:val="baseline"/>
                      <w:lang w:val="en-US" w:eastAsia="zh-CN"/>
                    </w:rPr>
                    <w:t>监控点限值（mg/m</w:t>
                  </w:r>
                  <w:r>
                    <w:rPr>
                      <w:rFonts w:hint="eastAsia"/>
                      <w:vertAlign w:val="superscript"/>
                      <w:lang w:val="en-US" w:eastAsia="zh-CN"/>
                    </w:rPr>
                    <w:t>3</w:t>
                  </w:r>
                  <w:r>
                    <w:rPr>
                      <w:rFonts w:hint="eastAsia"/>
                      <w:vertAlign w:val="baseline"/>
                      <w:lang w:val="en-US" w:eastAsia="zh-CN"/>
                    </w:rPr>
                    <w:t>）</w:t>
                  </w:r>
                </w:p>
              </w:tc>
              <w:tc>
                <w:tcPr>
                  <w:tcW w:w="2578" w:type="dxa"/>
                  <w:vAlign w:val="center"/>
                </w:tcPr>
                <w:p w14:paraId="7B94BA66">
                  <w:pPr>
                    <w:pStyle w:val="1111"/>
                    <w:rPr>
                      <w:rFonts w:hint="default"/>
                      <w:vertAlign w:val="baseline"/>
                      <w:lang w:val="en-US" w:eastAsia="zh-CN"/>
                    </w:rPr>
                  </w:pPr>
                  <w:r>
                    <w:rPr>
                      <w:rFonts w:hint="eastAsia"/>
                      <w:vertAlign w:val="baseline"/>
                      <w:lang w:val="en-US" w:eastAsia="zh-CN"/>
                    </w:rPr>
                    <w:t>限值含义</w:t>
                  </w:r>
                </w:p>
              </w:tc>
              <w:tc>
                <w:tcPr>
                  <w:tcW w:w="2176" w:type="dxa"/>
                  <w:vAlign w:val="center"/>
                </w:tcPr>
                <w:p w14:paraId="5478CAEE">
                  <w:pPr>
                    <w:pStyle w:val="1111"/>
                    <w:rPr>
                      <w:rFonts w:hint="default"/>
                      <w:vertAlign w:val="baseline"/>
                      <w:lang w:val="en-US" w:eastAsia="zh-CN"/>
                    </w:rPr>
                  </w:pPr>
                  <w:r>
                    <w:rPr>
                      <w:rFonts w:hint="eastAsia"/>
                      <w:vertAlign w:val="baseline"/>
                      <w:lang w:val="en-US" w:eastAsia="zh-CN"/>
                    </w:rPr>
                    <w:t>无组织排放监控位置</w:t>
                  </w:r>
                </w:p>
              </w:tc>
            </w:tr>
            <w:tr w14:paraId="7CE1E8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8" w:type="dxa"/>
                  <w:vMerge w:val="restart"/>
                  <w:vAlign w:val="center"/>
                </w:tcPr>
                <w:p w14:paraId="22A5E554">
                  <w:pPr>
                    <w:pStyle w:val="1111"/>
                    <w:rPr>
                      <w:rFonts w:hint="default"/>
                      <w:vertAlign w:val="baseline"/>
                      <w:lang w:val="en-US" w:eastAsia="zh-CN"/>
                    </w:rPr>
                  </w:pPr>
                  <w:r>
                    <w:rPr>
                      <w:rFonts w:hint="eastAsia"/>
                      <w:vertAlign w:val="baseline"/>
                      <w:lang w:val="en-US" w:eastAsia="zh-CN"/>
                    </w:rPr>
                    <w:t>非甲烷总烃</w:t>
                  </w:r>
                </w:p>
              </w:tc>
              <w:tc>
                <w:tcPr>
                  <w:tcW w:w="1650" w:type="dxa"/>
                  <w:vAlign w:val="center"/>
                </w:tcPr>
                <w:p w14:paraId="19F50DCB">
                  <w:pPr>
                    <w:pStyle w:val="1111"/>
                    <w:rPr>
                      <w:rFonts w:hint="default"/>
                      <w:vertAlign w:val="baseline"/>
                      <w:lang w:val="en-US" w:eastAsia="zh-CN"/>
                    </w:rPr>
                  </w:pPr>
                  <w:r>
                    <w:rPr>
                      <w:rFonts w:hint="eastAsia"/>
                      <w:vertAlign w:val="baseline"/>
                      <w:lang w:val="en-US" w:eastAsia="zh-CN"/>
                    </w:rPr>
                    <w:t>6</w:t>
                  </w:r>
                </w:p>
              </w:tc>
              <w:tc>
                <w:tcPr>
                  <w:tcW w:w="2578" w:type="dxa"/>
                  <w:vAlign w:val="center"/>
                </w:tcPr>
                <w:p w14:paraId="02ED2E40">
                  <w:pPr>
                    <w:pStyle w:val="1111"/>
                    <w:rPr>
                      <w:rFonts w:hint="default"/>
                      <w:vertAlign w:val="baseline"/>
                      <w:lang w:val="en-US" w:eastAsia="zh-CN"/>
                    </w:rPr>
                  </w:pPr>
                  <w:r>
                    <w:rPr>
                      <w:rFonts w:hint="eastAsia"/>
                      <w:vertAlign w:val="baseline"/>
                      <w:lang w:val="en-US" w:eastAsia="zh-CN"/>
                    </w:rPr>
                    <w:t>监控点处1h平均浓度值</w:t>
                  </w:r>
                </w:p>
              </w:tc>
              <w:tc>
                <w:tcPr>
                  <w:tcW w:w="2176" w:type="dxa"/>
                  <w:vMerge w:val="restart"/>
                  <w:vAlign w:val="center"/>
                </w:tcPr>
                <w:p w14:paraId="0A99AF67">
                  <w:pPr>
                    <w:pStyle w:val="1111"/>
                    <w:rPr>
                      <w:rFonts w:hint="default"/>
                      <w:vertAlign w:val="baseline"/>
                      <w:lang w:val="en-US" w:eastAsia="zh-CN"/>
                    </w:rPr>
                  </w:pPr>
                  <w:r>
                    <w:rPr>
                      <w:rFonts w:hint="eastAsia"/>
                      <w:vertAlign w:val="baseline"/>
                      <w:lang w:val="en-US" w:eastAsia="zh-CN"/>
                    </w:rPr>
                    <w:t>在厂房外设置监控点</w:t>
                  </w:r>
                </w:p>
              </w:tc>
            </w:tr>
            <w:tr w14:paraId="40D40F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trPr>
              <w:tc>
                <w:tcPr>
                  <w:tcW w:w="1468" w:type="dxa"/>
                  <w:vMerge w:val="continue"/>
                  <w:vAlign w:val="center"/>
                </w:tcPr>
                <w:p w14:paraId="3A2615BD">
                  <w:pPr>
                    <w:pStyle w:val="1111"/>
                    <w:bidi w:val="0"/>
                    <w:rPr>
                      <w:rFonts w:hint="default"/>
                      <w:lang w:val="en-US" w:eastAsia="zh-CN"/>
                    </w:rPr>
                  </w:pPr>
                </w:p>
              </w:tc>
              <w:tc>
                <w:tcPr>
                  <w:tcW w:w="1650" w:type="dxa"/>
                  <w:vAlign w:val="center"/>
                </w:tcPr>
                <w:p w14:paraId="30BE97BE">
                  <w:pPr>
                    <w:pStyle w:val="1111"/>
                    <w:bidi w:val="0"/>
                    <w:rPr>
                      <w:rFonts w:hint="default"/>
                      <w:lang w:val="en-US" w:eastAsia="zh-CN"/>
                    </w:rPr>
                  </w:pPr>
                  <w:r>
                    <w:rPr>
                      <w:rFonts w:hint="eastAsia"/>
                      <w:lang w:val="en-US" w:eastAsia="zh-CN"/>
                    </w:rPr>
                    <w:t>20</w:t>
                  </w:r>
                </w:p>
              </w:tc>
              <w:tc>
                <w:tcPr>
                  <w:tcW w:w="2578" w:type="dxa"/>
                  <w:vAlign w:val="center"/>
                </w:tcPr>
                <w:p w14:paraId="3C91A377">
                  <w:pPr>
                    <w:pStyle w:val="1111"/>
                    <w:bidi w:val="0"/>
                    <w:rPr>
                      <w:rFonts w:hint="default"/>
                      <w:lang w:val="en-US" w:eastAsia="zh-CN"/>
                    </w:rPr>
                  </w:pPr>
                  <w:r>
                    <w:rPr>
                      <w:rFonts w:hint="eastAsia"/>
                      <w:lang w:val="en-US" w:eastAsia="zh-CN"/>
                    </w:rPr>
                    <w:t>监控点处任意一次浓度值</w:t>
                  </w:r>
                </w:p>
              </w:tc>
              <w:tc>
                <w:tcPr>
                  <w:tcW w:w="2176" w:type="dxa"/>
                  <w:vMerge w:val="continue"/>
                  <w:vAlign w:val="center"/>
                </w:tcPr>
                <w:p w14:paraId="7BD03613">
                  <w:pPr>
                    <w:pStyle w:val="1111"/>
                    <w:bidi w:val="0"/>
                    <w:rPr>
                      <w:rFonts w:hint="default"/>
                      <w:lang w:val="en-US" w:eastAsia="zh-CN"/>
                    </w:rPr>
                  </w:pPr>
                </w:p>
              </w:tc>
            </w:tr>
          </w:tbl>
          <w:p w14:paraId="23ECD519">
            <w:pPr>
              <w:pStyle w:val="512"/>
              <w:bidi w:val="0"/>
            </w:pPr>
          </w:p>
          <w:p w14:paraId="3F55E6D0">
            <w:pPr>
              <w:pStyle w:val="512"/>
              <w:bidi w:val="0"/>
            </w:pPr>
            <w:r>
              <w:t>2</w:t>
            </w:r>
            <w:r>
              <w:rPr>
                <w:rFonts w:hint="eastAsia"/>
              </w:rPr>
              <w:t>、</w:t>
            </w:r>
            <w:r>
              <w:t>废水排放标准</w:t>
            </w:r>
          </w:p>
          <w:p w14:paraId="7196442F">
            <w:pPr>
              <w:pStyle w:val="512"/>
              <w:bidi w:val="0"/>
            </w:pPr>
            <w:r>
              <w:t>本项目运营期产生的</w:t>
            </w:r>
            <w:r>
              <w:rPr>
                <w:rFonts w:ascii="Times New Roman" w:eastAsia="宋体"/>
              </w:rPr>
              <w:t>废水主要</w:t>
            </w:r>
            <w:r>
              <w:rPr>
                <w:rFonts w:hint="eastAsia" w:ascii="Times New Roman" w:eastAsia="宋体"/>
              </w:rPr>
              <w:t>为废气</w:t>
            </w:r>
            <w:r>
              <w:rPr>
                <w:rFonts w:ascii="Times New Roman" w:eastAsia="宋体"/>
              </w:rPr>
              <w:t>吸收废水、生活污水，经中华药港污水站（依托现有）处理后，经市管网接管开发区临港污水处理厂集中处理，中华药港污水站排放标准综合执行《生物制药行业水和大气污染物排放限值》</w:t>
            </w:r>
            <w:r>
              <w:rPr>
                <w:rFonts w:hint="eastAsia"/>
                <w:lang w:eastAsia="zh-CN"/>
              </w:rPr>
              <w:t>（</w:t>
            </w:r>
            <w:r>
              <w:rPr>
                <w:rFonts w:ascii="Times New Roman" w:eastAsia="宋体"/>
              </w:rPr>
              <w:t>DB32/3560-2019</w:t>
            </w:r>
            <w:r>
              <w:rPr>
                <w:rFonts w:hint="eastAsia"/>
                <w:lang w:eastAsia="zh-CN"/>
              </w:rPr>
              <w:t>）</w:t>
            </w:r>
            <w:r>
              <w:rPr>
                <w:rFonts w:ascii="Times New Roman" w:eastAsia="宋体"/>
              </w:rPr>
              <w:t>表2间接排放限值及《污水排入城镇下水道水质标准》</w:t>
            </w:r>
            <w:r>
              <w:rPr>
                <w:rFonts w:hint="eastAsia"/>
                <w:lang w:eastAsia="zh-CN"/>
              </w:rPr>
              <w:t>（</w:t>
            </w:r>
            <w:r>
              <w:rPr>
                <w:rFonts w:ascii="Times New Roman" w:eastAsia="宋体"/>
              </w:rPr>
              <w:t>GB/T31962-2015</w:t>
            </w:r>
            <w:r>
              <w:rPr>
                <w:rFonts w:hint="eastAsia"/>
                <w:lang w:eastAsia="zh-CN"/>
              </w:rPr>
              <w:t>）</w:t>
            </w:r>
            <w:r>
              <w:rPr>
                <w:rFonts w:ascii="Times New Roman" w:eastAsia="宋体"/>
              </w:rPr>
              <w:t>表1中A等级标准，从严执行。</w:t>
            </w:r>
            <w:r>
              <w:rPr>
                <w:rFonts w:hint="eastAsia" w:ascii="Times New Roman" w:eastAsia="宋体"/>
              </w:rPr>
              <w:t>开发区临港污水处理厂</w:t>
            </w:r>
            <w:r>
              <w:rPr>
                <w:rFonts w:ascii="Times New Roman" w:eastAsia="宋体"/>
              </w:rPr>
              <w:t>尾水排放执行《城镇污水处理厂污染物排放标准（GB18918-2002）》一级A标准，标准见表3-</w:t>
            </w:r>
            <w:r>
              <w:rPr>
                <w:rFonts w:hint="eastAsia"/>
                <w:lang w:val="en-US" w:eastAsia="zh-CN"/>
              </w:rPr>
              <w:t>12</w:t>
            </w:r>
            <w:r>
              <w:rPr>
                <w:rFonts w:ascii="Times New Roman" w:eastAsia="宋体"/>
              </w:rPr>
              <w:t>。</w:t>
            </w:r>
          </w:p>
          <w:p w14:paraId="3994F662">
            <w:pPr>
              <w:pStyle w:val="1111"/>
              <w:bidi w:val="0"/>
              <w:rPr>
                <w:rFonts w:hint="eastAsia"/>
              </w:rPr>
            </w:pPr>
            <w:r>
              <w:rPr>
                <w:rFonts w:hint="eastAsia"/>
              </w:rPr>
              <w:t>表3</w:t>
            </w:r>
            <w:r>
              <w:t>-</w:t>
            </w:r>
            <w:r>
              <w:rPr>
                <w:rFonts w:hint="eastAsia"/>
                <w:lang w:val="en-US" w:eastAsia="zh-CN"/>
              </w:rPr>
              <w:t>12</w:t>
            </w:r>
            <w:r>
              <w:t xml:space="preserve"> </w:t>
            </w:r>
            <w:r>
              <w:rPr>
                <w:rFonts w:hint="eastAsia"/>
              </w:rPr>
              <w:t>项目废水污染物排放标准限值</w:t>
            </w:r>
          </w:p>
          <w:tbl>
            <w:tblPr>
              <w:tblStyle w:val="7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2"/>
              <w:gridCol w:w="742"/>
              <w:gridCol w:w="1544"/>
              <w:gridCol w:w="2350"/>
              <w:gridCol w:w="2696"/>
            </w:tblGrid>
            <w:tr w14:paraId="5EC21C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51" w:hRule="atLeast"/>
                <w:jc w:val="center"/>
              </w:trPr>
              <w:tc>
                <w:tcPr>
                  <w:tcW w:w="510" w:type="dxa"/>
                  <w:vMerge w:val="restart"/>
                  <w:noWrap w:val="0"/>
                  <w:vAlign w:val="center"/>
                </w:tcPr>
                <w:p w14:paraId="66009E8F">
                  <w:pPr>
                    <w:pStyle w:val="1111"/>
                    <w:bidi w:val="0"/>
                  </w:pPr>
                  <w:r>
                    <w:t>序号</w:t>
                  </w:r>
                </w:p>
              </w:tc>
              <w:tc>
                <w:tcPr>
                  <w:tcW w:w="710" w:type="dxa"/>
                  <w:vMerge w:val="restart"/>
                  <w:noWrap w:val="0"/>
                  <w:vAlign w:val="center"/>
                </w:tcPr>
                <w:p w14:paraId="2A3B2CF3">
                  <w:pPr>
                    <w:pStyle w:val="1111"/>
                    <w:bidi w:val="0"/>
                  </w:pPr>
                  <w:r>
                    <w:t>污染因子</w:t>
                  </w:r>
                </w:p>
              </w:tc>
              <w:tc>
                <w:tcPr>
                  <w:tcW w:w="1478" w:type="dxa"/>
                  <w:noWrap w:val="0"/>
                  <w:vAlign w:val="center"/>
                </w:tcPr>
                <w:p w14:paraId="348075F5">
                  <w:pPr>
                    <w:pStyle w:val="1111"/>
                    <w:bidi w:val="0"/>
                  </w:pPr>
                  <w:r>
                    <w:t>接管执行标准值（</w:t>
                  </w:r>
                  <w:r>
                    <w:rPr>
                      <w:rFonts w:hint="eastAsia"/>
                      <w:lang w:val="en-US" w:eastAsia="zh-CN"/>
                    </w:rPr>
                    <w:t>mg/L</w:t>
                  </w:r>
                  <w:r>
                    <w:t>）</w:t>
                  </w:r>
                </w:p>
              </w:tc>
              <w:tc>
                <w:tcPr>
                  <w:tcW w:w="4831" w:type="dxa"/>
                  <w:gridSpan w:val="2"/>
                  <w:noWrap w:val="0"/>
                  <w:vAlign w:val="center"/>
                </w:tcPr>
                <w:p w14:paraId="3F665A16">
                  <w:pPr>
                    <w:pStyle w:val="1111"/>
                    <w:bidi w:val="0"/>
                  </w:pPr>
                  <w:r>
                    <w:t>排放执行标准指标值（</w:t>
                  </w:r>
                  <w:r>
                    <w:rPr>
                      <w:rFonts w:hint="eastAsia"/>
                      <w:lang w:val="en-US" w:eastAsia="zh-CN"/>
                    </w:rPr>
                    <w:t>mg/L</w:t>
                  </w:r>
                  <w:r>
                    <w:t>）</w:t>
                  </w:r>
                </w:p>
              </w:tc>
            </w:tr>
            <w:tr w14:paraId="589E2E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0" w:hRule="atLeast"/>
                <w:jc w:val="center"/>
              </w:trPr>
              <w:tc>
                <w:tcPr>
                  <w:tcW w:w="510" w:type="dxa"/>
                  <w:vMerge w:val="continue"/>
                  <w:noWrap w:val="0"/>
                  <w:vAlign w:val="center"/>
                </w:tcPr>
                <w:p w14:paraId="2ED6F7A8">
                  <w:pPr>
                    <w:pStyle w:val="1111"/>
                    <w:bidi w:val="0"/>
                  </w:pPr>
                </w:p>
              </w:tc>
              <w:tc>
                <w:tcPr>
                  <w:tcW w:w="710" w:type="dxa"/>
                  <w:vMerge w:val="continue"/>
                  <w:noWrap w:val="0"/>
                  <w:vAlign w:val="center"/>
                </w:tcPr>
                <w:p w14:paraId="21A37B17">
                  <w:pPr>
                    <w:pStyle w:val="1111"/>
                    <w:bidi w:val="0"/>
                  </w:pPr>
                </w:p>
              </w:tc>
              <w:tc>
                <w:tcPr>
                  <w:tcW w:w="1478" w:type="dxa"/>
                  <w:noWrap w:val="0"/>
                  <w:vAlign w:val="center"/>
                </w:tcPr>
                <w:p w14:paraId="4B03FA0A">
                  <w:pPr>
                    <w:pStyle w:val="1111"/>
                    <w:bidi w:val="0"/>
                  </w:pPr>
                  <w:r>
                    <w:t>中华药港污水站接管标准</w:t>
                  </w:r>
                </w:p>
              </w:tc>
              <w:tc>
                <w:tcPr>
                  <w:tcW w:w="2250" w:type="dxa"/>
                  <w:noWrap w:val="0"/>
                  <w:vAlign w:val="center"/>
                </w:tcPr>
                <w:p w14:paraId="3C93B03A">
                  <w:pPr>
                    <w:pStyle w:val="1111"/>
                    <w:bidi w:val="0"/>
                  </w:pPr>
                  <w:r>
                    <w:rPr>
                      <w:rFonts w:ascii="Times New Roman" w:eastAsia="宋体"/>
                    </w:rPr>
                    <w:t>DB32/3560-2019</w:t>
                  </w:r>
                  <w:r>
                    <w:rPr>
                      <w:rFonts w:hint="eastAsia"/>
                      <w:lang w:eastAsia="zh-CN"/>
                    </w:rPr>
                    <w:t>及</w:t>
                  </w:r>
                  <w:r>
                    <w:t>GB/T31962-2015 A级</w:t>
                  </w:r>
                </w:p>
              </w:tc>
              <w:tc>
                <w:tcPr>
                  <w:tcW w:w="2581" w:type="dxa"/>
                  <w:noWrap w:val="0"/>
                  <w:vAlign w:val="center"/>
                </w:tcPr>
                <w:p w14:paraId="61D92F15">
                  <w:pPr>
                    <w:pStyle w:val="1111"/>
                    <w:bidi w:val="0"/>
                  </w:pPr>
                  <w:r>
                    <w:t>城镇污水处理厂污染物排放标准（GB18918-2002）一级A</w:t>
                  </w:r>
                </w:p>
              </w:tc>
            </w:tr>
            <w:tr w14:paraId="39FB15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35" w:hRule="atLeast"/>
                <w:jc w:val="center"/>
              </w:trPr>
              <w:tc>
                <w:tcPr>
                  <w:tcW w:w="510" w:type="dxa"/>
                  <w:noWrap w:val="0"/>
                  <w:vAlign w:val="center"/>
                </w:tcPr>
                <w:p w14:paraId="78CD5E98">
                  <w:pPr>
                    <w:pStyle w:val="1111"/>
                    <w:bidi w:val="0"/>
                  </w:pPr>
                  <w:r>
                    <w:t>1</w:t>
                  </w:r>
                </w:p>
              </w:tc>
              <w:tc>
                <w:tcPr>
                  <w:tcW w:w="710" w:type="dxa"/>
                  <w:noWrap w:val="0"/>
                  <w:vAlign w:val="center"/>
                </w:tcPr>
                <w:p w14:paraId="3E00E90A">
                  <w:pPr>
                    <w:pStyle w:val="1111"/>
                    <w:bidi w:val="0"/>
                  </w:pPr>
                  <w:r>
                    <w:t>pH值</w:t>
                  </w:r>
                </w:p>
              </w:tc>
              <w:tc>
                <w:tcPr>
                  <w:tcW w:w="1478" w:type="dxa"/>
                  <w:noWrap w:val="0"/>
                  <w:vAlign w:val="center"/>
                </w:tcPr>
                <w:p w14:paraId="72C2701B">
                  <w:pPr>
                    <w:pStyle w:val="1111"/>
                    <w:bidi w:val="0"/>
                  </w:pPr>
                  <w:r>
                    <w:t>6-9</w:t>
                  </w:r>
                </w:p>
              </w:tc>
              <w:tc>
                <w:tcPr>
                  <w:tcW w:w="2250" w:type="dxa"/>
                  <w:noWrap w:val="0"/>
                  <w:vAlign w:val="center"/>
                </w:tcPr>
                <w:p w14:paraId="57EFD705">
                  <w:pPr>
                    <w:pStyle w:val="1111"/>
                    <w:bidi w:val="0"/>
                  </w:pPr>
                  <w:r>
                    <w:t>6～9</w:t>
                  </w:r>
                </w:p>
              </w:tc>
              <w:tc>
                <w:tcPr>
                  <w:tcW w:w="2581" w:type="dxa"/>
                  <w:noWrap w:val="0"/>
                  <w:vAlign w:val="center"/>
                </w:tcPr>
                <w:p w14:paraId="5D8ACD04">
                  <w:pPr>
                    <w:pStyle w:val="1111"/>
                    <w:bidi w:val="0"/>
                  </w:pPr>
                  <w:r>
                    <w:t>6～9</w:t>
                  </w:r>
                </w:p>
              </w:tc>
            </w:tr>
            <w:tr w14:paraId="58B994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4" w:hRule="atLeast"/>
                <w:jc w:val="center"/>
              </w:trPr>
              <w:tc>
                <w:tcPr>
                  <w:tcW w:w="510" w:type="dxa"/>
                  <w:noWrap w:val="0"/>
                  <w:vAlign w:val="center"/>
                </w:tcPr>
                <w:p w14:paraId="1F93E000">
                  <w:pPr>
                    <w:pStyle w:val="1111"/>
                    <w:bidi w:val="0"/>
                  </w:pPr>
                  <w:r>
                    <w:t>2</w:t>
                  </w:r>
                </w:p>
              </w:tc>
              <w:tc>
                <w:tcPr>
                  <w:tcW w:w="710" w:type="dxa"/>
                  <w:noWrap w:val="0"/>
                  <w:vAlign w:val="center"/>
                </w:tcPr>
                <w:p w14:paraId="3D6B2BB4">
                  <w:pPr>
                    <w:pStyle w:val="1111"/>
                    <w:bidi w:val="0"/>
                  </w:pPr>
                  <w:r>
                    <w:t>COD</w:t>
                  </w:r>
                </w:p>
              </w:tc>
              <w:tc>
                <w:tcPr>
                  <w:tcW w:w="1478" w:type="dxa"/>
                  <w:noWrap w:val="0"/>
                  <w:vAlign w:val="center"/>
                </w:tcPr>
                <w:p w14:paraId="23E472C9">
                  <w:pPr>
                    <w:pStyle w:val="1111"/>
                    <w:bidi w:val="0"/>
                  </w:pPr>
                  <w:r>
                    <w:t>2000</w:t>
                  </w:r>
                </w:p>
              </w:tc>
              <w:tc>
                <w:tcPr>
                  <w:tcW w:w="2250" w:type="dxa"/>
                  <w:noWrap w:val="0"/>
                  <w:vAlign w:val="center"/>
                </w:tcPr>
                <w:p w14:paraId="6D9EF494">
                  <w:pPr>
                    <w:pStyle w:val="1111"/>
                    <w:bidi w:val="0"/>
                  </w:pPr>
                  <w:r>
                    <w:t>500</w:t>
                  </w:r>
                </w:p>
              </w:tc>
              <w:tc>
                <w:tcPr>
                  <w:tcW w:w="2581" w:type="dxa"/>
                  <w:noWrap w:val="0"/>
                  <w:vAlign w:val="center"/>
                </w:tcPr>
                <w:p w14:paraId="76BCA5CD">
                  <w:pPr>
                    <w:pStyle w:val="1111"/>
                    <w:bidi w:val="0"/>
                  </w:pPr>
                  <w:r>
                    <w:t>50</w:t>
                  </w:r>
                </w:p>
              </w:tc>
            </w:tr>
            <w:tr w14:paraId="53554B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6" w:hRule="atLeast"/>
                <w:jc w:val="center"/>
              </w:trPr>
              <w:tc>
                <w:tcPr>
                  <w:tcW w:w="510" w:type="dxa"/>
                  <w:noWrap w:val="0"/>
                  <w:vAlign w:val="center"/>
                </w:tcPr>
                <w:p w14:paraId="4E15D44D">
                  <w:pPr>
                    <w:pStyle w:val="1111"/>
                    <w:bidi w:val="0"/>
                  </w:pPr>
                  <w:r>
                    <w:t>3</w:t>
                  </w:r>
                </w:p>
              </w:tc>
              <w:tc>
                <w:tcPr>
                  <w:tcW w:w="710" w:type="dxa"/>
                  <w:noWrap w:val="0"/>
                  <w:vAlign w:val="center"/>
                </w:tcPr>
                <w:p w14:paraId="7D3CBB2E">
                  <w:pPr>
                    <w:pStyle w:val="1111"/>
                    <w:bidi w:val="0"/>
                  </w:pPr>
                  <w:r>
                    <w:t>SS</w:t>
                  </w:r>
                </w:p>
              </w:tc>
              <w:tc>
                <w:tcPr>
                  <w:tcW w:w="1478" w:type="dxa"/>
                  <w:noWrap w:val="0"/>
                  <w:vAlign w:val="center"/>
                </w:tcPr>
                <w:p w14:paraId="76E3C018">
                  <w:pPr>
                    <w:pStyle w:val="1111"/>
                    <w:bidi w:val="0"/>
                  </w:pPr>
                  <w:r>
                    <w:t>300</w:t>
                  </w:r>
                </w:p>
              </w:tc>
              <w:tc>
                <w:tcPr>
                  <w:tcW w:w="2250" w:type="dxa"/>
                  <w:noWrap w:val="0"/>
                  <w:vAlign w:val="center"/>
                </w:tcPr>
                <w:p w14:paraId="59E4C8D3">
                  <w:pPr>
                    <w:pStyle w:val="1111"/>
                    <w:bidi w:val="0"/>
                  </w:pPr>
                  <w:r>
                    <w:t>120</w:t>
                  </w:r>
                </w:p>
              </w:tc>
              <w:tc>
                <w:tcPr>
                  <w:tcW w:w="2581" w:type="dxa"/>
                  <w:noWrap w:val="0"/>
                  <w:vAlign w:val="center"/>
                </w:tcPr>
                <w:p w14:paraId="051CF17A">
                  <w:pPr>
                    <w:pStyle w:val="1111"/>
                    <w:bidi w:val="0"/>
                  </w:pPr>
                  <w:r>
                    <w:t>10</w:t>
                  </w:r>
                </w:p>
              </w:tc>
            </w:tr>
            <w:tr w14:paraId="59EA8D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7" w:hRule="atLeast"/>
                <w:jc w:val="center"/>
              </w:trPr>
              <w:tc>
                <w:tcPr>
                  <w:tcW w:w="510" w:type="dxa"/>
                  <w:noWrap w:val="0"/>
                  <w:vAlign w:val="center"/>
                </w:tcPr>
                <w:p w14:paraId="692A4885">
                  <w:pPr>
                    <w:pStyle w:val="1111"/>
                    <w:bidi w:val="0"/>
                  </w:pPr>
                  <w:r>
                    <w:t>4</w:t>
                  </w:r>
                </w:p>
              </w:tc>
              <w:tc>
                <w:tcPr>
                  <w:tcW w:w="710" w:type="dxa"/>
                  <w:noWrap w:val="0"/>
                  <w:vAlign w:val="center"/>
                </w:tcPr>
                <w:p w14:paraId="45DE6F37">
                  <w:pPr>
                    <w:pStyle w:val="1111"/>
                    <w:bidi w:val="0"/>
                  </w:pPr>
                  <w:r>
                    <w:t>氨氮</w:t>
                  </w:r>
                </w:p>
              </w:tc>
              <w:tc>
                <w:tcPr>
                  <w:tcW w:w="1478" w:type="dxa"/>
                  <w:noWrap w:val="0"/>
                  <w:vAlign w:val="center"/>
                </w:tcPr>
                <w:p w14:paraId="61C6A5F2">
                  <w:pPr>
                    <w:pStyle w:val="1111"/>
                    <w:bidi w:val="0"/>
                  </w:pPr>
                  <w:r>
                    <w:t>40</w:t>
                  </w:r>
                </w:p>
              </w:tc>
              <w:tc>
                <w:tcPr>
                  <w:tcW w:w="2250" w:type="dxa"/>
                  <w:noWrap w:val="0"/>
                  <w:vAlign w:val="center"/>
                </w:tcPr>
                <w:p w14:paraId="5DCA505A">
                  <w:pPr>
                    <w:pStyle w:val="1111"/>
                    <w:bidi w:val="0"/>
                  </w:pPr>
                  <w:r>
                    <w:t>35</w:t>
                  </w:r>
                </w:p>
              </w:tc>
              <w:tc>
                <w:tcPr>
                  <w:tcW w:w="2581" w:type="dxa"/>
                  <w:noWrap w:val="0"/>
                  <w:vAlign w:val="center"/>
                </w:tcPr>
                <w:p w14:paraId="07E76309">
                  <w:pPr>
                    <w:pStyle w:val="1111"/>
                    <w:bidi w:val="0"/>
                  </w:pPr>
                  <w:r>
                    <w:t>5</w:t>
                  </w:r>
                </w:p>
              </w:tc>
            </w:tr>
            <w:tr w14:paraId="1737FF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510" w:type="dxa"/>
                  <w:noWrap w:val="0"/>
                  <w:vAlign w:val="center"/>
                </w:tcPr>
                <w:p w14:paraId="2979434B">
                  <w:pPr>
                    <w:pStyle w:val="1111"/>
                    <w:bidi w:val="0"/>
                  </w:pPr>
                  <w:r>
                    <w:t>5</w:t>
                  </w:r>
                </w:p>
              </w:tc>
              <w:tc>
                <w:tcPr>
                  <w:tcW w:w="710" w:type="dxa"/>
                  <w:noWrap w:val="0"/>
                  <w:vAlign w:val="center"/>
                </w:tcPr>
                <w:p w14:paraId="20BABDC9">
                  <w:pPr>
                    <w:pStyle w:val="1111"/>
                    <w:bidi w:val="0"/>
                  </w:pPr>
                  <w:r>
                    <w:t>总氮</w:t>
                  </w:r>
                </w:p>
              </w:tc>
              <w:tc>
                <w:tcPr>
                  <w:tcW w:w="1478" w:type="dxa"/>
                  <w:noWrap w:val="0"/>
                  <w:vAlign w:val="center"/>
                </w:tcPr>
                <w:p w14:paraId="2B4916E5">
                  <w:pPr>
                    <w:pStyle w:val="1111"/>
                    <w:bidi w:val="0"/>
                  </w:pPr>
                  <w:r>
                    <w:t>70</w:t>
                  </w:r>
                </w:p>
              </w:tc>
              <w:tc>
                <w:tcPr>
                  <w:tcW w:w="2250" w:type="dxa"/>
                  <w:noWrap w:val="0"/>
                  <w:vAlign w:val="center"/>
                </w:tcPr>
                <w:p w14:paraId="1E4B41D7">
                  <w:pPr>
                    <w:pStyle w:val="1111"/>
                    <w:bidi w:val="0"/>
                  </w:pPr>
                  <w:r>
                    <w:t>60</w:t>
                  </w:r>
                </w:p>
              </w:tc>
              <w:tc>
                <w:tcPr>
                  <w:tcW w:w="2581" w:type="dxa"/>
                  <w:noWrap w:val="0"/>
                  <w:vAlign w:val="center"/>
                </w:tcPr>
                <w:p w14:paraId="79056E0E">
                  <w:pPr>
                    <w:pStyle w:val="1111"/>
                    <w:bidi w:val="0"/>
                  </w:pPr>
                  <w:r>
                    <w:t>15</w:t>
                  </w:r>
                </w:p>
              </w:tc>
            </w:tr>
            <w:tr w14:paraId="2FE18B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7" w:hRule="atLeast"/>
                <w:jc w:val="center"/>
              </w:trPr>
              <w:tc>
                <w:tcPr>
                  <w:tcW w:w="510" w:type="dxa"/>
                  <w:noWrap w:val="0"/>
                  <w:vAlign w:val="center"/>
                </w:tcPr>
                <w:p w14:paraId="10A6E1F9">
                  <w:pPr>
                    <w:pStyle w:val="1111"/>
                    <w:bidi w:val="0"/>
                  </w:pPr>
                  <w:r>
                    <w:t>6</w:t>
                  </w:r>
                </w:p>
              </w:tc>
              <w:tc>
                <w:tcPr>
                  <w:tcW w:w="710" w:type="dxa"/>
                  <w:noWrap w:val="0"/>
                  <w:vAlign w:val="center"/>
                </w:tcPr>
                <w:p w14:paraId="2EDF3B81">
                  <w:pPr>
                    <w:pStyle w:val="1111"/>
                    <w:bidi w:val="0"/>
                  </w:pPr>
                  <w:r>
                    <w:t>总磷</w:t>
                  </w:r>
                </w:p>
              </w:tc>
              <w:tc>
                <w:tcPr>
                  <w:tcW w:w="1478" w:type="dxa"/>
                  <w:noWrap w:val="0"/>
                  <w:vAlign w:val="center"/>
                </w:tcPr>
                <w:p w14:paraId="6FE68326">
                  <w:pPr>
                    <w:pStyle w:val="1111"/>
                    <w:bidi w:val="0"/>
                  </w:pPr>
                  <w:r>
                    <w:t>10</w:t>
                  </w:r>
                </w:p>
              </w:tc>
              <w:tc>
                <w:tcPr>
                  <w:tcW w:w="2250" w:type="dxa"/>
                  <w:noWrap w:val="0"/>
                  <w:vAlign w:val="center"/>
                </w:tcPr>
                <w:p w14:paraId="0E92B31A">
                  <w:pPr>
                    <w:pStyle w:val="1111"/>
                    <w:bidi w:val="0"/>
                  </w:pPr>
                  <w:r>
                    <w:t>8</w:t>
                  </w:r>
                </w:p>
              </w:tc>
              <w:tc>
                <w:tcPr>
                  <w:tcW w:w="2581" w:type="dxa"/>
                  <w:noWrap w:val="0"/>
                  <w:vAlign w:val="center"/>
                </w:tcPr>
                <w:p w14:paraId="360EC37F">
                  <w:pPr>
                    <w:pStyle w:val="1111"/>
                    <w:bidi w:val="0"/>
                  </w:pPr>
                  <w:r>
                    <w:t>0.5</w:t>
                  </w:r>
                </w:p>
              </w:tc>
            </w:tr>
          </w:tbl>
          <w:p w14:paraId="278F6CA6">
            <w:pPr>
              <w:pStyle w:val="512"/>
            </w:pPr>
            <w:r>
              <w:rPr>
                <w:rFonts w:hint="eastAsia"/>
              </w:rPr>
              <w:t>3、噪声排放标准</w:t>
            </w:r>
          </w:p>
          <w:p w14:paraId="550D0F9C">
            <w:pPr>
              <w:pStyle w:val="512"/>
              <w:ind w:firstLine="720" w:firstLineChars="300"/>
            </w:pPr>
            <w:r>
              <w:rPr>
                <w:rFonts w:hint="eastAsia"/>
              </w:rPr>
              <w:t>项目运营期厂界噪声执行《工业企业厂界环境噪声排放标准》（G</w:t>
            </w:r>
            <w:r>
              <w:t>B12348-2008</w:t>
            </w:r>
            <w:r>
              <w:rPr>
                <w:rFonts w:hint="eastAsia"/>
              </w:rPr>
              <w:t>）</w:t>
            </w:r>
            <w:r>
              <w:rPr>
                <w:rFonts w:hint="eastAsia"/>
                <w:lang w:val="en-US" w:eastAsia="zh-CN"/>
              </w:rPr>
              <w:t>2</w:t>
            </w:r>
            <w:r>
              <w:rPr>
                <w:rFonts w:hint="eastAsia"/>
              </w:rPr>
              <w:t>类标准，详见表3</w:t>
            </w:r>
            <w:r>
              <w:t>-1</w:t>
            </w:r>
            <w:r>
              <w:rPr>
                <w:rFonts w:hint="eastAsia"/>
                <w:lang w:val="en-US" w:eastAsia="zh-CN"/>
              </w:rPr>
              <w:t>3</w:t>
            </w:r>
            <w:r>
              <w:rPr>
                <w:rFonts w:hint="eastAsia"/>
              </w:rPr>
              <w:t>。</w:t>
            </w:r>
          </w:p>
          <w:p w14:paraId="7645A265">
            <w:pPr>
              <w:pStyle w:val="1111"/>
            </w:pPr>
            <w:r>
              <w:rPr>
                <w:rFonts w:hint="eastAsia"/>
              </w:rPr>
              <w:t>表3</w:t>
            </w:r>
            <w:r>
              <w:t>-1</w:t>
            </w:r>
            <w:r>
              <w:rPr>
                <w:rFonts w:hint="eastAsia"/>
                <w:lang w:val="en-US" w:eastAsia="zh-CN"/>
              </w:rPr>
              <w:t>3</w:t>
            </w:r>
            <w:r>
              <w:t xml:space="preserve"> </w:t>
            </w:r>
            <w:r>
              <w:rPr>
                <w:rFonts w:hint="eastAsia"/>
              </w:rPr>
              <w:t>工业企业厂界环境噪声排放标准</w:t>
            </w:r>
          </w:p>
          <w:tbl>
            <w:tblPr>
              <w:tblStyle w:val="78"/>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20"/>
              <w:gridCol w:w="2620"/>
              <w:gridCol w:w="2622"/>
            </w:tblGrid>
            <w:tr w14:paraId="21B924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Merge w:val="restart"/>
                  <w:vAlign w:val="center"/>
                </w:tcPr>
                <w:p w14:paraId="78E9AB19">
                  <w:pPr>
                    <w:pStyle w:val="1111"/>
                  </w:pPr>
                  <w:r>
                    <w:rPr>
                      <w:rFonts w:hint="eastAsia"/>
                    </w:rPr>
                    <w:t>厂界外声环境功能区类别</w:t>
                  </w:r>
                </w:p>
              </w:tc>
              <w:tc>
                <w:tcPr>
                  <w:tcW w:w="3333" w:type="pct"/>
                  <w:gridSpan w:val="2"/>
                  <w:vAlign w:val="center"/>
                </w:tcPr>
                <w:p w14:paraId="6B47F63E">
                  <w:pPr>
                    <w:pStyle w:val="1111"/>
                  </w:pPr>
                  <w:r>
                    <w:rPr>
                      <w:rFonts w:hint="eastAsia"/>
                    </w:rPr>
                    <w:t>时段</w:t>
                  </w:r>
                </w:p>
              </w:tc>
            </w:tr>
            <w:tr w14:paraId="7DEA67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Merge w:val="continue"/>
                  <w:vAlign w:val="center"/>
                </w:tcPr>
                <w:p w14:paraId="41E7844A">
                  <w:pPr>
                    <w:pStyle w:val="1111"/>
                  </w:pPr>
                </w:p>
              </w:tc>
              <w:tc>
                <w:tcPr>
                  <w:tcW w:w="1666" w:type="pct"/>
                  <w:vAlign w:val="center"/>
                </w:tcPr>
                <w:p w14:paraId="6DD9AF0B">
                  <w:pPr>
                    <w:pStyle w:val="1111"/>
                  </w:pPr>
                  <w:r>
                    <w:rPr>
                      <w:rFonts w:hint="eastAsia"/>
                    </w:rPr>
                    <w:t>昼间</w:t>
                  </w:r>
                </w:p>
              </w:tc>
              <w:tc>
                <w:tcPr>
                  <w:tcW w:w="1667" w:type="pct"/>
                  <w:vAlign w:val="center"/>
                </w:tcPr>
                <w:p w14:paraId="0DB90011">
                  <w:pPr>
                    <w:pStyle w:val="1111"/>
                  </w:pPr>
                  <w:r>
                    <w:rPr>
                      <w:rFonts w:hint="eastAsia"/>
                    </w:rPr>
                    <w:t>夜间</w:t>
                  </w:r>
                </w:p>
              </w:tc>
            </w:tr>
            <w:tr w14:paraId="04B584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2FB89E95">
                  <w:pPr>
                    <w:pStyle w:val="1111"/>
                    <w:rPr>
                      <w:rFonts w:hint="eastAsia" w:eastAsia="宋体"/>
                      <w:lang w:eastAsia="zh-CN"/>
                    </w:rPr>
                  </w:pPr>
                  <w:r>
                    <w:rPr>
                      <w:rFonts w:hint="eastAsia"/>
                      <w:lang w:val="en-US" w:eastAsia="zh-CN"/>
                    </w:rPr>
                    <w:t>2</w:t>
                  </w:r>
                </w:p>
              </w:tc>
              <w:tc>
                <w:tcPr>
                  <w:tcW w:w="1666" w:type="pct"/>
                  <w:vAlign w:val="center"/>
                </w:tcPr>
                <w:p w14:paraId="322C6185">
                  <w:pPr>
                    <w:pStyle w:val="1111"/>
                  </w:pPr>
                  <w:r>
                    <w:rPr>
                      <w:rFonts w:hint="eastAsia"/>
                    </w:rPr>
                    <w:t>6</w:t>
                  </w:r>
                  <w:r>
                    <w:rPr>
                      <w:rFonts w:hint="eastAsia"/>
                      <w:lang w:val="en-US" w:eastAsia="zh-CN"/>
                    </w:rPr>
                    <w:t>0</w:t>
                  </w:r>
                  <w:r>
                    <w:t>dB</w:t>
                  </w:r>
                  <w:r>
                    <w:rPr>
                      <w:rFonts w:hint="eastAsia"/>
                    </w:rPr>
                    <w:t>（A）</w:t>
                  </w:r>
                </w:p>
              </w:tc>
              <w:tc>
                <w:tcPr>
                  <w:tcW w:w="1667" w:type="pct"/>
                  <w:vAlign w:val="center"/>
                </w:tcPr>
                <w:p w14:paraId="6FC29357">
                  <w:pPr>
                    <w:pStyle w:val="1111"/>
                  </w:pPr>
                  <w:r>
                    <w:rPr>
                      <w:rFonts w:hint="eastAsia"/>
                    </w:rPr>
                    <w:t>5</w:t>
                  </w:r>
                  <w:r>
                    <w:rPr>
                      <w:rFonts w:hint="eastAsia"/>
                      <w:lang w:val="en-US" w:eastAsia="zh-CN"/>
                    </w:rPr>
                    <w:t>0</w:t>
                  </w:r>
                  <w:r>
                    <w:t>dB</w:t>
                  </w:r>
                  <w:r>
                    <w:rPr>
                      <w:rFonts w:hint="eastAsia"/>
                    </w:rPr>
                    <w:t>（A）</w:t>
                  </w:r>
                </w:p>
              </w:tc>
            </w:tr>
          </w:tbl>
          <w:p w14:paraId="2B7422F4">
            <w:pPr>
              <w:pStyle w:val="1111"/>
            </w:pPr>
          </w:p>
          <w:p w14:paraId="71E25B7B">
            <w:pPr>
              <w:pStyle w:val="512"/>
            </w:pPr>
            <w:r>
              <w:t>4</w:t>
            </w:r>
            <w:r>
              <w:rPr>
                <w:rFonts w:hint="eastAsia"/>
              </w:rPr>
              <w:t>、</w:t>
            </w:r>
            <w:r>
              <w:t>固废贮存标准</w:t>
            </w:r>
          </w:p>
          <w:p w14:paraId="3A8BA5C8">
            <w:pPr>
              <w:pStyle w:val="512"/>
            </w:pPr>
            <w:r>
              <w:t>本项目生活垃圾及其他一般固体废物的贮存、处置执行《一般工业固体废物贮存和填埋污染控制标准》（GB18599-2020）。</w:t>
            </w:r>
            <w:r>
              <w:rPr>
                <w:szCs w:val="24"/>
              </w:rPr>
              <w:t>危险固废厂内暂存执行《危险废物贮存污染控制标准》（GB18597-202</w:t>
            </w:r>
            <w:r>
              <w:t>3</w:t>
            </w:r>
            <w:r>
              <w:rPr>
                <w:szCs w:val="24"/>
              </w:rPr>
              <w:t>）的有关规定要求，危险废物的转移须严格按照</w:t>
            </w:r>
            <w:r>
              <w:rPr>
                <w:rFonts w:hint="eastAsia"/>
                <w:szCs w:val="24"/>
              </w:rPr>
              <w:t>《危险废物转移管理办法》</w:t>
            </w:r>
            <w:r>
              <w:rPr>
                <w:szCs w:val="24"/>
              </w:rPr>
              <w:t>执行。</w:t>
            </w:r>
          </w:p>
        </w:tc>
      </w:tr>
      <w:tr w14:paraId="7B6104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220" w:hRule="atLeast"/>
          <w:jc w:val="center"/>
        </w:trPr>
        <w:tc>
          <w:tcPr>
            <w:tcW w:w="800" w:type="dxa"/>
            <w:vAlign w:val="center"/>
          </w:tcPr>
          <w:p w14:paraId="5BEBAF67">
            <w:pPr>
              <w:adjustRightInd w:val="0"/>
              <w:snapToGrid w:val="0"/>
              <w:jc w:val="center"/>
              <w:rPr>
                <w:kern w:val="0"/>
                <w:sz w:val="24"/>
              </w:rPr>
            </w:pPr>
            <w:r>
              <w:rPr>
                <w:kern w:val="0"/>
                <w:sz w:val="24"/>
              </w:rPr>
              <w:t>总量</w:t>
            </w:r>
          </w:p>
          <w:p w14:paraId="6638DFB7">
            <w:pPr>
              <w:adjustRightInd w:val="0"/>
              <w:snapToGrid w:val="0"/>
              <w:jc w:val="center"/>
              <w:rPr>
                <w:kern w:val="0"/>
                <w:sz w:val="24"/>
              </w:rPr>
            </w:pPr>
            <w:r>
              <w:rPr>
                <w:kern w:val="0"/>
                <w:sz w:val="24"/>
              </w:rPr>
              <w:t>控制</w:t>
            </w:r>
          </w:p>
          <w:p w14:paraId="03FECCDE">
            <w:pPr>
              <w:adjustRightInd w:val="0"/>
              <w:snapToGrid w:val="0"/>
              <w:jc w:val="center"/>
              <w:rPr>
                <w:kern w:val="0"/>
                <w:szCs w:val="21"/>
              </w:rPr>
            </w:pPr>
            <w:r>
              <w:rPr>
                <w:kern w:val="0"/>
                <w:sz w:val="24"/>
              </w:rPr>
              <w:t>指标</w:t>
            </w:r>
          </w:p>
        </w:tc>
        <w:tc>
          <w:tcPr>
            <w:tcW w:w="8190" w:type="dxa"/>
            <w:vAlign w:val="center"/>
          </w:tcPr>
          <w:p w14:paraId="2E55A2FD">
            <w:pPr>
              <w:pStyle w:val="512"/>
            </w:pPr>
            <w:r>
              <w:rPr>
                <w:rFonts w:hint="eastAsia"/>
              </w:rPr>
              <w:t>总量控制指标</w:t>
            </w:r>
          </w:p>
          <w:p w14:paraId="0A593EFC">
            <w:pPr>
              <w:pStyle w:val="512"/>
            </w:pPr>
            <w:r>
              <w:rPr>
                <w:rFonts w:hint="eastAsia"/>
              </w:rPr>
              <w:t>废气：</w:t>
            </w:r>
            <w:r>
              <w:rPr>
                <w:rFonts w:hint="eastAsia"/>
                <w:lang w:eastAsia="zh-CN"/>
              </w:rPr>
              <w:t>非甲烷总烃</w:t>
            </w:r>
            <w:r>
              <w:rPr>
                <w:rFonts w:hint="eastAsia"/>
                <w:lang w:val="en-US" w:eastAsia="zh-CN"/>
              </w:rPr>
              <w:t>0.197</w:t>
            </w:r>
            <w:r>
              <w:t>t/a</w:t>
            </w:r>
            <w:r>
              <w:rPr>
                <w:rFonts w:hint="eastAsia"/>
              </w:rPr>
              <w:t>；</w:t>
            </w:r>
          </w:p>
          <w:p w14:paraId="53C4573E">
            <w:pPr>
              <w:pStyle w:val="512"/>
            </w:pPr>
            <w:r>
              <w:rPr>
                <w:rFonts w:hint="eastAsia"/>
              </w:rPr>
              <w:t>废水总量：</w:t>
            </w:r>
            <w:r>
              <w:rPr>
                <w:rFonts w:hint="eastAsia"/>
                <w:lang w:val="en-US" w:eastAsia="zh-CN"/>
              </w:rPr>
              <w:t>192</w:t>
            </w:r>
            <w:r>
              <w:t>m</w:t>
            </w:r>
            <w:r>
              <w:rPr>
                <w:vertAlign w:val="superscript"/>
              </w:rPr>
              <w:t>3</w:t>
            </w:r>
            <w:r>
              <w:t>/</w:t>
            </w:r>
            <w:r>
              <w:rPr>
                <w:rFonts w:hint="eastAsia"/>
              </w:rPr>
              <w:t>a</w:t>
            </w:r>
          </w:p>
          <w:p w14:paraId="7C0C67F8">
            <w:pPr>
              <w:pStyle w:val="512"/>
            </w:pPr>
            <w:r>
              <w:rPr>
                <w:rFonts w:hint="eastAsia"/>
              </w:rPr>
              <w:t>接管量：C</w:t>
            </w:r>
            <w:r>
              <w:t>OD</w:t>
            </w:r>
            <w:r>
              <w:rPr>
                <w:rFonts w:hint="eastAsia"/>
                <w:lang w:val="en-US" w:eastAsia="zh-CN"/>
              </w:rPr>
              <w:t>0.0888</w:t>
            </w:r>
            <w:r>
              <w:t>t/a</w:t>
            </w:r>
            <w:r>
              <w:rPr>
                <w:rFonts w:hint="eastAsia"/>
              </w:rPr>
              <w:t>、</w:t>
            </w:r>
            <w:r>
              <w:t>SS</w:t>
            </w:r>
            <w:r>
              <w:rPr>
                <w:rFonts w:hint="eastAsia"/>
                <w:lang w:val="en-US" w:eastAsia="zh-CN"/>
              </w:rPr>
              <w:t>0.0226</w:t>
            </w:r>
            <w:r>
              <w:t>t/a</w:t>
            </w:r>
            <w:r>
              <w:rPr>
                <w:rFonts w:hint="eastAsia"/>
              </w:rPr>
              <w:t>、</w:t>
            </w:r>
            <w:r>
              <w:t>NH</w:t>
            </w:r>
            <w:r>
              <w:rPr>
                <w:vertAlign w:val="subscript"/>
              </w:rPr>
              <w:t>3</w:t>
            </w:r>
            <w:r>
              <w:t>-N0.0</w:t>
            </w:r>
            <w:r>
              <w:rPr>
                <w:rFonts w:hint="eastAsia"/>
                <w:lang w:val="en-US" w:eastAsia="zh-CN"/>
              </w:rPr>
              <w:t>025</w:t>
            </w:r>
            <w:r>
              <w:t>t/a</w:t>
            </w:r>
            <w:r>
              <w:rPr>
                <w:rFonts w:hint="eastAsia"/>
              </w:rPr>
              <w:t>、</w:t>
            </w:r>
            <w:r>
              <w:t>TN0.0</w:t>
            </w:r>
            <w:r>
              <w:rPr>
                <w:rFonts w:hint="eastAsia"/>
                <w:lang w:val="en-US" w:eastAsia="zh-CN"/>
              </w:rPr>
              <w:t>036</w:t>
            </w:r>
            <w:r>
              <w:t>t/a</w:t>
            </w:r>
            <w:r>
              <w:rPr>
                <w:rFonts w:hint="eastAsia"/>
              </w:rPr>
              <w:t>、T</w:t>
            </w:r>
            <w:r>
              <w:t>P</w:t>
            </w:r>
            <w:r>
              <w:rPr>
                <w:rFonts w:hint="eastAsia"/>
              </w:rPr>
              <w:t>0.0</w:t>
            </w:r>
            <w:r>
              <w:rPr>
                <w:rFonts w:hint="eastAsia"/>
                <w:lang w:val="en-US" w:eastAsia="zh-CN"/>
              </w:rPr>
              <w:t>004</w:t>
            </w:r>
            <w:r>
              <w:t>t/a</w:t>
            </w:r>
            <w:r>
              <w:rPr>
                <w:rFonts w:hint="eastAsia"/>
              </w:rPr>
              <w:t>；</w:t>
            </w:r>
          </w:p>
          <w:p w14:paraId="18F86AC1">
            <w:pPr>
              <w:pStyle w:val="512"/>
              <w:rPr>
                <w:rFonts w:hint="eastAsia"/>
              </w:rPr>
            </w:pPr>
            <w:r>
              <w:rPr>
                <w:rFonts w:hint="eastAsia"/>
              </w:rPr>
              <w:t>外排量：</w:t>
            </w:r>
            <w:r>
              <w:rPr>
                <w:rFonts w:ascii="Times New Roman" w:eastAsia="宋体"/>
                <w:sz w:val="24"/>
              </w:rPr>
              <w:t>COD：0.0096t/a；SS：0.0019</w:t>
            </w:r>
            <w:r>
              <w:rPr>
                <w:rFonts w:hint="eastAsia"/>
                <w:sz w:val="24"/>
                <w:lang w:val="en-US" w:eastAsia="zh-CN"/>
              </w:rPr>
              <w:t>2</w:t>
            </w:r>
            <w:r>
              <w:rPr>
                <w:rFonts w:ascii="Times New Roman" w:eastAsia="宋体"/>
                <w:sz w:val="24"/>
              </w:rPr>
              <w:t>t/a；</w:t>
            </w:r>
            <w:r>
              <w:rPr>
                <w:rFonts w:hint="eastAsia"/>
                <w:sz w:val="24"/>
                <w:lang w:eastAsia="zh-CN"/>
              </w:rPr>
              <w:t>NH</w:t>
            </w:r>
            <w:r>
              <w:rPr>
                <w:rFonts w:hint="eastAsia"/>
                <w:sz w:val="24"/>
                <w:vertAlign w:val="subscript"/>
                <w:lang w:eastAsia="zh-CN"/>
              </w:rPr>
              <w:t>3</w:t>
            </w:r>
            <w:r>
              <w:rPr>
                <w:rFonts w:hint="eastAsia"/>
                <w:sz w:val="24"/>
                <w:lang w:eastAsia="zh-CN"/>
              </w:rPr>
              <w:t>-N</w:t>
            </w:r>
            <w:r>
              <w:rPr>
                <w:rFonts w:ascii="Times New Roman" w:eastAsia="宋体"/>
                <w:sz w:val="24"/>
              </w:rPr>
              <w:t>：0.0009t/a；</w:t>
            </w:r>
            <w:r>
              <w:t>TN</w:t>
            </w:r>
            <w:r>
              <w:rPr>
                <w:rFonts w:ascii="Times New Roman" w:eastAsia="宋体"/>
                <w:sz w:val="24"/>
              </w:rPr>
              <w:t>0.0028t/a；</w:t>
            </w:r>
            <w:r>
              <w:rPr>
                <w:rFonts w:hint="eastAsia"/>
              </w:rPr>
              <w:t>T</w:t>
            </w:r>
            <w:r>
              <w:t>P</w:t>
            </w:r>
            <w:r>
              <w:rPr>
                <w:rFonts w:ascii="Times New Roman" w:eastAsia="宋体"/>
                <w:sz w:val="24"/>
              </w:rPr>
              <w:t>0.00009t/a</w:t>
            </w:r>
            <w:r>
              <w:rPr>
                <w:rFonts w:hint="eastAsia"/>
              </w:rPr>
              <w:t>。</w:t>
            </w:r>
          </w:p>
          <w:p w14:paraId="2507EB59">
            <w:pPr>
              <w:pStyle w:val="512"/>
            </w:pPr>
            <w:r>
              <w:rPr>
                <w:rFonts w:hint="eastAsia"/>
              </w:rPr>
              <w:t>固废：0</w:t>
            </w:r>
            <w:r>
              <w:t>t/a</w:t>
            </w:r>
          </w:p>
          <w:p w14:paraId="54F0C36E">
            <w:pPr>
              <w:pStyle w:val="512"/>
            </w:pPr>
            <w:r>
              <w:rPr>
                <w:rFonts w:hint="eastAsia"/>
              </w:rPr>
              <w:t>本项目建成后：</w:t>
            </w:r>
          </w:p>
          <w:p w14:paraId="0CD08C46">
            <w:pPr>
              <w:pStyle w:val="1111"/>
            </w:pPr>
            <w:r>
              <w:rPr>
                <w:rFonts w:hint="eastAsia"/>
              </w:rPr>
              <w:t>表3</w:t>
            </w:r>
            <w:r>
              <w:t>-1</w:t>
            </w:r>
            <w:r>
              <w:rPr>
                <w:rFonts w:hint="eastAsia"/>
                <w:lang w:val="en-US" w:eastAsia="zh-CN"/>
              </w:rPr>
              <w:t>4</w:t>
            </w:r>
            <w:r>
              <w:t xml:space="preserve"> </w:t>
            </w:r>
            <w:r>
              <w:rPr>
                <w:rFonts w:hint="eastAsia"/>
              </w:rPr>
              <w:t>项目建成后污染物排放情况表（t/a）</w:t>
            </w:r>
          </w:p>
          <w:tbl>
            <w:tblPr>
              <w:tblStyle w:val="77"/>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517"/>
              <w:gridCol w:w="986"/>
              <w:gridCol w:w="969"/>
              <w:gridCol w:w="969"/>
              <w:gridCol w:w="969"/>
              <w:gridCol w:w="1104"/>
              <w:gridCol w:w="1114"/>
              <w:gridCol w:w="1243"/>
            </w:tblGrid>
            <w:tr w14:paraId="01D2DAD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329" w:type="pct"/>
                  <w:vMerge w:val="restart"/>
                  <w:tcBorders>
                    <w:top w:val="single" w:color="auto" w:sz="8" w:space="0"/>
                    <w:left w:val="single" w:color="auto" w:sz="8" w:space="0"/>
                    <w:bottom w:val="single" w:color="000000" w:sz="8" w:space="0"/>
                    <w:right w:val="single" w:color="auto" w:sz="8" w:space="0"/>
                  </w:tcBorders>
                  <w:shd w:val="clear" w:color="auto" w:fill="auto"/>
                  <w:vAlign w:val="center"/>
                </w:tcPr>
                <w:p w14:paraId="44102380">
                  <w:pPr>
                    <w:pStyle w:val="1111"/>
                    <w:bidi w:val="0"/>
                    <w:rPr>
                      <w:rFonts w:hint="eastAsia"/>
                    </w:rPr>
                  </w:pPr>
                  <w:r>
                    <w:rPr>
                      <w:rFonts w:hint="eastAsia"/>
                      <w:lang w:val="en-US" w:eastAsia="zh-CN"/>
                    </w:rPr>
                    <w:t>类别</w:t>
                  </w:r>
                </w:p>
              </w:tc>
              <w:tc>
                <w:tcPr>
                  <w:tcW w:w="626" w:type="pct"/>
                  <w:vMerge w:val="restart"/>
                  <w:tcBorders>
                    <w:top w:val="single" w:color="auto" w:sz="8" w:space="0"/>
                    <w:left w:val="single" w:color="auto" w:sz="8" w:space="0"/>
                    <w:bottom w:val="single" w:color="000000" w:sz="8" w:space="0"/>
                    <w:right w:val="single" w:color="auto" w:sz="8" w:space="0"/>
                  </w:tcBorders>
                  <w:shd w:val="clear" w:color="auto" w:fill="auto"/>
                  <w:vAlign w:val="center"/>
                </w:tcPr>
                <w:p w14:paraId="3B043A63">
                  <w:pPr>
                    <w:pStyle w:val="1111"/>
                    <w:bidi w:val="0"/>
                    <w:rPr>
                      <w:rFonts w:hint="eastAsia"/>
                    </w:rPr>
                  </w:pPr>
                  <w:r>
                    <w:rPr>
                      <w:rFonts w:hint="eastAsia"/>
                      <w:lang w:val="en-US" w:eastAsia="zh-CN"/>
                    </w:rPr>
                    <w:t>污染物名称</w:t>
                  </w:r>
                </w:p>
              </w:tc>
              <w:tc>
                <w:tcPr>
                  <w:tcW w:w="2546" w:type="pct"/>
                  <w:gridSpan w:val="4"/>
                  <w:tcBorders>
                    <w:top w:val="single" w:color="auto" w:sz="8" w:space="0"/>
                    <w:left w:val="nil"/>
                    <w:bottom w:val="single" w:color="auto" w:sz="8" w:space="0"/>
                    <w:right w:val="single" w:color="000000" w:sz="8" w:space="0"/>
                  </w:tcBorders>
                  <w:shd w:val="clear" w:color="auto" w:fill="auto"/>
                  <w:vAlign w:val="center"/>
                </w:tcPr>
                <w:p w14:paraId="7D2F6833">
                  <w:pPr>
                    <w:pStyle w:val="1111"/>
                    <w:bidi w:val="0"/>
                    <w:rPr>
                      <w:rFonts w:hint="eastAsia"/>
                    </w:rPr>
                  </w:pPr>
                  <w:r>
                    <w:rPr>
                      <w:rFonts w:hint="eastAsia"/>
                      <w:lang w:val="en-US" w:eastAsia="zh-CN"/>
                    </w:rPr>
                    <w:t>本项目排放量</w:t>
                  </w:r>
                </w:p>
              </w:tc>
              <w:tc>
                <w:tcPr>
                  <w:tcW w:w="1496" w:type="pct"/>
                  <w:gridSpan w:val="2"/>
                  <w:tcBorders>
                    <w:top w:val="single" w:color="auto" w:sz="8" w:space="0"/>
                    <w:left w:val="nil"/>
                    <w:bottom w:val="single" w:color="auto" w:sz="8" w:space="0"/>
                    <w:right w:val="single" w:color="000000" w:sz="8" w:space="0"/>
                  </w:tcBorders>
                  <w:shd w:val="clear" w:color="auto" w:fill="auto"/>
                  <w:vAlign w:val="center"/>
                </w:tcPr>
                <w:p w14:paraId="0B4193CC">
                  <w:pPr>
                    <w:pStyle w:val="1111"/>
                    <w:bidi w:val="0"/>
                    <w:rPr>
                      <w:rFonts w:hint="eastAsia"/>
                    </w:rPr>
                  </w:pPr>
                  <w:r>
                    <w:rPr>
                      <w:rFonts w:hint="eastAsia"/>
                      <w:lang w:val="en-US" w:eastAsia="zh-CN"/>
                    </w:rPr>
                    <w:t>增减量</w:t>
                  </w:r>
                </w:p>
              </w:tc>
            </w:tr>
            <w:tr w14:paraId="385012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329" w:type="pct"/>
                  <w:vMerge w:val="continue"/>
                  <w:tcBorders>
                    <w:top w:val="single" w:color="auto" w:sz="8" w:space="0"/>
                    <w:left w:val="single" w:color="auto" w:sz="8" w:space="0"/>
                    <w:bottom w:val="single" w:color="000000" w:sz="8" w:space="0"/>
                    <w:right w:val="single" w:color="auto" w:sz="8" w:space="0"/>
                  </w:tcBorders>
                  <w:shd w:val="clear" w:color="auto" w:fill="auto"/>
                  <w:vAlign w:val="center"/>
                </w:tcPr>
                <w:p w14:paraId="2FAA8C96">
                  <w:pPr>
                    <w:pStyle w:val="1111"/>
                    <w:bidi w:val="0"/>
                    <w:rPr>
                      <w:rFonts w:hint="eastAsia"/>
                    </w:rPr>
                  </w:pPr>
                </w:p>
              </w:tc>
              <w:tc>
                <w:tcPr>
                  <w:tcW w:w="626" w:type="pct"/>
                  <w:vMerge w:val="continue"/>
                  <w:tcBorders>
                    <w:top w:val="single" w:color="auto" w:sz="8" w:space="0"/>
                    <w:left w:val="single" w:color="auto" w:sz="8" w:space="0"/>
                    <w:bottom w:val="single" w:color="000000" w:sz="8" w:space="0"/>
                    <w:right w:val="single" w:color="auto" w:sz="8" w:space="0"/>
                  </w:tcBorders>
                  <w:shd w:val="clear" w:color="auto" w:fill="auto"/>
                  <w:vAlign w:val="center"/>
                </w:tcPr>
                <w:p w14:paraId="6EF30164">
                  <w:pPr>
                    <w:pStyle w:val="1111"/>
                    <w:bidi w:val="0"/>
                    <w:rPr>
                      <w:rFonts w:hint="eastAsia"/>
                    </w:rPr>
                  </w:pPr>
                </w:p>
              </w:tc>
              <w:tc>
                <w:tcPr>
                  <w:tcW w:w="615" w:type="pct"/>
                  <w:tcBorders>
                    <w:top w:val="nil"/>
                    <w:left w:val="nil"/>
                    <w:bottom w:val="single" w:color="auto" w:sz="8" w:space="0"/>
                    <w:right w:val="single" w:color="auto" w:sz="8" w:space="0"/>
                  </w:tcBorders>
                  <w:shd w:val="clear" w:color="auto" w:fill="auto"/>
                  <w:vAlign w:val="center"/>
                </w:tcPr>
                <w:p w14:paraId="4804B0C3">
                  <w:pPr>
                    <w:pStyle w:val="1111"/>
                    <w:bidi w:val="0"/>
                    <w:rPr>
                      <w:rFonts w:hint="eastAsia"/>
                    </w:rPr>
                  </w:pPr>
                  <w:r>
                    <w:rPr>
                      <w:rFonts w:hint="eastAsia"/>
                      <w:lang w:val="en-US" w:eastAsia="zh-CN"/>
                    </w:rPr>
                    <w:t>产生量</w:t>
                  </w:r>
                </w:p>
              </w:tc>
              <w:tc>
                <w:tcPr>
                  <w:tcW w:w="615" w:type="pct"/>
                  <w:tcBorders>
                    <w:top w:val="nil"/>
                    <w:left w:val="nil"/>
                    <w:bottom w:val="single" w:color="auto" w:sz="8" w:space="0"/>
                    <w:right w:val="single" w:color="auto" w:sz="8" w:space="0"/>
                  </w:tcBorders>
                  <w:shd w:val="clear" w:color="auto" w:fill="auto"/>
                  <w:vAlign w:val="center"/>
                </w:tcPr>
                <w:p w14:paraId="4E6B2E78">
                  <w:pPr>
                    <w:pStyle w:val="1111"/>
                    <w:bidi w:val="0"/>
                    <w:rPr>
                      <w:rFonts w:hint="eastAsia"/>
                    </w:rPr>
                  </w:pPr>
                  <w:r>
                    <w:rPr>
                      <w:rFonts w:hint="eastAsia"/>
                      <w:lang w:val="en-US" w:eastAsia="zh-CN"/>
                    </w:rPr>
                    <w:t>削减量</w:t>
                  </w:r>
                </w:p>
              </w:tc>
              <w:tc>
                <w:tcPr>
                  <w:tcW w:w="615" w:type="pct"/>
                  <w:tcBorders>
                    <w:top w:val="nil"/>
                    <w:left w:val="nil"/>
                    <w:bottom w:val="single" w:color="auto" w:sz="8" w:space="0"/>
                    <w:right w:val="single" w:color="auto" w:sz="8" w:space="0"/>
                  </w:tcBorders>
                  <w:shd w:val="clear" w:color="auto" w:fill="auto"/>
                  <w:vAlign w:val="center"/>
                </w:tcPr>
                <w:p w14:paraId="3B5B949C">
                  <w:pPr>
                    <w:pStyle w:val="1111"/>
                    <w:bidi w:val="0"/>
                    <w:rPr>
                      <w:rFonts w:hint="eastAsia"/>
                    </w:rPr>
                  </w:pPr>
                  <w:r>
                    <w:rPr>
                      <w:rFonts w:hint="eastAsia"/>
                      <w:lang w:val="en-US" w:eastAsia="zh-CN"/>
                    </w:rPr>
                    <w:t>接管量</w:t>
                  </w:r>
                </w:p>
              </w:tc>
              <w:tc>
                <w:tcPr>
                  <w:tcW w:w="700" w:type="pct"/>
                  <w:tcBorders>
                    <w:top w:val="nil"/>
                    <w:left w:val="nil"/>
                    <w:bottom w:val="single" w:color="auto" w:sz="8" w:space="0"/>
                    <w:right w:val="single" w:color="auto" w:sz="8" w:space="0"/>
                  </w:tcBorders>
                  <w:shd w:val="clear" w:color="auto" w:fill="auto"/>
                  <w:vAlign w:val="center"/>
                </w:tcPr>
                <w:p w14:paraId="5C8BAD17">
                  <w:pPr>
                    <w:pStyle w:val="1111"/>
                    <w:bidi w:val="0"/>
                    <w:rPr>
                      <w:rFonts w:hint="eastAsia"/>
                    </w:rPr>
                  </w:pPr>
                  <w:r>
                    <w:rPr>
                      <w:rFonts w:hint="eastAsia"/>
                      <w:lang w:val="en-US" w:eastAsia="zh-CN"/>
                    </w:rPr>
                    <w:t>外排量</w:t>
                  </w:r>
                </w:p>
              </w:tc>
              <w:tc>
                <w:tcPr>
                  <w:tcW w:w="707" w:type="pct"/>
                  <w:tcBorders>
                    <w:top w:val="nil"/>
                    <w:left w:val="nil"/>
                    <w:bottom w:val="single" w:color="auto" w:sz="8" w:space="0"/>
                    <w:right w:val="single" w:color="auto" w:sz="8" w:space="0"/>
                  </w:tcBorders>
                  <w:shd w:val="clear" w:color="auto" w:fill="auto"/>
                  <w:vAlign w:val="center"/>
                </w:tcPr>
                <w:p w14:paraId="07B1DDB2">
                  <w:pPr>
                    <w:pStyle w:val="1111"/>
                    <w:bidi w:val="0"/>
                    <w:rPr>
                      <w:rFonts w:hint="eastAsia"/>
                    </w:rPr>
                  </w:pPr>
                  <w:r>
                    <w:rPr>
                      <w:rFonts w:hint="eastAsia"/>
                      <w:lang w:val="en-US" w:eastAsia="zh-CN"/>
                    </w:rPr>
                    <w:t>接管量</w:t>
                  </w:r>
                </w:p>
              </w:tc>
              <w:tc>
                <w:tcPr>
                  <w:tcW w:w="789" w:type="pct"/>
                  <w:tcBorders>
                    <w:top w:val="nil"/>
                    <w:left w:val="nil"/>
                    <w:bottom w:val="single" w:color="auto" w:sz="8" w:space="0"/>
                    <w:right w:val="single" w:color="auto" w:sz="8" w:space="0"/>
                  </w:tcBorders>
                  <w:shd w:val="clear" w:color="auto" w:fill="auto"/>
                  <w:vAlign w:val="center"/>
                </w:tcPr>
                <w:p w14:paraId="164F0002">
                  <w:pPr>
                    <w:pStyle w:val="1111"/>
                    <w:bidi w:val="0"/>
                    <w:rPr>
                      <w:rFonts w:hint="eastAsia"/>
                    </w:rPr>
                  </w:pPr>
                  <w:r>
                    <w:rPr>
                      <w:rFonts w:hint="eastAsia"/>
                      <w:lang w:val="en-US" w:eastAsia="zh-CN"/>
                    </w:rPr>
                    <w:t>最终外排量</w:t>
                  </w:r>
                </w:p>
              </w:tc>
            </w:tr>
            <w:tr w14:paraId="747622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329" w:type="pct"/>
                  <w:vMerge w:val="restart"/>
                  <w:tcBorders>
                    <w:top w:val="nil"/>
                    <w:left w:val="single" w:color="auto" w:sz="8" w:space="0"/>
                    <w:bottom w:val="single" w:color="000000" w:sz="8" w:space="0"/>
                    <w:right w:val="single" w:color="auto" w:sz="8" w:space="0"/>
                  </w:tcBorders>
                  <w:shd w:val="clear" w:color="auto" w:fill="auto"/>
                  <w:vAlign w:val="center"/>
                </w:tcPr>
                <w:p w14:paraId="157C3E7A">
                  <w:pPr>
                    <w:pStyle w:val="1111"/>
                    <w:bidi w:val="0"/>
                    <w:rPr>
                      <w:rFonts w:hint="eastAsia"/>
                    </w:rPr>
                  </w:pPr>
                  <w:r>
                    <w:rPr>
                      <w:rFonts w:hint="eastAsia"/>
                      <w:lang w:val="en-US" w:eastAsia="zh-CN"/>
                    </w:rPr>
                    <w:t>废水</w:t>
                  </w:r>
                </w:p>
              </w:tc>
              <w:tc>
                <w:tcPr>
                  <w:tcW w:w="626" w:type="pct"/>
                  <w:tcBorders>
                    <w:top w:val="nil"/>
                    <w:left w:val="nil"/>
                    <w:bottom w:val="single" w:color="auto" w:sz="8" w:space="0"/>
                    <w:right w:val="single" w:color="auto" w:sz="8" w:space="0"/>
                  </w:tcBorders>
                  <w:shd w:val="clear" w:color="auto" w:fill="auto"/>
                  <w:vAlign w:val="center"/>
                </w:tcPr>
                <w:p w14:paraId="6C6AFEF5">
                  <w:pPr>
                    <w:pStyle w:val="1111"/>
                    <w:bidi w:val="0"/>
                    <w:rPr>
                      <w:rFonts w:hint="eastAsia"/>
                    </w:rPr>
                  </w:pPr>
                  <w:r>
                    <w:rPr>
                      <w:rFonts w:hint="eastAsia"/>
                      <w:lang w:val="en-US" w:eastAsia="zh-CN"/>
                    </w:rPr>
                    <w:t>废水量</w:t>
                  </w:r>
                </w:p>
              </w:tc>
              <w:tc>
                <w:tcPr>
                  <w:tcW w:w="615" w:type="pct"/>
                  <w:tcBorders>
                    <w:top w:val="nil"/>
                    <w:left w:val="nil"/>
                    <w:bottom w:val="single" w:color="auto" w:sz="8" w:space="0"/>
                    <w:right w:val="single" w:color="auto" w:sz="8" w:space="0"/>
                  </w:tcBorders>
                  <w:shd w:val="clear" w:color="auto" w:fill="auto"/>
                  <w:vAlign w:val="center"/>
                </w:tcPr>
                <w:p w14:paraId="0E535BEE">
                  <w:pPr>
                    <w:pStyle w:val="1111"/>
                    <w:bidi w:val="0"/>
                    <w:rPr>
                      <w:rFonts w:hint="default"/>
                    </w:rPr>
                  </w:pPr>
                  <w:r>
                    <w:rPr>
                      <w:rFonts w:hint="default"/>
                      <w:lang w:val="en-US" w:eastAsia="zh-CN"/>
                    </w:rPr>
                    <w:t>192</w:t>
                  </w:r>
                </w:p>
              </w:tc>
              <w:tc>
                <w:tcPr>
                  <w:tcW w:w="615" w:type="pct"/>
                  <w:tcBorders>
                    <w:top w:val="nil"/>
                    <w:left w:val="nil"/>
                    <w:bottom w:val="single" w:color="auto" w:sz="8" w:space="0"/>
                    <w:right w:val="single" w:color="auto" w:sz="8" w:space="0"/>
                  </w:tcBorders>
                  <w:shd w:val="clear" w:color="auto" w:fill="auto"/>
                  <w:vAlign w:val="center"/>
                </w:tcPr>
                <w:p w14:paraId="4DE076B9">
                  <w:pPr>
                    <w:pStyle w:val="1111"/>
                    <w:bidi w:val="0"/>
                    <w:rPr>
                      <w:rFonts w:hint="default"/>
                    </w:rPr>
                  </w:pPr>
                  <w:r>
                    <w:rPr>
                      <w:rFonts w:hint="default"/>
                      <w:lang w:val="en-US" w:eastAsia="zh-CN"/>
                    </w:rPr>
                    <w:t>0</w:t>
                  </w:r>
                </w:p>
              </w:tc>
              <w:tc>
                <w:tcPr>
                  <w:tcW w:w="615" w:type="pct"/>
                  <w:tcBorders>
                    <w:top w:val="nil"/>
                    <w:left w:val="nil"/>
                    <w:bottom w:val="single" w:color="auto" w:sz="8" w:space="0"/>
                    <w:right w:val="single" w:color="auto" w:sz="8" w:space="0"/>
                  </w:tcBorders>
                  <w:shd w:val="clear" w:color="auto" w:fill="auto"/>
                  <w:vAlign w:val="center"/>
                </w:tcPr>
                <w:p w14:paraId="273E9CD0">
                  <w:pPr>
                    <w:pStyle w:val="1111"/>
                    <w:bidi w:val="0"/>
                    <w:rPr>
                      <w:rFonts w:hint="default"/>
                    </w:rPr>
                  </w:pPr>
                  <w:r>
                    <w:rPr>
                      <w:rFonts w:hint="default"/>
                      <w:lang w:val="en-US" w:eastAsia="zh-CN"/>
                    </w:rPr>
                    <w:t>192</w:t>
                  </w:r>
                </w:p>
              </w:tc>
              <w:tc>
                <w:tcPr>
                  <w:tcW w:w="700" w:type="pct"/>
                  <w:tcBorders>
                    <w:top w:val="nil"/>
                    <w:left w:val="nil"/>
                    <w:bottom w:val="single" w:color="auto" w:sz="8" w:space="0"/>
                    <w:right w:val="single" w:color="auto" w:sz="8" w:space="0"/>
                  </w:tcBorders>
                  <w:shd w:val="clear" w:color="auto" w:fill="auto"/>
                  <w:vAlign w:val="center"/>
                </w:tcPr>
                <w:p w14:paraId="67362726">
                  <w:pPr>
                    <w:pStyle w:val="1111"/>
                    <w:bidi w:val="0"/>
                    <w:rPr>
                      <w:rFonts w:hint="default"/>
                    </w:rPr>
                  </w:pPr>
                  <w:r>
                    <w:rPr>
                      <w:rFonts w:hint="default"/>
                      <w:lang w:val="en-US" w:eastAsia="zh-CN"/>
                    </w:rPr>
                    <w:t>192</w:t>
                  </w:r>
                </w:p>
              </w:tc>
              <w:tc>
                <w:tcPr>
                  <w:tcW w:w="707" w:type="pct"/>
                  <w:tcBorders>
                    <w:top w:val="nil"/>
                    <w:left w:val="nil"/>
                    <w:bottom w:val="single" w:color="auto" w:sz="8" w:space="0"/>
                    <w:right w:val="single" w:color="auto" w:sz="8" w:space="0"/>
                  </w:tcBorders>
                  <w:shd w:val="clear" w:color="auto" w:fill="auto"/>
                  <w:vAlign w:val="center"/>
                </w:tcPr>
                <w:p w14:paraId="6552B2BB">
                  <w:pPr>
                    <w:pStyle w:val="1111"/>
                    <w:bidi w:val="0"/>
                    <w:rPr>
                      <w:rFonts w:hint="default"/>
                    </w:rPr>
                  </w:pPr>
                  <w:r>
                    <w:rPr>
                      <w:rFonts w:hint="eastAsia"/>
                      <w:lang w:val="en-US" w:eastAsia="zh-CN"/>
                    </w:rPr>
                    <w:t>+</w:t>
                  </w:r>
                  <w:r>
                    <w:rPr>
                      <w:rFonts w:hint="default"/>
                      <w:lang w:val="en-US" w:eastAsia="zh-CN"/>
                    </w:rPr>
                    <w:t>192</w:t>
                  </w:r>
                </w:p>
              </w:tc>
              <w:tc>
                <w:tcPr>
                  <w:tcW w:w="789" w:type="pct"/>
                  <w:tcBorders>
                    <w:top w:val="nil"/>
                    <w:left w:val="nil"/>
                    <w:bottom w:val="single" w:color="auto" w:sz="8" w:space="0"/>
                    <w:right w:val="single" w:color="auto" w:sz="8" w:space="0"/>
                  </w:tcBorders>
                  <w:shd w:val="clear" w:color="auto" w:fill="auto"/>
                  <w:vAlign w:val="center"/>
                </w:tcPr>
                <w:p w14:paraId="229583EE">
                  <w:pPr>
                    <w:pStyle w:val="1111"/>
                    <w:bidi w:val="0"/>
                    <w:rPr>
                      <w:rFonts w:hint="default"/>
                    </w:rPr>
                  </w:pPr>
                  <w:r>
                    <w:rPr>
                      <w:rFonts w:hint="eastAsia"/>
                      <w:lang w:val="en-US" w:eastAsia="zh-CN"/>
                    </w:rPr>
                    <w:t>+</w:t>
                  </w:r>
                  <w:r>
                    <w:rPr>
                      <w:rFonts w:hint="default"/>
                      <w:lang w:val="en-US" w:eastAsia="zh-CN"/>
                    </w:rPr>
                    <w:t>192</w:t>
                  </w:r>
                </w:p>
              </w:tc>
            </w:tr>
            <w:tr w14:paraId="6FC61A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329" w:type="pct"/>
                  <w:vMerge w:val="continue"/>
                  <w:tcBorders>
                    <w:top w:val="nil"/>
                    <w:left w:val="single" w:color="auto" w:sz="8" w:space="0"/>
                    <w:bottom w:val="single" w:color="000000" w:sz="8" w:space="0"/>
                    <w:right w:val="single" w:color="auto" w:sz="8" w:space="0"/>
                  </w:tcBorders>
                  <w:shd w:val="clear" w:color="auto" w:fill="auto"/>
                  <w:vAlign w:val="center"/>
                </w:tcPr>
                <w:p w14:paraId="2E98CD58">
                  <w:pPr>
                    <w:pStyle w:val="1111"/>
                    <w:bidi w:val="0"/>
                    <w:rPr>
                      <w:rFonts w:hint="eastAsia"/>
                    </w:rPr>
                  </w:pPr>
                </w:p>
              </w:tc>
              <w:tc>
                <w:tcPr>
                  <w:tcW w:w="626" w:type="pct"/>
                  <w:tcBorders>
                    <w:top w:val="nil"/>
                    <w:left w:val="nil"/>
                    <w:bottom w:val="single" w:color="auto" w:sz="8" w:space="0"/>
                    <w:right w:val="single" w:color="auto" w:sz="8" w:space="0"/>
                  </w:tcBorders>
                  <w:shd w:val="clear" w:color="auto" w:fill="auto"/>
                  <w:vAlign w:val="center"/>
                </w:tcPr>
                <w:p w14:paraId="75AA6F77">
                  <w:pPr>
                    <w:pStyle w:val="1111"/>
                    <w:bidi w:val="0"/>
                    <w:rPr>
                      <w:rFonts w:hint="default"/>
                    </w:rPr>
                  </w:pPr>
                  <w:r>
                    <w:rPr>
                      <w:rFonts w:hint="default"/>
                      <w:lang w:val="en-US" w:eastAsia="zh-CN"/>
                    </w:rPr>
                    <w:t>COD</w:t>
                  </w:r>
                </w:p>
              </w:tc>
              <w:tc>
                <w:tcPr>
                  <w:tcW w:w="615" w:type="pct"/>
                  <w:tcBorders>
                    <w:top w:val="nil"/>
                    <w:left w:val="nil"/>
                    <w:bottom w:val="single" w:color="auto" w:sz="8" w:space="0"/>
                    <w:right w:val="single" w:color="auto" w:sz="8" w:space="0"/>
                  </w:tcBorders>
                  <w:shd w:val="clear" w:color="auto" w:fill="auto"/>
                  <w:vAlign w:val="center"/>
                </w:tcPr>
                <w:p w14:paraId="28C1609C">
                  <w:pPr>
                    <w:pStyle w:val="1111"/>
                    <w:bidi w:val="0"/>
                    <w:rPr>
                      <w:rFonts w:hint="default"/>
                    </w:rPr>
                  </w:pPr>
                  <w:r>
                    <w:rPr>
                      <w:rFonts w:hint="default"/>
                      <w:lang w:val="en-US" w:eastAsia="zh-CN"/>
                    </w:rPr>
                    <w:t>0.2088</w:t>
                  </w:r>
                </w:p>
              </w:tc>
              <w:tc>
                <w:tcPr>
                  <w:tcW w:w="615" w:type="pct"/>
                  <w:tcBorders>
                    <w:top w:val="nil"/>
                    <w:left w:val="nil"/>
                    <w:bottom w:val="single" w:color="auto" w:sz="8" w:space="0"/>
                    <w:right w:val="single" w:color="auto" w:sz="8" w:space="0"/>
                  </w:tcBorders>
                  <w:shd w:val="clear" w:color="auto" w:fill="auto"/>
                  <w:vAlign w:val="center"/>
                </w:tcPr>
                <w:p w14:paraId="76FD2B10">
                  <w:pPr>
                    <w:pStyle w:val="1111"/>
                    <w:bidi w:val="0"/>
                    <w:rPr>
                      <w:rFonts w:hint="default"/>
                    </w:rPr>
                  </w:pPr>
                  <w:r>
                    <w:rPr>
                      <w:rFonts w:hint="default"/>
                      <w:lang w:val="en-US" w:eastAsia="zh-CN"/>
                    </w:rPr>
                    <w:t>0.12</w:t>
                  </w:r>
                </w:p>
              </w:tc>
              <w:tc>
                <w:tcPr>
                  <w:tcW w:w="615" w:type="pct"/>
                  <w:tcBorders>
                    <w:top w:val="nil"/>
                    <w:left w:val="nil"/>
                    <w:bottom w:val="single" w:color="auto" w:sz="8" w:space="0"/>
                    <w:right w:val="single" w:color="auto" w:sz="8" w:space="0"/>
                  </w:tcBorders>
                  <w:shd w:val="clear" w:color="auto" w:fill="auto"/>
                  <w:vAlign w:val="center"/>
                </w:tcPr>
                <w:p w14:paraId="3655CD4F">
                  <w:pPr>
                    <w:pStyle w:val="1111"/>
                    <w:bidi w:val="0"/>
                    <w:rPr>
                      <w:rFonts w:hint="default"/>
                    </w:rPr>
                  </w:pPr>
                  <w:r>
                    <w:rPr>
                      <w:rFonts w:hint="default"/>
                      <w:lang w:val="en-US" w:eastAsia="zh-CN"/>
                    </w:rPr>
                    <w:t>0.0888</w:t>
                  </w:r>
                </w:p>
              </w:tc>
              <w:tc>
                <w:tcPr>
                  <w:tcW w:w="700" w:type="pct"/>
                  <w:tcBorders>
                    <w:top w:val="nil"/>
                    <w:left w:val="nil"/>
                    <w:bottom w:val="single" w:color="auto" w:sz="8" w:space="0"/>
                    <w:right w:val="single" w:color="auto" w:sz="8" w:space="0"/>
                  </w:tcBorders>
                  <w:shd w:val="clear" w:color="auto" w:fill="auto"/>
                  <w:vAlign w:val="center"/>
                </w:tcPr>
                <w:p w14:paraId="5213421A">
                  <w:pPr>
                    <w:pStyle w:val="1111"/>
                    <w:bidi w:val="0"/>
                    <w:rPr>
                      <w:rFonts w:hint="default"/>
                    </w:rPr>
                  </w:pPr>
                  <w:r>
                    <w:rPr>
                      <w:rFonts w:hint="default"/>
                      <w:lang w:val="en-US" w:eastAsia="zh-CN"/>
                    </w:rPr>
                    <w:t>0.009</w:t>
                  </w:r>
                  <w:r>
                    <w:rPr>
                      <w:rFonts w:hint="eastAsia"/>
                      <w:lang w:val="en-US" w:eastAsia="zh-CN"/>
                    </w:rPr>
                    <w:t>6</w:t>
                  </w:r>
                </w:p>
              </w:tc>
              <w:tc>
                <w:tcPr>
                  <w:tcW w:w="707" w:type="pct"/>
                  <w:tcBorders>
                    <w:top w:val="nil"/>
                    <w:left w:val="nil"/>
                    <w:bottom w:val="single" w:color="auto" w:sz="8" w:space="0"/>
                    <w:right w:val="single" w:color="auto" w:sz="8" w:space="0"/>
                  </w:tcBorders>
                  <w:shd w:val="clear" w:color="auto" w:fill="auto"/>
                  <w:vAlign w:val="center"/>
                </w:tcPr>
                <w:p w14:paraId="336BCACB">
                  <w:pPr>
                    <w:pStyle w:val="1111"/>
                    <w:bidi w:val="0"/>
                    <w:rPr>
                      <w:rFonts w:hint="default"/>
                    </w:rPr>
                  </w:pPr>
                  <w:r>
                    <w:rPr>
                      <w:rFonts w:hint="eastAsia"/>
                      <w:lang w:val="en-US" w:eastAsia="zh-CN"/>
                    </w:rPr>
                    <w:t>+</w:t>
                  </w:r>
                  <w:r>
                    <w:rPr>
                      <w:rFonts w:hint="default"/>
                      <w:lang w:val="en-US" w:eastAsia="zh-CN"/>
                    </w:rPr>
                    <w:t>0.0888</w:t>
                  </w:r>
                </w:p>
              </w:tc>
              <w:tc>
                <w:tcPr>
                  <w:tcW w:w="789" w:type="pct"/>
                  <w:tcBorders>
                    <w:top w:val="nil"/>
                    <w:left w:val="nil"/>
                    <w:bottom w:val="single" w:color="auto" w:sz="8" w:space="0"/>
                    <w:right w:val="single" w:color="auto" w:sz="8" w:space="0"/>
                  </w:tcBorders>
                  <w:shd w:val="clear" w:color="auto" w:fill="auto"/>
                  <w:vAlign w:val="center"/>
                </w:tcPr>
                <w:p w14:paraId="1BADCE29">
                  <w:pPr>
                    <w:pStyle w:val="1111"/>
                    <w:bidi w:val="0"/>
                    <w:rPr>
                      <w:rFonts w:hint="default"/>
                    </w:rPr>
                  </w:pPr>
                  <w:r>
                    <w:rPr>
                      <w:rFonts w:hint="eastAsia"/>
                      <w:lang w:val="en-US" w:eastAsia="zh-CN"/>
                    </w:rPr>
                    <w:t>+</w:t>
                  </w:r>
                  <w:r>
                    <w:rPr>
                      <w:rFonts w:hint="default"/>
                      <w:lang w:val="en-US" w:eastAsia="zh-CN"/>
                    </w:rPr>
                    <w:t>0.009</w:t>
                  </w:r>
                  <w:r>
                    <w:rPr>
                      <w:rFonts w:hint="eastAsia"/>
                      <w:lang w:val="en-US" w:eastAsia="zh-CN"/>
                    </w:rPr>
                    <w:t>6</w:t>
                  </w:r>
                </w:p>
              </w:tc>
            </w:tr>
            <w:tr w14:paraId="10AEC3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329" w:type="pct"/>
                  <w:vMerge w:val="continue"/>
                  <w:tcBorders>
                    <w:top w:val="nil"/>
                    <w:left w:val="single" w:color="auto" w:sz="8" w:space="0"/>
                    <w:bottom w:val="single" w:color="000000" w:sz="8" w:space="0"/>
                    <w:right w:val="single" w:color="auto" w:sz="8" w:space="0"/>
                  </w:tcBorders>
                  <w:shd w:val="clear" w:color="auto" w:fill="auto"/>
                  <w:vAlign w:val="center"/>
                </w:tcPr>
                <w:p w14:paraId="604B6BB6">
                  <w:pPr>
                    <w:pStyle w:val="1111"/>
                    <w:bidi w:val="0"/>
                    <w:rPr>
                      <w:rFonts w:hint="eastAsia"/>
                    </w:rPr>
                  </w:pPr>
                </w:p>
              </w:tc>
              <w:tc>
                <w:tcPr>
                  <w:tcW w:w="626" w:type="pct"/>
                  <w:tcBorders>
                    <w:top w:val="nil"/>
                    <w:left w:val="nil"/>
                    <w:bottom w:val="single" w:color="auto" w:sz="8" w:space="0"/>
                    <w:right w:val="single" w:color="auto" w:sz="8" w:space="0"/>
                  </w:tcBorders>
                  <w:shd w:val="clear" w:color="auto" w:fill="auto"/>
                  <w:vAlign w:val="center"/>
                </w:tcPr>
                <w:p w14:paraId="67EAA12E">
                  <w:pPr>
                    <w:pStyle w:val="1111"/>
                    <w:bidi w:val="0"/>
                    <w:rPr>
                      <w:rFonts w:hint="default"/>
                    </w:rPr>
                  </w:pPr>
                  <w:r>
                    <w:rPr>
                      <w:rFonts w:hint="default"/>
                      <w:lang w:val="en-US" w:eastAsia="zh-CN"/>
                    </w:rPr>
                    <w:t>SS</w:t>
                  </w:r>
                </w:p>
              </w:tc>
              <w:tc>
                <w:tcPr>
                  <w:tcW w:w="615" w:type="pct"/>
                  <w:tcBorders>
                    <w:top w:val="nil"/>
                    <w:left w:val="nil"/>
                    <w:bottom w:val="single" w:color="auto" w:sz="8" w:space="0"/>
                    <w:right w:val="single" w:color="auto" w:sz="8" w:space="0"/>
                  </w:tcBorders>
                  <w:shd w:val="clear" w:color="auto" w:fill="auto"/>
                  <w:vAlign w:val="center"/>
                </w:tcPr>
                <w:p w14:paraId="50DAF66F">
                  <w:pPr>
                    <w:pStyle w:val="1111"/>
                    <w:bidi w:val="0"/>
                    <w:rPr>
                      <w:rFonts w:hint="default"/>
                    </w:rPr>
                  </w:pPr>
                  <w:r>
                    <w:rPr>
                      <w:rFonts w:hint="default"/>
                      <w:lang w:val="en-US" w:eastAsia="zh-CN"/>
                    </w:rPr>
                    <w:t>0.0456</w:t>
                  </w:r>
                </w:p>
              </w:tc>
              <w:tc>
                <w:tcPr>
                  <w:tcW w:w="615" w:type="pct"/>
                  <w:tcBorders>
                    <w:top w:val="nil"/>
                    <w:left w:val="nil"/>
                    <w:bottom w:val="single" w:color="auto" w:sz="8" w:space="0"/>
                    <w:right w:val="single" w:color="auto" w:sz="8" w:space="0"/>
                  </w:tcBorders>
                  <w:shd w:val="clear" w:color="auto" w:fill="auto"/>
                  <w:vAlign w:val="center"/>
                </w:tcPr>
                <w:p w14:paraId="28D7718C">
                  <w:pPr>
                    <w:pStyle w:val="1111"/>
                    <w:bidi w:val="0"/>
                    <w:rPr>
                      <w:rFonts w:hint="default"/>
                    </w:rPr>
                  </w:pPr>
                  <w:r>
                    <w:rPr>
                      <w:rFonts w:hint="default"/>
                      <w:lang w:val="en-US" w:eastAsia="zh-CN"/>
                    </w:rPr>
                    <w:t>0.023</w:t>
                  </w:r>
                </w:p>
              </w:tc>
              <w:tc>
                <w:tcPr>
                  <w:tcW w:w="615" w:type="pct"/>
                  <w:tcBorders>
                    <w:top w:val="nil"/>
                    <w:left w:val="nil"/>
                    <w:bottom w:val="single" w:color="auto" w:sz="8" w:space="0"/>
                    <w:right w:val="single" w:color="auto" w:sz="8" w:space="0"/>
                  </w:tcBorders>
                  <w:shd w:val="clear" w:color="auto" w:fill="auto"/>
                  <w:vAlign w:val="center"/>
                </w:tcPr>
                <w:p w14:paraId="12872A97">
                  <w:pPr>
                    <w:pStyle w:val="1111"/>
                    <w:bidi w:val="0"/>
                    <w:rPr>
                      <w:rFonts w:hint="default"/>
                    </w:rPr>
                  </w:pPr>
                  <w:r>
                    <w:rPr>
                      <w:rFonts w:hint="default"/>
                      <w:lang w:val="en-US" w:eastAsia="zh-CN"/>
                    </w:rPr>
                    <w:t>0.0226</w:t>
                  </w:r>
                </w:p>
              </w:tc>
              <w:tc>
                <w:tcPr>
                  <w:tcW w:w="700" w:type="pct"/>
                  <w:tcBorders>
                    <w:top w:val="nil"/>
                    <w:left w:val="nil"/>
                    <w:bottom w:val="single" w:color="auto" w:sz="8" w:space="0"/>
                    <w:right w:val="single" w:color="auto" w:sz="8" w:space="0"/>
                  </w:tcBorders>
                  <w:shd w:val="clear" w:color="auto" w:fill="auto"/>
                  <w:vAlign w:val="center"/>
                </w:tcPr>
                <w:p w14:paraId="53804012">
                  <w:pPr>
                    <w:pStyle w:val="1111"/>
                    <w:bidi w:val="0"/>
                    <w:rPr>
                      <w:rFonts w:hint="default"/>
                    </w:rPr>
                  </w:pPr>
                  <w:r>
                    <w:rPr>
                      <w:rFonts w:hint="default"/>
                      <w:lang w:val="en-US" w:eastAsia="zh-CN"/>
                    </w:rPr>
                    <w:t>0.00192</w:t>
                  </w:r>
                </w:p>
              </w:tc>
              <w:tc>
                <w:tcPr>
                  <w:tcW w:w="707" w:type="pct"/>
                  <w:tcBorders>
                    <w:top w:val="nil"/>
                    <w:left w:val="nil"/>
                    <w:bottom w:val="single" w:color="auto" w:sz="8" w:space="0"/>
                    <w:right w:val="single" w:color="auto" w:sz="8" w:space="0"/>
                  </w:tcBorders>
                  <w:shd w:val="clear" w:color="auto" w:fill="auto"/>
                  <w:vAlign w:val="center"/>
                </w:tcPr>
                <w:p w14:paraId="7F49C8C3">
                  <w:pPr>
                    <w:pStyle w:val="1111"/>
                    <w:bidi w:val="0"/>
                    <w:rPr>
                      <w:rFonts w:hint="default"/>
                    </w:rPr>
                  </w:pPr>
                  <w:r>
                    <w:rPr>
                      <w:rFonts w:hint="eastAsia"/>
                      <w:lang w:val="en-US" w:eastAsia="zh-CN"/>
                    </w:rPr>
                    <w:t>+</w:t>
                  </w:r>
                  <w:r>
                    <w:rPr>
                      <w:rFonts w:hint="default"/>
                      <w:lang w:val="en-US" w:eastAsia="zh-CN"/>
                    </w:rPr>
                    <w:t>0.0226</w:t>
                  </w:r>
                </w:p>
              </w:tc>
              <w:tc>
                <w:tcPr>
                  <w:tcW w:w="789" w:type="pct"/>
                  <w:tcBorders>
                    <w:top w:val="nil"/>
                    <w:left w:val="nil"/>
                    <w:bottom w:val="single" w:color="auto" w:sz="8" w:space="0"/>
                    <w:right w:val="single" w:color="auto" w:sz="8" w:space="0"/>
                  </w:tcBorders>
                  <w:shd w:val="clear" w:color="auto" w:fill="auto"/>
                  <w:vAlign w:val="center"/>
                </w:tcPr>
                <w:p w14:paraId="46210057">
                  <w:pPr>
                    <w:pStyle w:val="1111"/>
                    <w:bidi w:val="0"/>
                    <w:rPr>
                      <w:rFonts w:hint="default"/>
                    </w:rPr>
                  </w:pPr>
                  <w:r>
                    <w:rPr>
                      <w:rFonts w:hint="eastAsia"/>
                      <w:lang w:val="en-US" w:eastAsia="zh-CN"/>
                    </w:rPr>
                    <w:t>+</w:t>
                  </w:r>
                  <w:r>
                    <w:rPr>
                      <w:rFonts w:hint="default"/>
                      <w:lang w:val="en-US" w:eastAsia="zh-CN"/>
                    </w:rPr>
                    <w:t>0.00192</w:t>
                  </w:r>
                </w:p>
              </w:tc>
            </w:tr>
            <w:tr w14:paraId="2220FB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329" w:type="pct"/>
                  <w:vMerge w:val="continue"/>
                  <w:tcBorders>
                    <w:top w:val="nil"/>
                    <w:left w:val="single" w:color="auto" w:sz="8" w:space="0"/>
                    <w:bottom w:val="single" w:color="000000" w:sz="8" w:space="0"/>
                    <w:right w:val="single" w:color="auto" w:sz="8" w:space="0"/>
                  </w:tcBorders>
                  <w:shd w:val="clear" w:color="auto" w:fill="auto"/>
                  <w:vAlign w:val="center"/>
                </w:tcPr>
                <w:p w14:paraId="63F435B4">
                  <w:pPr>
                    <w:pStyle w:val="1111"/>
                    <w:bidi w:val="0"/>
                    <w:rPr>
                      <w:rFonts w:hint="eastAsia"/>
                    </w:rPr>
                  </w:pPr>
                </w:p>
              </w:tc>
              <w:tc>
                <w:tcPr>
                  <w:tcW w:w="626" w:type="pct"/>
                  <w:tcBorders>
                    <w:top w:val="nil"/>
                    <w:left w:val="nil"/>
                    <w:bottom w:val="single" w:color="auto" w:sz="8" w:space="0"/>
                    <w:right w:val="single" w:color="auto" w:sz="8" w:space="0"/>
                  </w:tcBorders>
                  <w:shd w:val="clear" w:color="auto" w:fill="auto"/>
                  <w:vAlign w:val="center"/>
                </w:tcPr>
                <w:p w14:paraId="6C55B802">
                  <w:pPr>
                    <w:pStyle w:val="1111"/>
                    <w:bidi w:val="0"/>
                    <w:rPr>
                      <w:rFonts w:hint="default"/>
                    </w:rPr>
                  </w:pPr>
                  <w:r>
                    <w:rPr>
                      <w:rFonts w:hint="default"/>
                      <w:lang w:val="en-US" w:eastAsia="zh-CN"/>
                    </w:rPr>
                    <w:t>NH</w:t>
                  </w:r>
                  <w:r>
                    <w:rPr>
                      <w:rFonts w:hint="default"/>
                      <w:vertAlign w:val="subscript"/>
                      <w:lang w:val="en-US" w:eastAsia="zh-CN"/>
                    </w:rPr>
                    <w:t>3</w:t>
                  </w:r>
                  <w:r>
                    <w:rPr>
                      <w:rFonts w:hint="default"/>
                      <w:lang w:val="en-US" w:eastAsia="zh-CN"/>
                    </w:rPr>
                    <w:t>-N</w:t>
                  </w:r>
                </w:p>
              </w:tc>
              <w:tc>
                <w:tcPr>
                  <w:tcW w:w="615" w:type="pct"/>
                  <w:tcBorders>
                    <w:top w:val="nil"/>
                    <w:left w:val="nil"/>
                    <w:bottom w:val="single" w:color="auto" w:sz="8" w:space="0"/>
                    <w:right w:val="single" w:color="auto" w:sz="8" w:space="0"/>
                  </w:tcBorders>
                  <w:shd w:val="clear" w:color="auto" w:fill="auto"/>
                  <w:vAlign w:val="center"/>
                </w:tcPr>
                <w:p w14:paraId="0CB505B4">
                  <w:pPr>
                    <w:pStyle w:val="1111"/>
                    <w:bidi w:val="0"/>
                    <w:rPr>
                      <w:rFonts w:hint="default"/>
                    </w:rPr>
                  </w:pPr>
                  <w:r>
                    <w:rPr>
                      <w:rFonts w:hint="default"/>
                      <w:lang w:val="en-US" w:eastAsia="zh-CN"/>
                    </w:rPr>
                    <w:t>0.0032</w:t>
                  </w:r>
                </w:p>
              </w:tc>
              <w:tc>
                <w:tcPr>
                  <w:tcW w:w="615" w:type="pct"/>
                  <w:tcBorders>
                    <w:top w:val="nil"/>
                    <w:left w:val="nil"/>
                    <w:bottom w:val="single" w:color="auto" w:sz="8" w:space="0"/>
                    <w:right w:val="single" w:color="auto" w:sz="8" w:space="0"/>
                  </w:tcBorders>
                  <w:shd w:val="clear" w:color="auto" w:fill="auto"/>
                  <w:vAlign w:val="center"/>
                </w:tcPr>
                <w:p w14:paraId="251DB574">
                  <w:pPr>
                    <w:pStyle w:val="1111"/>
                    <w:bidi w:val="0"/>
                    <w:rPr>
                      <w:rFonts w:hint="default"/>
                    </w:rPr>
                  </w:pPr>
                  <w:r>
                    <w:rPr>
                      <w:rFonts w:hint="default"/>
                      <w:lang w:val="en-US" w:eastAsia="zh-CN"/>
                    </w:rPr>
                    <w:t>0.0007</w:t>
                  </w:r>
                </w:p>
              </w:tc>
              <w:tc>
                <w:tcPr>
                  <w:tcW w:w="615" w:type="pct"/>
                  <w:tcBorders>
                    <w:top w:val="nil"/>
                    <w:left w:val="nil"/>
                    <w:bottom w:val="single" w:color="auto" w:sz="8" w:space="0"/>
                    <w:right w:val="single" w:color="auto" w:sz="8" w:space="0"/>
                  </w:tcBorders>
                  <w:shd w:val="clear" w:color="auto" w:fill="auto"/>
                  <w:vAlign w:val="center"/>
                </w:tcPr>
                <w:p w14:paraId="5ACAE23B">
                  <w:pPr>
                    <w:pStyle w:val="1111"/>
                    <w:bidi w:val="0"/>
                    <w:rPr>
                      <w:rFonts w:hint="default"/>
                    </w:rPr>
                  </w:pPr>
                  <w:r>
                    <w:rPr>
                      <w:rFonts w:hint="default"/>
                      <w:lang w:val="en-US" w:eastAsia="zh-CN"/>
                    </w:rPr>
                    <w:t>0.0025</w:t>
                  </w:r>
                </w:p>
              </w:tc>
              <w:tc>
                <w:tcPr>
                  <w:tcW w:w="700" w:type="pct"/>
                  <w:tcBorders>
                    <w:top w:val="nil"/>
                    <w:left w:val="nil"/>
                    <w:bottom w:val="single" w:color="auto" w:sz="8" w:space="0"/>
                    <w:right w:val="single" w:color="auto" w:sz="8" w:space="0"/>
                  </w:tcBorders>
                  <w:shd w:val="clear" w:color="auto" w:fill="auto"/>
                  <w:vAlign w:val="center"/>
                </w:tcPr>
                <w:p w14:paraId="70A75B61">
                  <w:pPr>
                    <w:pStyle w:val="1111"/>
                    <w:bidi w:val="0"/>
                    <w:rPr>
                      <w:rFonts w:hint="default"/>
                    </w:rPr>
                  </w:pPr>
                  <w:r>
                    <w:rPr>
                      <w:rFonts w:hint="default"/>
                      <w:lang w:val="en-US" w:eastAsia="zh-CN"/>
                    </w:rPr>
                    <w:t>0.0009</w:t>
                  </w:r>
                </w:p>
              </w:tc>
              <w:tc>
                <w:tcPr>
                  <w:tcW w:w="707" w:type="pct"/>
                  <w:tcBorders>
                    <w:top w:val="nil"/>
                    <w:left w:val="nil"/>
                    <w:bottom w:val="single" w:color="auto" w:sz="8" w:space="0"/>
                    <w:right w:val="single" w:color="auto" w:sz="8" w:space="0"/>
                  </w:tcBorders>
                  <w:shd w:val="clear" w:color="auto" w:fill="auto"/>
                  <w:vAlign w:val="center"/>
                </w:tcPr>
                <w:p w14:paraId="0D97BC99">
                  <w:pPr>
                    <w:pStyle w:val="1111"/>
                    <w:bidi w:val="0"/>
                    <w:rPr>
                      <w:rFonts w:hint="default"/>
                    </w:rPr>
                  </w:pPr>
                  <w:r>
                    <w:rPr>
                      <w:rFonts w:hint="eastAsia"/>
                      <w:lang w:val="en-US" w:eastAsia="zh-CN"/>
                    </w:rPr>
                    <w:t>+</w:t>
                  </w:r>
                  <w:r>
                    <w:rPr>
                      <w:rFonts w:hint="default"/>
                      <w:lang w:val="en-US" w:eastAsia="zh-CN"/>
                    </w:rPr>
                    <w:t>0.0025</w:t>
                  </w:r>
                </w:p>
              </w:tc>
              <w:tc>
                <w:tcPr>
                  <w:tcW w:w="789" w:type="pct"/>
                  <w:tcBorders>
                    <w:top w:val="nil"/>
                    <w:left w:val="nil"/>
                    <w:bottom w:val="single" w:color="auto" w:sz="8" w:space="0"/>
                    <w:right w:val="single" w:color="auto" w:sz="8" w:space="0"/>
                  </w:tcBorders>
                  <w:shd w:val="clear" w:color="auto" w:fill="auto"/>
                  <w:vAlign w:val="center"/>
                </w:tcPr>
                <w:p w14:paraId="13AC0639">
                  <w:pPr>
                    <w:pStyle w:val="1111"/>
                    <w:bidi w:val="0"/>
                    <w:rPr>
                      <w:rFonts w:hint="default"/>
                    </w:rPr>
                  </w:pPr>
                  <w:r>
                    <w:rPr>
                      <w:rFonts w:hint="eastAsia"/>
                      <w:lang w:val="en-US" w:eastAsia="zh-CN"/>
                    </w:rPr>
                    <w:t>+</w:t>
                  </w:r>
                  <w:r>
                    <w:rPr>
                      <w:rFonts w:hint="default"/>
                      <w:lang w:val="en-US" w:eastAsia="zh-CN"/>
                    </w:rPr>
                    <w:t>0.0009</w:t>
                  </w:r>
                </w:p>
              </w:tc>
            </w:tr>
            <w:tr w14:paraId="379A4C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329" w:type="pct"/>
                  <w:vMerge w:val="continue"/>
                  <w:tcBorders>
                    <w:top w:val="nil"/>
                    <w:left w:val="single" w:color="auto" w:sz="8" w:space="0"/>
                    <w:bottom w:val="single" w:color="000000" w:sz="8" w:space="0"/>
                    <w:right w:val="single" w:color="auto" w:sz="8" w:space="0"/>
                  </w:tcBorders>
                  <w:shd w:val="clear" w:color="auto" w:fill="auto"/>
                  <w:vAlign w:val="center"/>
                </w:tcPr>
                <w:p w14:paraId="2CF3790A">
                  <w:pPr>
                    <w:pStyle w:val="1111"/>
                    <w:bidi w:val="0"/>
                    <w:rPr>
                      <w:rFonts w:hint="eastAsia"/>
                    </w:rPr>
                  </w:pPr>
                </w:p>
              </w:tc>
              <w:tc>
                <w:tcPr>
                  <w:tcW w:w="626" w:type="pct"/>
                  <w:tcBorders>
                    <w:top w:val="nil"/>
                    <w:left w:val="nil"/>
                    <w:bottom w:val="single" w:color="auto" w:sz="8" w:space="0"/>
                    <w:right w:val="single" w:color="auto" w:sz="8" w:space="0"/>
                  </w:tcBorders>
                  <w:shd w:val="clear" w:color="auto" w:fill="auto"/>
                  <w:vAlign w:val="center"/>
                </w:tcPr>
                <w:p w14:paraId="277A963B">
                  <w:pPr>
                    <w:pStyle w:val="1111"/>
                    <w:bidi w:val="0"/>
                    <w:rPr>
                      <w:rFonts w:hint="default"/>
                    </w:rPr>
                  </w:pPr>
                  <w:r>
                    <w:rPr>
                      <w:rFonts w:hint="default"/>
                      <w:lang w:val="en-US" w:eastAsia="zh-CN"/>
                    </w:rPr>
                    <w:t>TN</w:t>
                  </w:r>
                </w:p>
              </w:tc>
              <w:tc>
                <w:tcPr>
                  <w:tcW w:w="615" w:type="pct"/>
                  <w:tcBorders>
                    <w:top w:val="nil"/>
                    <w:left w:val="nil"/>
                    <w:bottom w:val="single" w:color="auto" w:sz="8" w:space="0"/>
                    <w:right w:val="single" w:color="auto" w:sz="8" w:space="0"/>
                  </w:tcBorders>
                  <w:shd w:val="clear" w:color="auto" w:fill="auto"/>
                  <w:vAlign w:val="center"/>
                </w:tcPr>
                <w:p w14:paraId="1013196A">
                  <w:pPr>
                    <w:pStyle w:val="1111"/>
                    <w:bidi w:val="0"/>
                    <w:rPr>
                      <w:rFonts w:hint="default"/>
                    </w:rPr>
                  </w:pPr>
                  <w:r>
                    <w:rPr>
                      <w:rFonts w:hint="default"/>
                      <w:lang w:val="en-US" w:eastAsia="zh-CN"/>
                    </w:rPr>
                    <w:t>0.0036</w:t>
                  </w:r>
                </w:p>
              </w:tc>
              <w:tc>
                <w:tcPr>
                  <w:tcW w:w="615" w:type="pct"/>
                  <w:tcBorders>
                    <w:top w:val="nil"/>
                    <w:left w:val="nil"/>
                    <w:bottom w:val="single" w:color="auto" w:sz="8" w:space="0"/>
                    <w:right w:val="single" w:color="auto" w:sz="8" w:space="0"/>
                  </w:tcBorders>
                  <w:shd w:val="clear" w:color="auto" w:fill="auto"/>
                  <w:vAlign w:val="center"/>
                </w:tcPr>
                <w:p w14:paraId="65A70DEC">
                  <w:pPr>
                    <w:pStyle w:val="1111"/>
                    <w:bidi w:val="0"/>
                    <w:rPr>
                      <w:rFonts w:hint="default"/>
                    </w:rPr>
                  </w:pPr>
                  <w:r>
                    <w:rPr>
                      <w:rFonts w:hint="default"/>
                      <w:lang w:val="en-US" w:eastAsia="zh-CN"/>
                    </w:rPr>
                    <w:t>0</w:t>
                  </w:r>
                </w:p>
              </w:tc>
              <w:tc>
                <w:tcPr>
                  <w:tcW w:w="615" w:type="pct"/>
                  <w:tcBorders>
                    <w:top w:val="nil"/>
                    <w:left w:val="nil"/>
                    <w:bottom w:val="single" w:color="auto" w:sz="8" w:space="0"/>
                    <w:right w:val="single" w:color="auto" w:sz="8" w:space="0"/>
                  </w:tcBorders>
                  <w:shd w:val="clear" w:color="auto" w:fill="auto"/>
                  <w:vAlign w:val="center"/>
                </w:tcPr>
                <w:p w14:paraId="750BC25F">
                  <w:pPr>
                    <w:pStyle w:val="1111"/>
                    <w:bidi w:val="0"/>
                    <w:rPr>
                      <w:rFonts w:hint="default"/>
                    </w:rPr>
                  </w:pPr>
                  <w:r>
                    <w:rPr>
                      <w:rFonts w:hint="default"/>
                      <w:lang w:val="en-US" w:eastAsia="zh-CN"/>
                    </w:rPr>
                    <w:t>0.0036</w:t>
                  </w:r>
                </w:p>
              </w:tc>
              <w:tc>
                <w:tcPr>
                  <w:tcW w:w="700" w:type="pct"/>
                  <w:tcBorders>
                    <w:top w:val="nil"/>
                    <w:left w:val="nil"/>
                    <w:bottom w:val="single" w:color="auto" w:sz="8" w:space="0"/>
                    <w:right w:val="single" w:color="auto" w:sz="8" w:space="0"/>
                  </w:tcBorders>
                  <w:shd w:val="clear" w:color="auto" w:fill="auto"/>
                  <w:vAlign w:val="center"/>
                </w:tcPr>
                <w:p w14:paraId="004C5C8F">
                  <w:pPr>
                    <w:pStyle w:val="1111"/>
                    <w:bidi w:val="0"/>
                    <w:rPr>
                      <w:rFonts w:hint="default"/>
                    </w:rPr>
                  </w:pPr>
                  <w:r>
                    <w:rPr>
                      <w:rFonts w:hint="default"/>
                      <w:lang w:val="en-US" w:eastAsia="zh-CN"/>
                    </w:rPr>
                    <w:t>0.0028</w:t>
                  </w:r>
                </w:p>
              </w:tc>
              <w:tc>
                <w:tcPr>
                  <w:tcW w:w="707" w:type="pct"/>
                  <w:tcBorders>
                    <w:top w:val="nil"/>
                    <w:left w:val="nil"/>
                    <w:bottom w:val="single" w:color="auto" w:sz="8" w:space="0"/>
                    <w:right w:val="single" w:color="auto" w:sz="8" w:space="0"/>
                  </w:tcBorders>
                  <w:shd w:val="clear" w:color="auto" w:fill="auto"/>
                  <w:vAlign w:val="center"/>
                </w:tcPr>
                <w:p w14:paraId="0CAE8782">
                  <w:pPr>
                    <w:pStyle w:val="1111"/>
                    <w:bidi w:val="0"/>
                    <w:rPr>
                      <w:rFonts w:hint="default"/>
                    </w:rPr>
                  </w:pPr>
                  <w:r>
                    <w:rPr>
                      <w:rFonts w:hint="eastAsia"/>
                      <w:lang w:val="en-US" w:eastAsia="zh-CN"/>
                    </w:rPr>
                    <w:t>+</w:t>
                  </w:r>
                  <w:r>
                    <w:rPr>
                      <w:rFonts w:hint="default"/>
                      <w:lang w:val="en-US" w:eastAsia="zh-CN"/>
                    </w:rPr>
                    <w:t>0.0036</w:t>
                  </w:r>
                </w:p>
              </w:tc>
              <w:tc>
                <w:tcPr>
                  <w:tcW w:w="789" w:type="pct"/>
                  <w:tcBorders>
                    <w:top w:val="nil"/>
                    <w:left w:val="nil"/>
                    <w:bottom w:val="single" w:color="auto" w:sz="8" w:space="0"/>
                    <w:right w:val="single" w:color="auto" w:sz="8" w:space="0"/>
                  </w:tcBorders>
                  <w:shd w:val="clear" w:color="auto" w:fill="auto"/>
                  <w:vAlign w:val="center"/>
                </w:tcPr>
                <w:p w14:paraId="177B5E20">
                  <w:pPr>
                    <w:pStyle w:val="1111"/>
                    <w:bidi w:val="0"/>
                    <w:rPr>
                      <w:rFonts w:hint="default"/>
                    </w:rPr>
                  </w:pPr>
                  <w:r>
                    <w:rPr>
                      <w:rFonts w:hint="eastAsia"/>
                      <w:lang w:val="en-US" w:eastAsia="zh-CN"/>
                    </w:rPr>
                    <w:t>+</w:t>
                  </w:r>
                  <w:r>
                    <w:rPr>
                      <w:rFonts w:hint="default"/>
                      <w:lang w:val="en-US" w:eastAsia="zh-CN"/>
                    </w:rPr>
                    <w:t>0.0028</w:t>
                  </w:r>
                </w:p>
              </w:tc>
            </w:tr>
            <w:tr w14:paraId="27F618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329" w:type="pct"/>
                  <w:vMerge w:val="continue"/>
                  <w:tcBorders>
                    <w:top w:val="nil"/>
                    <w:left w:val="single" w:color="auto" w:sz="8" w:space="0"/>
                    <w:bottom w:val="single" w:color="000000" w:sz="8" w:space="0"/>
                    <w:right w:val="single" w:color="auto" w:sz="8" w:space="0"/>
                  </w:tcBorders>
                  <w:shd w:val="clear" w:color="auto" w:fill="auto"/>
                  <w:vAlign w:val="center"/>
                </w:tcPr>
                <w:p w14:paraId="4FE53A78">
                  <w:pPr>
                    <w:pStyle w:val="1111"/>
                    <w:bidi w:val="0"/>
                    <w:rPr>
                      <w:rFonts w:hint="eastAsia"/>
                    </w:rPr>
                  </w:pPr>
                </w:p>
              </w:tc>
              <w:tc>
                <w:tcPr>
                  <w:tcW w:w="626" w:type="pct"/>
                  <w:tcBorders>
                    <w:top w:val="nil"/>
                    <w:left w:val="nil"/>
                    <w:bottom w:val="single" w:color="auto" w:sz="8" w:space="0"/>
                    <w:right w:val="single" w:color="auto" w:sz="8" w:space="0"/>
                  </w:tcBorders>
                  <w:shd w:val="clear" w:color="auto" w:fill="auto"/>
                  <w:vAlign w:val="center"/>
                </w:tcPr>
                <w:p w14:paraId="5045273A">
                  <w:pPr>
                    <w:pStyle w:val="1111"/>
                    <w:bidi w:val="0"/>
                    <w:rPr>
                      <w:rFonts w:hint="default"/>
                    </w:rPr>
                  </w:pPr>
                  <w:r>
                    <w:rPr>
                      <w:rFonts w:hint="default"/>
                      <w:lang w:val="en-US" w:eastAsia="zh-CN"/>
                    </w:rPr>
                    <w:t>TP</w:t>
                  </w:r>
                </w:p>
              </w:tc>
              <w:tc>
                <w:tcPr>
                  <w:tcW w:w="615" w:type="pct"/>
                  <w:tcBorders>
                    <w:top w:val="nil"/>
                    <w:left w:val="nil"/>
                    <w:bottom w:val="single" w:color="auto" w:sz="8" w:space="0"/>
                    <w:right w:val="single" w:color="auto" w:sz="8" w:space="0"/>
                  </w:tcBorders>
                  <w:shd w:val="clear" w:color="auto" w:fill="auto"/>
                  <w:vAlign w:val="center"/>
                </w:tcPr>
                <w:p w14:paraId="2BACF920">
                  <w:pPr>
                    <w:pStyle w:val="1111"/>
                    <w:bidi w:val="0"/>
                    <w:rPr>
                      <w:rFonts w:hint="default"/>
                    </w:rPr>
                  </w:pPr>
                  <w:r>
                    <w:rPr>
                      <w:rFonts w:hint="default"/>
                      <w:lang w:val="en-US" w:eastAsia="zh-CN"/>
                    </w:rPr>
                    <w:t>0.0004</w:t>
                  </w:r>
                </w:p>
              </w:tc>
              <w:tc>
                <w:tcPr>
                  <w:tcW w:w="615" w:type="pct"/>
                  <w:tcBorders>
                    <w:top w:val="nil"/>
                    <w:left w:val="nil"/>
                    <w:bottom w:val="single" w:color="auto" w:sz="8" w:space="0"/>
                    <w:right w:val="single" w:color="auto" w:sz="8" w:space="0"/>
                  </w:tcBorders>
                  <w:shd w:val="clear" w:color="auto" w:fill="auto"/>
                  <w:vAlign w:val="center"/>
                </w:tcPr>
                <w:p w14:paraId="6A8F471B">
                  <w:pPr>
                    <w:pStyle w:val="1111"/>
                    <w:bidi w:val="0"/>
                    <w:rPr>
                      <w:rFonts w:hint="default"/>
                    </w:rPr>
                  </w:pPr>
                  <w:r>
                    <w:rPr>
                      <w:rFonts w:hint="default"/>
                      <w:lang w:val="en-US" w:eastAsia="zh-CN"/>
                    </w:rPr>
                    <w:t>0</w:t>
                  </w:r>
                </w:p>
              </w:tc>
              <w:tc>
                <w:tcPr>
                  <w:tcW w:w="615" w:type="pct"/>
                  <w:tcBorders>
                    <w:top w:val="nil"/>
                    <w:left w:val="nil"/>
                    <w:bottom w:val="single" w:color="auto" w:sz="8" w:space="0"/>
                    <w:right w:val="single" w:color="auto" w:sz="8" w:space="0"/>
                  </w:tcBorders>
                  <w:shd w:val="clear" w:color="auto" w:fill="auto"/>
                  <w:vAlign w:val="center"/>
                </w:tcPr>
                <w:p w14:paraId="5EC1CCB7">
                  <w:pPr>
                    <w:pStyle w:val="1111"/>
                    <w:bidi w:val="0"/>
                    <w:rPr>
                      <w:rFonts w:hint="default"/>
                    </w:rPr>
                  </w:pPr>
                  <w:r>
                    <w:rPr>
                      <w:rFonts w:hint="default"/>
                      <w:lang w:val="en-US" w:eastAsia="zh-CN"/>
                    </w:rPr>
                    <w:t>0.0004</w:t>
                  </w:r>
                </w:p>
              </w:tc>
              <w:tc>
                <w:tcPr>
                  <w:tcW w:w="700" w:type="pct"/>
                  <w:tcBorders>
                    <w:top w:val="nil"/>
                    <w:left w:val="nil"/>
                    <w:bottom w:val="single" w:color="auto" w:sz="8" w:space="0"/>
                    <w:right w:val="single" w:color="auto" w:sz="8" w:space="0"/>
                  </w:tcBorders>
                  <w:shd w:val="clear" w:color="auto" w:fill="auto"/>
                  <w:vAlign w:val="center"/>
                </w:tcPr>
                <w:p w14:paraId="3B2D1CCF">
                  <w:pPr>
                    <w:pStyle w:val="1111"/>
                    <w:bidi w:val="0"/>
                    <w:rPr>
                      <w:rFonts w:hint="default"/>
                    </w:rPr>
                  </w:pPr>
                  <w:r>
                    <w:rPr>
                      <w:rFonts w:hint="default"/>
                      <w:lang w:val="en-US" w:eastAsia="zh-CN"/>
                    </w:rPr>
                    <w:t>0.00009</w:t>
                  </w:r>
                </w:p>
              </w:tc>
              <w:tc>
                <w:tcPr>
                  <w:tcW w:w="707" w:type="pct"/>
                  <w:tcBorders>
                    <w:top w:val="nil"/>
                    <w:left w:val="nil"/>
                    <w:bottom w:val="single" w:color="auto" w:sz="8" w:space="0"/>
                    <w:right w:val="single" w:color="auto" w:sz="8" w:space="0"/>
                  </w:tcBorders>
                  <w:shd w:val="clear" w:color="auto" w:fill="auto"/>
                  <w:vAlign w:val="center"/>
                </w:tcPr>
                <w:p w14:paraId="27E5D17A">
                  <w:pPr>
                    <w:pStyle w:val="1111"/>
                    <w:bidi w:val="0"/>
                    <w:rPr>
                      <w:rFonts w:hint="default"/>
                    </w:rPr>
                  </w:pPr>
                  <w:r>
                    <w:rPr>
                      <w:rFonts w:hint="eastAsia"/>
                      <w:lang w:val="en-US" w:eastAsia="zh-CN"/>
                    </w:rPr>
                    <w:t>+</w:t>
                  </w:r>
                  <w:r>
                    <w:rPr>
                      <w:rFonts w:hint="default"/>
                      <w:lang w:val="en-US" w:eastAsia="zh-CN"/>
                    </w:rPr>
                    <w:t>0.0004</w:t>
                  </w:r>
                </w:p>
              </w:tc>
              <w:tc>
                <w:tcPr>
                  <w:tcW w:w="789" w:type="pct"/>
                  <w:tcBorders>
                    <w:top w:val="nil"/>
                    <w:left w:val="nil"/>
                    <w:bottom w:val="single" w:color="auto" w:sz="8" w:space="0"/>
                    <w:right w:val="single" w:color="auto" w:sz="8" w:space="0"/>
                  </w:tcBorders>
                  <w:shd w:val="clear" w:color="auto" w:fill="auto"/>
                  <w:vAlign w:val="center"/>
                </w:tcPr>
                <w:p w14:paraId="46E78966">
                  <w:pPr>
                    <w:pStyle w:val="1111"/>
                    <w:bidi w:val="0"/>
                    <w:rPr>
                      <w:rFonts w:hint="default"/>
                    </w:rPr>
                  </w:pPr>
                  <w:r>
                    <w:rPr>
                      <w:rFonts w:hint="eastAsia"/>
                      <w:lang w:val="en-US" w:eastAsia="zh-CN"/>
                    </w:rPr>
                    <w:t>+</w:t>
                  </w:r>
                  <w:r>
                    <w:rPr>
                      <w:rFonts w:hint="default"/>
                      <w:lang w:val="en-US" w:eastAsia="zh-CN"/>
                    </w:rPr>
                    <w:t>0.00009</w:t>
                  </w:r>
                </w:p>
              </w:tc>
            </w:tr>
            <w:tr w14:paraId="1C625B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329" w:type="pct"/>
                  <w:tcBorders>
                    <w:top w:val="nil"/>
                    <w:left w:val="single" w:color="auto" w:sz="8" w:space="0"/>
                    <w:bottom w:val="single" w:color="000000" w:sz="8" w:space="0"/>
                    <w:right w:val="single" w:color="auto" w:sz="8" w:space="0"/>
                  </w:tcBorders>
                  <w:shd w:val="clear" w:color="auto" w:fill="auto"/>
                  <w:vAlign w:val="center"/>
                </w:tcPr>
                <w:p w14:paraId="51B808B4">
                  <w:pPr>
                    <w:pStyle w:val="1111"/>
                    <w:bidi w:val="0"/>
                    <w:rPr>
                      <w:rFonts w:hint="eastAsia"/>
                    </w:rPr>
                  </w:pPr>
                  <w:r>
                    <w:rPr>
                      <w:rFonts w:hint="eastAsia"/>
                      <w:lang w:val="en-US" w:eastAsia="zh-CN"/>
                    </w:rPr>
                    <w:t>大气污染物</w:t>
                  </w:r>
                </w:p>
              </w:tc>
              <w:tc>
                <w:tcPr>
                  <w:tcW w:w="626" w:type="pct"/>
                  <w:tcBorders>
                    <w:top w:val="nil"/>
                    <w:left w:val="nil"/>
                    <w:bottom w:val="single" w:color="auto" w:sz="8" w:space="0"/>
                    <w:right w:val="single" w:color="auto" w:sz="8" w:space="0"/>
                  </w:tcBorders>
                  <w:shd w:val="clear" w:color="auto" w:fill="auto"/>
                  <w:vAlign w:val="center"/>
                </w:tcPr>
                <w:p w14:paraId="43357B9A">
                  <w:pPr>
                    <w:pStyle w:val="1111"/>
                    <w:bidi w:val="0"/>
                    <w:rPr>
                      <w:rFonts w:hint="eastAsia"/>
                    </w:rPr>
                  </w:pPr>
                  <w:r>
                    <w:rPr>
                      <w:rFonts w:hint="eastAsia"/>
                      <w:lang w:val="en-US" w:eastAsia="zh-CN"/>
                    </w:rPr>
                    <w:t>非甲烷总烃</w:t>
                  </w:r>
                </w:p>
              </w:tc>
              <w:tc>
                <w:tcPr>
                  <w:tcW w:w="615" w:type="pct"/>
                  <w:tcBorders>
                    <w:top w:val="nil"/>
                    <w:left w:val="nil"/>
                    <w:bottom w:val="single" w:color="auto" w:sz="8" w:space="0"/>
                    <w:right w:val="single" w:color="auto" w:sz="8" w:space="0"/>
                  </w:tcBorders>
                  <w:shd w:val="clear" w:color="auto" w:fill="auto"/>
                  <w:vAlign w:val="center"/>
                </w:tcPr>
                <w:p w14:paraId="44195D82">
                  <w:pPr>
                    <w:pStyle w:val="1111"/>
                    <w:bidi w:val="0"/>
                    <w:rPr>
                      <w:rFonts w:hint="default"/>
                      <w:lang w:val="en-US"/>
                    </w:rPr>
                  </w:pPr>
                  <w:r>
                    <w:rPr>
                      <w:rFonts w:hint="eastAsia"/>
                      <w:lang w:val="en-US" w:eastAsia="zh-CN"/>
                    </w:rPr>
                    <w:t>1.974</w:t>
                  </w:r>
                </w:p>
              </w:tc>
              <w:tc>
                <w:tcPr>
                  <w:tcW w:w="615" w:type="pct"/>
                  <w:tcBorders>
                    <w:top w:val="nil"/>
                    <w:left w:val="nil"/>
                    <w:bottom w:val="single" w:color="auto" w:sz="8" w:space="0"/>
                    <w:right w:val="single" w:color="auto" w:sz="8" w:space="0"/>
                  </w:tcBorders>
                  <w:shd w:val="clear" w:color="auto" w:fill="auto"/>
                  <w:vAlign w:val="center"/>
                </w:tcPr>
                <w:p w14:paraId="36E76FF5">
                  <w:pPr>
                    <w:pStyle w:val="1111"/>
                    <w:bidi w:val="0"/>
                    <w:rPr>
                      <w:rFonts w:hint="default"/>
                      <w:lang w:val="en-US"/>
                    </w:rPr>
                  </w:pPr>
                  <w:r>
                    <w:rPr>
                      <w:rFonts w:hint="eastAsia"/>
                      <w:lang w:val="en-US" w:eastAsia="zh-CN"/>
                    </w:rPr>
                    <w:t>1.777</w:t>
                  </w:r>
                </w:p>
              </w:tc>
              <w:tc>
                <w:tcPr>
                  <w:tcW w:w="1315" w:type="pct"/>
                  <w:gridSpan w:val="2"/>
                  <w:tcBorders>
                    <w:top w:val="single" w:color="auto" w:sz="8" w:space="0"/>
                    <w:left w:val="nil"/>
                    <w:bottom w:val="single" w:color="auto" w:sz="8" w:space="0"/>
                    <w:right w:val="single" w:color="000000" w:sz="8" w:space="0"/>
                  </w:tcBorders>
                  <w:shd w:val="clear" w:color="auto" w:fill="auto"/>
                  <w:vAlign w:val="center"/>
                </w:tcPr>
                <w:p w14:paraId="6A66A9B6">
                  <w:pPr>
                    <w:pStyle w:val="1111"/>
                    <w:bidi w:val="0"/>
                    <w:rPr>
                      <w:rFonts w:hint="default"/>
                      <w:lang w:val="en-US"/>
                    </w:rPr>
                  </w:pPr>
                  <w:r>
                    <w:rPr>
                      <w:rFonts w:hint="eastAsia"/>
                      <w:lang w:val="en-US" w:eastAsia="zh-CN"/>
                    </w:rPr>
                    <w:t>0.197</w:t>
                  </w:r>
                </w:p>
              </w:tc>
              <w:tc>
                <w:tcPr>
                  <w:tcW w:w="1496" w:type="pct"/>
                  <w:gridSpan w:val="2"/>
                  <w:tcBorders>
                    <w:top w:val="single" w:color="auto" w:sz="8" w:space="0"/>
                    <w:left w:val="nil"/>
                    <w:bottom w:val="single" w:color="auto" w:sz="8" w:space="0"/>
                    <w:right w:val="single" w:color="000000" w:sz="8" w:space="0"/>
                  </w:tcBorders>
                  <w:shd w:val="clear" w:color="auto" w:fill="auto"/>
                  <w:vAlign w:val="center"/>
                </w:tcPr>
                <w:p w14:paraId="140A0A9A">
                  <w:pPr>
                    <w:pStyle w:val="1111"/>
                    <w:bidi w:val="0"/>
                    <w:rPr>
                      <w:rFonts w:hint="default"/>
                      <w:lang w:val="en-US"/>
                    </w:rPr>
                  </w:pPr>
                  <w:r>
                    <w:rPr>
                      <w:rFonts w:hint="eastAsia"/>
                      <w:lang w:val="en-US" w:eastAsia="zh-CN"/>
                    </w:rPr>
                    <w:t>+0.197</w:t>
                  </w:r>
                </w:p>
              </w:tc>
            </w:tr>
          </w:tbl>
          <w:p w14:paraId="192A85FA">
            <w:pPr>
              <w:pStyle w:val="1111"/>
              <w:bidi w:val="0"/>
              <w:rPr>
                <w:rFonts w:hint="eastAsia"/>
              </w:rPr>
            </w:pPr>
          </w:p>
          <w:p w14:paraId="73E17C1F">
            <w:pPr>
              <w:pStyle w:val="1111"/>
              <w:jc w:val="both"/>
            </w:pPr>
          </w:p>
        </w:tc>
      </w:tr>
    </w:tbl>
    <w:p w14:paraId="6795C801">
      <w:pPr>
        <w:pStyle w:val="71"/>
        <w:outlineLvl w:val="0"/>
        <w:rPr>
          <w:rFonts w:ascii="Times New Roman" w:hAnsi="Times New Roman"/>
          <w:snapToGrid w:val="0"/>
          <w:sz w:val="30"/>
          <w:szCs w:val="30"/>
        </w:rPr>
      </w:pPr>
      <w:r>
        <w:rPr>
          <w:rFonts w:ascii="Times New Roman" w:hAnsi="Times New Roman"/>
          <w:snapToGrid w:val="0"/>
          <w:sz w:val="36"/>
          <w:szCs w:val="36"/>
        </w:rPr>
        <w:br w:type="page"/>
      </w:r>
      <w:r>
        <w:rPr>
          <w:rFonts w:ascii="Times New Roman" w:hAnsi="Times New Roman"/>
          <w:snapToGrid w:val="0"/>
          <w:sz w:val="30"/>
          <w:szCs w:val="30"/>
        </w:rPr>
        <w:t>四</w:t>
      </w:r>
      <w:r>
        <w:rPr>
          <w:rFonts w:hint="eastAsia" w:ascii="Times New Roman" w:hAnsi="Times New Roman" w:eastAsia="微软雅黑"/>
          <w:snapToGrid w:val="0"/>
          <w:sz w:val="30"/>
          <w:szCs w:val="30"/>
          <w:lang w:eastAsia="zh-CN"/>
        </w:rPr>
        <w:t>、</w:t>
      </w:r>
      <w:r>
        <w:rPr>
          <w:rFonts w:ascii="Times New Roman" w:hAnsi="Times New Roman"/>
          <w:snapToGrid w:val="0"/>
          <w:sz w:val="30"/>
          <w:szCs w:val="30"/>
        </w:rPr>
        <w:t>主要环境影响和保护措施</w:t>
      </w:r>
    </w:p>
    <w:tbl>
      <w:tblPr>
        <w:tblStyle w:val="77"/>
        <w:tblW w:w="8443"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78"/>
        <w:gridCol w:w="7865"/>
      </w:tblGrid>
      <w:tr w14:paraId="2716EF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78" w:type="dxa"/>
            <w:tcMar>
              <w:left w:w="28" w:type="dxa"/>
              <w:right w:w="28" w:type="dxa"/>
            </w:tcMar>
            <w:vAlign w:val="center"/>
          </w:tcPr>
          <w:p w14:paraId="4653DC78">
            <w:pPr>
              <w:pStyle w:val="71"/>
              <w:adjustRightInd w:val="0"/>
              <w:snapToGrid w:val="0"/>
              <w:spacing w:before="0" w:beforeAutospacing="0" w:after="0" w:afterAutospacing="0"/>
              <w:jc w:val="center"/>
              <w:rPr>
                <w:rFonts w:ascii="Times New Roman" w:hAnsi="Times New Roman"/>
                <w:kern w:val="2"/>
                <w:szCs w:val="24"/>
              </w:rPr>
            </w:pPr>
            <w:r>
              <w:rPr>
                <w:rFonts w:ascii="Times New Roman" w:hAnsi="Times New Roman"/>
                <w:kern w:val="2"/>
                <w:szCs w:val="24"/>
              </w:rPr>
              <w:t>施工</w:t>
            </w:r>
          </w:p>
          <w:p w14:paraId="1C18C839">
            <w:pPr>
              <w:pStyle w:val="71"/>
              <w:adjustRightInd w:val="0"/>
              <w:snapToGrid w:val="0"/>
              <w:spacing w:before="0" w:beforeAutospacing="0" w:after="0" w:afterAutospacing="0"/>
              <w:jc w:val="center"/>
              <w:rPr>
                <w:rFonts w:ascii="Times New Roman" w:hAnsi="Times New Roman"/>
                <w:kern w:val="2"/>
                <w:szCs w:val="24"/>
              </w:rPr>
            </w:pPr>
            <w:r>
              <w:rPr>
                <w:rFonts w:ascii="Times New Roman" w:hAnsi="Times New Roman"/>
                <w:kern w:val="2"/>
                <w:szCs w:val="24"/>
              </w:rPr>
              <w:t>期环</w:t>
            </w:r>
          </w:p>
          <w:p w14:paraId="1295081A">
            <w:pPr>
              <w:pStyle w:val="71"/>
              <w:adjustRightInd w:val="0"/>
              <w:snapToGrid w:val="0"/>
              <w:spacing w:before="0" w:beforeAutospacing="0" w:after="0" w:afterAutospacing="0"/>
              <w:jc w:val="center"/>
              <w:rPr>
                <w:rFonts w:ascii="Times New Roman" w:hAnsi="Times New Roman"/>
                <w:kern w:val="2"/>
                <w:szCs w:val="24"/>
              </w:rPr>
            </w:pPr>
            <w:r>
              <w:rPr>
                <w:rFonts w:ascii="Times New Roman" w:hAnsi="Times New Roman"/>
                <w:kern w:val="2"/>
                <w:szCs w:val="24"/>
              </w:rPr>
              <w:t>境保</w:t>
            </w:r>
          </w:p>
          <w:p w14:paraId="74F47A33">
            <w:pPr>
              <w:pStyle w:val="71"/>
              <w:adjustRightInd w:val="0"/>
              <w:snapToGrid w:val="0"/>
              <w:spacing w:before="0" w:beforeAutospacing="0" w:after="0" w:afterAutospacing="0"/>
              <w:jc w:val="center"/>
              <w:rPr>
                <w:rFonts w:ascii="Times New Roman" w:hAnsi="Times New Roman"/>
                <w:kern w:val="2"/>
                <w:szCs w:val="24"/>
              </w:rPr>
            </w:pPr>
            <w:r>
              <w:rPr>
                <w:rFonts w:ascii="Times New Roman" w:hAnsi="Times New Roman"/>
                <w:kern w:val="2"/>
                <w:szCs w:val="24"/>
              </w:rPr>
              <w:t>护措</w:t>
            </w:r>
          </w:p>
          <w:p w14:paraId="6B75ED42">
            <w:pPr>
              <w:pStyle w:val="71"/>
              <w:adjustRightInd w:val="0"/>
              <w:snapToGrid w:val="0"/>
              <w:spacing w:before="0" w:beforeAutospacing="0" w:after="0" w:afterAutospacing="0"/>
              <w:jc w:val="center"/>
              <w:rPr>
                <w:rFonts w:ascii="Times New Roman" w:hAnsi="Times New Roman"/>
                <w:bCs/>
                <w:kern w:val="2"/>
                <w:sz w:val="21"/>
                <w:szCs w:val="21"/>
              </w:rPr>
            </w:pPr>
            <w:r>
              <w:rPr>
                <w:rFonts w:ascii="Times New Roman" w:hAnsi="Times New Roman"/>
                <w:kern w:val="2"/>
                <w:szCs w:val="24"/>
              </w:rPr>
              <w:t>施</w:t>
            </w:r>
          </w:p>
        </w:tc>
        <w:tc>
          <w:tcPr>
            <w:tcW w:w="7865" w:type="dxa"/>
            <w:vAlign w:val="center"/>
          </w:tcPr>
          <w:p w14:paraId="5FCC9751">
            <w:pPr>
              <w:pStyle w:val="512"/>
              <w:bidi w:val="0"/>
              <w:rPr>
                <w:rFonts w:hint="eastAsia"/>
              </w:rPr>
            </w:pPr>
            <w:r>
              <w:t>本项目主体工程已建设完成，施工期主要为内部防腐防渗及环保设施安装并调试即可，施工期污染物产生量较小，随着施工期的结束，对环境的影响相应结束。</w:t>
            </w:r>
          </w:p>
        </w:tc>
      </w:tr>
      <w:tr w14:paraId="3A740C0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78" w:type="dxa"/>
            <w:tcMar>
              <w:left w:w="28" w:type="dxa"/>
              <w:right w:w="28" w:type="dxa"/>
            </w:tcMar>
            <w:vAlign w:val="center"/>
          </w:tcPr>
          <w:p w14:paraId="1FAB05D9">
            <w:pPr>
              <w:adjustRightInd w:val="0"/>
              <w:snapToGrid w:val="0"/>
              <w:jc w:val="center"/>
              <w:rPr>
                <w:bCs/>
                <w:sz w:val="24"/>
              </w:rPr>
            </w:pPr>
            <w:r>
              <w:rPr>
                <w:bCs/>
                <w:sz w:val="24"/>
              </w:rPr>
              <w:t>运营</w:t>
            </w:r>
          </w:p>
          <w:p w14:paraId="1A6EF677">
            <w:pPr>
              <w:adjustRightInd w:val="0"/>
              <w:snapToGrid w:val="0"/>
              <w:jc w:val="center"/>
              <w:rPr>
                <w:bCs/>
                <w:sz w:val="24"/>
              </w:rPr>
            </w:pPr>
            <w:r>
              <w:rPr>
                <w:bCs/>
                <w:sz w:val="24"/>
              </w:rPr>
              <w:t>期环</w:t>
            </w:r>
          </w:p>
          <w:p w14:paraId="71BDDD3B">
            <w:pPr>
              <w:adjustRightInd w:val="0"/>
              <w:snapToGrid w:val="0"/>
              <w:jc w:val="center"/>
              <w:rPr>
                <w:bCs/>
                <w:sz w:val="24"/>
              </w:rPr>
            </w:pPr>
            <w:r>
              <w:rPr>
                <w:bCs/>
                <w:sz w:val="24"/>
              </w:rPr>
              <w:t>境影</w:t>
            </w:r>
          </w:p>
          <w:p w14:paraId="444E077C">
            <w:pPr>
              <w:adjustRightInd w:val="0"/>
              <w:snapToGrid w:val="0"/>
              <w:jc w:val="center"/>
              <w:rPr>
                <w:bCs/>
                <w:sz w:val="24"/>
              </w:rPr>
            </w:pPr>
            <w:r>
              <w:rPr>
                <w:bCs/>
                <w:sz w:val="24"/>
              </w:rPr>
              <w:t>响和</w:t>
            </w:r>
          </w:p>
          <w:p w14:paraId="7AD66DDD">
            <w:pPr>
              <w:adjustRightInd w:val="0"/>
              <w:snapToGrid w:val="0"/>
              <w:jc w:val="center"/>
              <w:rPr>
                <w:bCs/>
                <w:sz w:val="24"/>
              </w:rPr>
            </w:pPr>
            <w:r>
              <w:rPr>
                <w:bCs/>
                <w:sz w:val="24"/>
              </w:rPr>
              <w:t>保护</w:t>
            </w:r>
          </w:p>
          <w:p w14:paraId="1CBC1D2A">
            <w:pPr>
              <w:pStyle w:val="71"/>
              <w:adjustRightInd w:val="0"/>
              <w:snapToGrid w:val="0"/>
              <w:spacing w:before="0" w:beforeAutospacing="0" w:after="0" w:afterAutospacing="0"/>
              <w:jc w:val="center"/>
              <w:rPr>
                <w:rFonts w:ascii="Times New Roman" w:hAnsi="Times New Roman"/>
                <w:kern w:val="2"/>
                <w:szCs w:val="24"/>
              </w:rPr>
            </w:pPr>
            <w:r>
              <w:rPr>
                <w:bCs/>
              </w:rPr>
              <w:t>措施</w:t>
            </w:r>
          </w:p>
        </w:tc>
        <w:tc>
          <w:tcPr>
            <w:tcW w:w="7865" w:type="dxa"/>
            <w:vAlign w:val="center"/>
          </w:tcPr>
          <w:p w14:paraId="29BA8900">
            <w:pPr>
              <w:pStyle w:val="512"/>
              <w:numPr>
                <w:ilvl w:val="0"/>
                <w:numId w:val="0"/>
              </w:numPr>
              <w:bidi w:val="0"/>
              <w:ind w:firstLine="544" w:firstLineChars="200"/>
              <w:rPr>
                <w:rFonts w:hint="eastAsia"/>
              </w:rPr>
            </w:pPr>
            <w:r>
              <w:rPr>
                <w:rFonts w:hint="eastAsia" w:ascii="Times New Roman" w:hAnsi="Times New Roman" w:eastAsia="宋体" w:cs="Times New Roman"/>
                <w:spacing w:val="16"/>
                <w:kern w:val="0"/>
                <w:sz w:val="24"/>
                <w:szCs w:val="20"/>
                <w:lang w:val="en-US" w:eastAsia="zh-CN" w:bidi="ar-SA"/>
              </w:rPr>
              <w:t>1、</w:t>
            </w:r>
            <w:r>
              <w:rPr>
                <w:rFonts w:hint="eastAsia"/>
              </w:rPr>
              <w:t>废气</w:t>
            </w:r>
          </w:p>
          <w:p w14:paraId="36D13895">
            <w:pPr>
              <w:pStyle w:val="512"/>
              <w:bidi w:val="0"/>
              <w:rPr>
                <w:rFonts w:hint="eastAsia" w:eastAsia="宋体"/>
                <w:lang w:eastAsia="zh-CN"/>
              </w:rPr>
            </w:pPr>
            <w:r>
              <w:rPr>
                <w:rFonts w:hint="eastAsia"/>
                <w:lang w:eastAsia="zh-CN"/>
              </w:rPr>
              <w:t>（</w:t>
            </w:r>
            <w:r>
              <w:rPr>
                <w:rFonts w:hint="eastAsia"/>
                <w:lang w:val="en-US" w:eastAsia="zh-CN"/>
              </w:rPr>
              <w:t>1</w:t>
            </w:r>
            <w:r>
              <w:rPr>
                <w:rFonts w:hint="eastAsia"/>
                <w:lang w:eastAsia="zh-CN"/>
              </w:rPr>
              <w:t>）源强核算</w:t>
            </w:r>
          </w:p>
          <w:p w14:paraId="6CE3880B">
            <w:pPr>
              <w:pStyle w:val="512"/>
              <w:bidi w:val="0"/>
              <w:rPr>
                <w:rFonts w:hint="default"/>
                <w:lang w:val="en-US" w:eastAsia="zh-CN"/>
              </w:rPr>
            </w:pPr>
            <w:r>
              <w:rPr>
                <w:rFonts w:hint="eastAsia"/>
                <w:color w:val="000000"/>
                <w:lang w:eastAsia="zh-CN"/>
              </w:rPr>
              <w:t>本项目</w:t>
            </w:r>
            <w:r>
              <w:rPr>
                <w:color w:val="000000"/>
              </w:rPr>
              <w:t>各类危险废物均根据其种类、形态、挥发性特征储存在相应的包装容器内，故正常贮存情况下，废气污染物产生</w:t>
            </w:r>
            <w:r>
              <w:rPr>
                <w:rFonts w:hint="eastAsia"/>
                <w:color w:val="000000"/>
              </w:rPr>
              <w:t>较少。</w:t>
            </w:r>
            <w:r>
              <w:rPr>
                <w:color w:val="000000"/>
              </w:rPr>
              <w:t>危废仓库在未进行危废入库贮存、出库委外处置期间，危废仓库大门密闭。结合本项目危废仓库贮存的危废种类和物质理化特性分析，贮存过程可能产生的废气主要为有机废气、臭气和无机废气。</w:t>
            </w:r>
            <w:r>
              <w:rPr>
                <w:rFonts w:hint="eastAsia"/>
                <w:lang w:val="en-US" w:eastAsia="zh-CN"/>
              </w:rPr>
              <w:t>本项目存储间最大储存面积为109.62m</w:t>
            </w:r>
            <w:r>
              <w:rPr>
                <w:rFonts w:hint="eastAsia"/>
                <w:vertAlign w:val="superscript"/>
                <w:lang w:val="en-US" w:eastAsia="zh-CN"/>
              </w:rPr>
              <w:t>2</w:t>
            </w:r>
            <w:r>
              <w:rPr>
                <w:rFonts w:hint="eastAsia"/>
                <w:lang w:val="en-US" w:eastAsia="zh-CN"/>
              </w:rPr>
              <w:t>，储存能力为1t/m</w:t>
            </w:r>
            <w:r>
              <w:rPr>
                <w:rFonts w:hint="eastAsia"/>
                <w:vertAlign w:val="superscript"/>
                <w:lang w:val="en-US" w:eastAsia="zh-CN"/>
              </w:rPr>
              <w:t>2</w:t>
            </w:r>
            <w:r>
              <w:rPr>
                <w:rFonts w:hint="eastAsia"/>
                <w:lang w:val="en-US" w:eastAsia="zh-CN"/>
              </w:rPr>
              <w:t>，转运频次为3个月，贮存能力为438.48t/a。</w:t>
            </w:r>
            <w:r>
              <w:rPr>
                <w:rFonts w:hint="eastAsia"/>
                <w:color w:val="000000"/>
                <w:lang w:val="en-US" w:eastAsia="zh-CN"/>
              </w:rPr>
              <w:t>1#、2#、3#</w:t>
            </w:r>
            <w:r>
              <w:rPr>
                <w:rFonts w:hint="eastAsia"/>
                <w:color w:val="000000"/>
                <w:lang w:eastAsia="zh-CN"/>
              </w:rPr>
              <w:t>存储间</w:t>
            </w:r>
            <w:r>
              <w:rPr>
                <w:rFonts w:hint="eastAsia"/>
                <w:lang w:val="en-US" w:eastAsia="zh-CN"/>
              </w:rPr>
              <w:t>最大储存面积</w:t>
            </w:r>
            <w:r>
              <w:rPr>
                <w:rFonts w:hint="eastAsia"/>
                <w:color w:val="000000"/>
                <w:lang w:eastAsia="zh-CN"/>
              </w:rPr>
              <w:t>均</w:t>
            </w:r>
            <w:r>
              <w:rPr>
                <w:color w:val="000000"/>
              </w:rPr>
              <w:t>为</w:t>
            </w:r>
            <w:r>
              <w:rPr>
                <w:rFonts w:hint="eastAsia"/>
                <w:color w:val="000000"/>
                <w:lang w:val="en-US" w:eastAsia="zh-CN"/>
              </w:rPr>
              <w:t>36.54</w:t>
            </w:r>
            <w:r>
              <w:rPr>
                <w:color w:val="000000"/>
              </w:rPr>
              <w:t>m</w:t>
            </w:r>
            <w:r>
              <w:rPr>
                <w:color w:val="000000"/>
                <w:vertAlign w:val="superscript"/>
              </w:rPr>
              <w:t>2</w:t>
            </w:r>
            <w:r>
              <w:rPr>
                <w:color w:val="000000"/>
              </w:rPr>
              <w:t>，</w:t>
            </w:r>
            <w:r>
              <w:rPr>
                <w:rFonts w:hint="eastAsia"/>
                <w:lang w:val="en-US" w:eastAsia="zh-CN"/>
              </w:rPr>
              <w:t>贮存能力均为146.16t/a。</w:t>
            </w:r>
          </w:p>
          <w:p w14:paraId="6733B750">
            <w:pPr>
              <w:pStyle w:val="512"/>
              <w:bidi w:val="0"/>
              <w:rPr>
                <w:color w:val="000000"/>
              </w:rPr>
            </w:pPr>
            <w:r>
              <w:rPr>
                <w:color w:val="000000"/>
              </w:rPr>
              <w:t>仓库</w:t>
            </w:r>
            <w:r>
              <w:rPr>
                <w:rFonts w:hint="eastAsia"/>
                <w:color w:val="000000"/>
                <w:lang w:eastAsia="zh-CN"/>
              </w:rPr>
              <w:t>采取密闭抽气</w:t>
            </w:r>
            <w:r>
              <w:rPr>
                <w:color w:val="000000"/>
              </w:rPr>
              <w:t>，对仓库内废气进行收集处理，经管道收集</w:t>
            </w:r>
            <w:r>
              <w:rPr>
                <w:rFonts w:hint="eastAsia"/>
                <w:color w:val="000000"/>
                <w:lang w:eastAsia="zh-CN"/>
              </w:rPr>
              <w:t>采用“一级碱吸收</w:t>
            </w:r>
            <w:r>
              <w:rPr>
                <w:rFonts w:hint="eastAsia"/>
                <w:color w:val="000000"/>
                <w:lang w:val="en-US" w:eastAsia="zh-CN"/>
              </w:rPr>
              <w:t>+一级活性炭吸附</w:t>
            </w:r>
            <w:r>
              <w:rPr>
                <w:rFonts w:hint="eastAsia"/>
                <w:color w:val="000000"/>
                <w:lang w:eastAsia="zh-CN"/>
              </w:rPr>
              <w:t>”装置</w:t>
            </w:r>
            <w:r>
              <w:rPr>
                <w:color w:val="000000"/>
              </w:rPr>
              <w:t>进行处理</w:t>
            </w:r>
            <w:r>
              <w:rPr>
                <w:rFonts w:hint="eastAsia"/>
                <w:color w:val="000000"/>
                <w:lang w:eastAsia="zh-CN"/>
              </w:rPr>
              <w:t>。本项目依托现有废气处理装置，设有</w:t>
            </w:r>
            <w:r>
              <w:rPr>
                <w:rFonts w:hint="eastAsia"/>
                <w:color w:val="000000"/>
                <w:lang w:val="en-US" w:eastAsia="zh-CN"/>
              </w:rPr>
              <w:t>3套“</w:t>
            </w:r>
            <w:r>
              <w:rPr>
                <w:rFonts w:hint="eastAsia"/>
                <w:color w:val="000000"/>
                <w:lang w:eastAsia="zh-CN"/>
              </w:rPr>
              <w:t>一级碱吸收</w:t>
            </w:r>
            <w:r>
              <w:rPr>
                <w:rFonts w:hint="eastAsia"/>
                <w:color w:val="000000"/>
                <w:lang w:val="en-US" w:eastAsia="zh-CN"/>
              </w:rPr>
              <w:t>+一</w:t>
            </w:r>
            <w:r>
              <w:rPr>
                <w:color w:val="000000"/>
              </w:rPr>
              <w:t>级活性炭吸附</w:t>
            </w:r>
            <w:r>
              <w:rPr>
                <w:rFonts w:hint="eastAsia"/>
                <w:color w:val="000000"/>
                <w:lang w:val="en-US" w:eastAsia="zh-CN"/>
              </w:rPr>
              <w:t>”装置和3个15m高的排气筒，排气筒风量均为5000m</w:t>
            </w:r>
            <w:r>
              <w:rPr>
                <w:rFonts w:hint="eastAsia"/>
                <w:color w:val="000000"/>
                <w:vertAlign w:val="superscript"/>
                <w:lang w:val="en-US" w:eastAsia="zh-CN"/>
              </w:rPr>
              <w:t>3</w:t>
            </w:r>
            <w:r>
              <w:rPr>
                <w:rFonts w:hint="eastAsia"/>
                <w:color w:val="000000"/>
                <w:lang w:val="en-US" w:eastAsia="zh-CN"/>
              </w:rPr>
              <w:t>/h</w:t>
            </w:r>
            <w:r>
              <w:rPr>
                <w:rFonts w:hint="eastAsia"/>
                <w:color w:val="000000"/>
              </w:rPr>
              <w:t>。本项目</w:t>
            </w:r>
            <w:r>
              <w:rPr>
                <w:color w:val="000000"/>
              </w:rPr>
              <w:t>废气收集效率可达9</w:t>
            </w:r>
            <w:r>
              <w:rPr>
                <w:rFonts w:hint="eastAsia"/>
                <w:color w:val="000000"/>
                <w:lang w:val="en-US" w:eastAsia="zh-CN"/>
              </w:rPr>
              <w:t>0</w:t>
            </w:r>
            <w:r>
              <w:rPr>
                <w:color w:val="000000"/>
              </w:rPr>
              <w:t>%；“</w:t>
            </w:r>
            <w:r>
              <w:rPr>
                <w:rFonts w:hint="eastAsia"/>
                <w:color w:val="000000"/>
                <w:lang w:eastAsia="zh-CN"/>
              </w:rPr>
              <w:t>一级碱吸收</w:t>
            </w:r>
            <w:r>
              <w:rPr>
                <w:rFonts w:hint="eastAsia"/>
                <w:color w:val="000000"/>
                <w:lang w:val="en-US" w:eastAsia="zh-CN"/>
              </w:rPr>
              <w:t>+一</w:t>
            </w:r>
            <w:r>
              <w:rPr>
                <w:color w:val="000000"/>
              </w:rPr>
              <w:t>级活性炭吸附装置”对非甲烷总烃和臭气的去除效率按</w:t>
            </w:r>
            <w:r>
              <w:rPr>
                <w:rFonts w:hint="eastAsia"/>
                <w:color w:val="000000"/>
                <w:lang w:val="en-US" w:eastAsia="zh-CN"/>
              </w:rPr>
              <w:t>90</w:t>
            </w:r>
            <w:r>
              <w:rPr>
                <w:color w:val="000000"/>
              </w:rPr>
              <w:t>%计</w:t>
            </w:r>
            <w:r>
              <w:rPr>
                <w:rFonts w:hint="eastAsia"/>
                <w:color w:val="000000"/>
              </w:rPr>
              <w:t>，</w:t>
            </w:r>
            <w:r>
              <w:rPr>
                <w:color w:val="000000"/>
              </w:rPr>
              <w:t>处理后的尾气通过</w:t>
            </w:r>
            <w:r>
              <w:rPr>
                <w:rFonts w:hint="eastAsia"/>
                <w:color w:val="000000"/>
              </w:rPr>
              <w:t>1</w:t>
            </w:r>
            <w:r>
              <w:rPr>
                <w:color w:val="000000"/>
              </w:rPr>
              <w:t>5米高排气筒排放。</w:t>
            </w:r>
          </w:p>
          <w:p w14:paraId="51C7333B">
            <w:pPr>
              <w:pStyle w:val="512"/>
              <w:bidi w:val="0"/>
              <w:rPr>
                <w:rFonts w:hint="eastAsia"/>
                <w:lang w:val="en-US" w:eastAsia="zh-CN"/>
              </w:rPr>
            </w:pPr>
            <w:r>
              <w:rPr>
                <w:rFonts w:hint="default"/>
                <w:lang w:val="en-US" w:eastAsia="zh-CN"/>
              </w:rPr>
              <w:t>①</w:t>
            </w:r>
            <w:r>
              <w:rPr>
                <w:rFonts w:hint="eastAsia"/>
                <w:lang w:val="en-US" w:eastAsia="zh-CN"/>
              </w:rPr>
              <w:t>有机废气产生量核算</w:t>
            </w:r>
          </w:p>
          <w:p w14:paraId="406E4CD2">
            <w:pPr>
              <w:pStyle w:val="512"/>
              <w:bidi w:val="0"/>
              <w:rPr>
                <w:rFonts w:hint="default" w:eastAsia="宋体"/>
                <w:kern w:val="0"/>
                <w:sz w:val="24"/>
                <w:highlight w:val="none"/>
                <w:lang w:val="en-US" w:eastAsia="zh-CN" w:bidi="ar"/>
              </w:rPr>
            </w:pPr>
            <w:r>
              <w:rPr>
                <w:kern w:val="0"/>
                <w:sz w:val="24"/>
                <w:highlight w:val="none"/>
                <w:lang w:bidi="ar"/>
              </w:rPr>
              <w:t>本项目贮存危废的种类多，挥发性有机废气的成分复杂，故以综合评价因子非甲烷总烃计。</w:t>
            </w:r>
            <w:r>
              <w:rPr>
                <w:rFonts w:hint="eastAsia"/>
                <w:lang w:eastAsia="zh-CN" w:bidi="ar"/>
              </w:rPr>
              <w:t>根据《大气环境影响评价实用技术》（王栋成主编，中国标准出版社，</w:t>
            </w:r>
            <w:r>
              <w:rPr>
                <w:rFonts w:hint="eastAsia"/>
                <w:lang w:val="en-US" w:eastAsia="zh-CN" w:bidi="ar"/>
              </w:rPr>
              <w:t>2010年9月，第156页</w:t>
            </w:r>
            <w:r>
              <w:rPr>
                <w:rFonts w:hint="eastAsia"/>
                <w:lang w:eastAsia="zh-CN" w:bidi="ar"/>
              </w:rPr>
              <w:t>）提供的美国对十几家化工企业长期跟踪测试结果，贮存场所无组织排放量的比例为</w:t>
            </w:r>
            <w:r>
              <w:rPr>
                <w:rFonts w:hint="eastAsia"/>
                <w:lang w:val="en-US" w:eastAsia="zh-CN" w:bidi="ar"/>
              </w:rPr>
              <w:t>0</w:t>
            </w:r>
            <w:r>
              <w:rPr>
                <w:rFonts w:hint="default" w:ascii="Times New Roman" w:hAnsi="Times New Roman" w:cs="Times New Roman"/>
                <w:lang w:val="en-US" w:eastAsia="zh-CN" w:bidi="ar"/>
              </w:rPr>
              <w:t>.5‰~5‰</w:t>
            </w:r>
            <w:r>
              <w:rPr>
                <w:rFonts w:hint="eastAsia"/>
                <w:kern w:val="0"/>
                <w:sz w:val="24"/>
                <w:highlight w:val="none"/>
                <w:vertAlign w:val="baseline"/>
                <w:lang w:val="en-US" w:eastAsia="zh-CN" w:bidi="ar"/>
              </w:rPr>
              <w:t>。本项目以最不利情况计，即各存储间贮存的危险废物（146.16t/a）均会产生有机废气，比例以5‰计，则各存储间非甲烷总烃产生量为0.731t/a。</w:t>
            </w:r>
          </w:p>
          <w:p w14:paraId="06B89C91">
            <w:pPr>
              <w:pStyle w:val="512"/>
              <w:bidi w:val="0"/>
              <w:rPr>
                <w:rFonts w:hint="default"/>
                <w:lang w:val="en-US" w:eastAsia="zh-CN"/>
              </w:rPr>
            </w:pPr>
            <w:r>
              <w:rPr>
                <w:rFonts w:hint="default"/>
                <w:lang w:val="en-US" w:eastAsia="zh-CN"/>
              </w:rPr>
              <w:t>②</w:t>
            </w:r>
            <w:r>
              <w:rPr>
                <w:rFonts w:hint="eastAsia"/>
                <w:lang w:val="en-US" w:eastAsia="zh-CN"/>
              </w:rPr>
              <w:t>臭气</w:t>
            </w:r>
          </w:p>
          <w:p w14:paraId="43A61DB1">
            <w:pPr>
              <w:pStyle w:val="3140"/>
              <w:ind w:firstLine="480"/>
              <w:rPr>
                <w:color w:val="000000"/>
              </w:rPr>
            </w:pPr>
            <w:r>
              <w:rPr>
                <w:color w:val="000000"/>
              </w:rPr>
              <w:t>本项目贮存危废的种类多，产生的恶臭气体是成分复杂且有很大不确定性的混合气体，故以综合评价因子无量纲臭气浓度进行评价。类比同类贮存危废企业，臭气浓度产生源强为1.5</w:t>
            </w:r>
            <w:r>
              <w:rPr>
                <w:rFonts w:hint="eastAsia"/>
                <w:color w:val="000000"/>
                <w:lang w:eastAsia="zh-CN"/>
              </w:rPr>
              <w:t>（</w:t>
            </w:r>
            <w:r>
              <w:rPr>
                <w:color w:val="000000"/>
              </w:rPr>
              <w:t>无量纲</w:t>
            </w:r>
            <w:r>
              <w:rPr>
                <w:rFonts w:hint="eastAsia"/>
                <w:color w:val="000000"/>
                <w:lang w:eastAsia="zh-CN"/>
              </w:rPr>
              <w:t>）</w:t>
            </w:r>
            <w:r>
              <w:rPr>
                <w:color w:val="000000"/>
              </w:rPr>
              <w:t>/m</w:t>
            </w:r>
            <w:r>
              <w:rPr>
                <w:color w:val="000000"/>
                <w:vertAlign w:val="superscript"/>
              </w:rPr>
              <w:t>2</w:t>
            </w:r>
            <w:r>
              <w:rPr>
                <w:color w:val="000000"/>
              </w:rPr>
              <w:t>，</w:t>
            </w:r>
            <w:r>
              <w:rPr>
                <w:rFonts w:hint="eastAsia"/>
                <w:color w:val="000000"/>
                <w:lang w:eastAsia="zh-CN"/>
              </w:rPr>
              <w:t>本项目各存储间最大储存</w:t>
            </w:r>
            <w:r>
              <w:rPr>
                <w:color w:val="000000"/>
              </w:rPr>
              <w:t>面积</w:t>
            </w:r>
            <w:r>
              <w:rPr>
                <w:rFonts w:hint="eastAsia"/>
                <w:color w:val="000000"/>
                <w:lang w:eastAsia="zh-CN"/>
              </w:rPr>
              <w:t>均</w:t>
            </w:r>
            <w:r>
              <w:rPr>
                <w:color w:val="000000"/>
              </w:rPr>
              <w:t>为</w:t>
            </w:r>
            <w:r>
              <w:rPr>
                <w:rFonts w:hint="eastAsia"/>
                <w:color w:val="000000"/>
                <w:lang w:val="en-US" w:eastAsia="zh-CN"/>
              </w:rPr>
              <w:t>36.54</w:t>
            </w:r>
            <w:r>
              <w:rPr>
                <w:color w:val="000000"/>
              </w:rPr>
              <w:t>m</w:t>
            </w:r>
            <w:r>
              <w:rPr>
                <w:color w:val="000000"/>
                <w:vertAlign w:val="superscript"/>
              </w:rPr>
              <w:t>2</w:t>
            </w:r>
            <w:r>
              <w:rPr>
                <w:color w:val="000000"/>
              </w:rPr>
              <w:t>，经计算，</w:t>
            </w:r>
            <w:r>
              <w:rPr>
                <w:rFonts w:hint="eastAsia"/>
                <w:color w:val="000000"/>
                <w:lang w:eastAsia="zh-CN"/>
              </w:rPr>
              <w:t>各存储间</w:t>
            </w:r>
            <w:r>
              <w:rPr>
                <w:color w:val="000000"/>
              </w:rPr>
              <w:t>臭气浓度产生量约</w:t>
            </w:r>
            <w:r>
              <w:rPr>
                <w:rFonts w:hint="eastAsia"/>
                <w:color w:val="000000"/>
                <w:lang w:val="en-US" w:eastAsia="zh-CN"/>
              </w:rPr>
              <w:t>54.81</w:t>
            </w:r>
            <w:r>
              <w:rPr>
                <w:rFonts w:hint="eastAsia"/>
                <w:color w:val="000000"/>
                <w:lang w:eastAsia="zh-CN"/>
              </w:rPr>
              <w:t>（</w:t>
            </w:r>
            <w:r>
              <w:rPr>
                <w:color w:val="000000"/>
              </w:rPr>
              <w:t>无量纲</w:t>
            </w:r>
            <w:r>
              <w:rPr>
                <w:rFonts w:hint="eastAsia"/>
                <w:color w:val="000000"/>
                <w:lang w:eastAsia="zh-CN"/>
              </w:rPr>
              <w:t>）</w:t>
            </w:r>
            <w:r>
              <w:rPr>
                <w:color w:val="000000"/>
              </w:rPr>
              <w:t>。</w:t>
            </w:r>
          </w:p>
          <w:p w14:paraId="47AB0BC0">
            <w:pPr>
              <w:pStyle w:val="512"/>
              <w:bidi w:val="0"/>
            </w:pPr>
            <w:r>
              <w:rPr>
                <w:rFonts w:hint="eastAsia"/>
                <w:lang w:eastAsia="zh-CN"/>
              </w:rPr>
              <w:t>综上，本</w:t>
            </w:r>
            <w:r>
              <w:t>项目</w:t>
            </w:r>
            <w:r>
              <w:rPr>
                <w:rFonts w:hint="eastAsia"/>
                <w:lang w:eastAsia="zh-CN"/>
              </w:rPr>
              <w:t>废气产生及排放情况</w:t>
            </w:r>
            <w:r>
              <w:t>见下表。</w:t>
            </w:r>
          </w:p>
        </w:tc>
      </w:tr>
    </w:tbl>
    <w:p w14:paraId="710F0534">
      <w:pPr>
        <w:adjustRightInd w:val="0"/>
        <w:snapToGrid w:val="0"/>
        <w:spacing w:line="360" w:lineRule="auto"/>
        <w:rPr>
          <w:b/>
          <w:kern w:val="0"/>
          <w:sz w:val="28"/>
          <w:szCs w:val="28"/>
        </w:rPr>
        <w:sectPr>
          <w:pgSz w:w="11907" w:h="16840"/>
          <w:pgMar w:top="1440" w:right="1800" w:bottom="1440" w:left="1800" w:header="851" w:footer="851" w:gutter="0"/>
          <w:pgBorders>
            <w:top w:val="none" w:sz="0" w:space="0"/>
            <w:left w:val="none" w:sz="0" w:space="0"/>
            <w:bottom w:val="none" w:sz="0" w:space="0"/>
            <w:right w:val="none" w:sz="0" w:space="0"/>
          </w:pgBorders>
          <w:cols w:space="720" w:num="1"/>
          <w:docGrid w:linePitch="312" w:charSpace="0"/>
        </w:sectPr>
      </w:pPr>
    </w:p>
    <w:p w14:paraId="7B45FE5F">
      <w:pPr>
        <w:pStyle w:val="1111"/>
        <w:bidi w:val="0"/>
      </w:pPr>
      <w:r>
        <w:t xml:space="preserve">表4-1 </w:t>
      </w:r>
      <w:r>
        <w:rPr>
          <w:rFonts w:hint="eastAsia"/>
          <w:lang w:eastAsia="zh-CN"/>
        </w:rPr>
        <w:t>本</w:t>
      </w:r>
      <w:r>
        <w:t>项目有组织排放大气污染物源强及排放情况一览表</w:t>
      </w:r>
    </w:p>
    <w:tbl>
      <w:tblPr>
        <w:tblStyle w:val="77"/>
        <w:tblW w:w="4996"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Layout w:type="fixed"/>
        <w:tblCellMar>
          <w:top w:w="0" w:type="dxa"/>
          <w:left w:w="108" w:type="dxa"/>
          <w:bottom w:w="0" w:type="dxa"/>
          <w:right w:w="108" w:type="dxa"/>
        </w:tblCellMar>
      </w:tblPr>
      <w:tblGrid>
        <w:gridCol w:w="688"/>
        <w:gridCol w:w="1405"/>
        <w:gridCol w:w="845"/>
        <w:gridCol w:w="1009"/>
        <w:gridCol w:w="996"/>
        <w:gridCol w:w="654"/>
        <w:gridCol w:w="641"/>
        <w:gridCol w:w="1105"/>
        <w:gridCol w:w="736"/>
        <w:gridCol w:w="1036"/>
        <w:gridCol w:w="1105"/>
        <w:gridCol w:w="1036"/>
        <w:gridCol w:w="1378"/>
        <w:gridCol w:w="700"/>
        <w:gridCol w:w="831"/>
      </w:tblGrid>
      <w:tr w14:paraId="0E1848B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CellMar>
            <w:top w:w="0" w:type="dxa"/>
            <w:left w:w="108" w:type="dxa"/>
            <w:bottom w:w="0" w:type="dxa"/>
            <w:right w:w="108" w:type="dxa"/>
          </w:tblCellMar>
        </w:tblPrEx>
        <w:trPr>
          <w:trHeight w:val="300" w:hRule="atLeast"/>
          <w:jc w:val="center"/>
        </w:trPr>
        <w:tc>
          <w:tcPr>
            <w:tcW w:w="242" w:type="pct"/>
            <w:vMerge w:val="restart"/>
            <w:tcBorders>
              <w:tl2br w:val="nil"/>
              <w:tr2bl w:val="nil"/>
            </w:tcBorders>
            <w:shd w:val="clear" w:color="auto" w:fill="auto"/>
            <w:vAlign w:val="center"/>
          </w:tcPr>
          <w:p w14:paraId="422D2619">
            <w:pPr>
              <w:pStyle w:val="1111"/>
              <w:bidi w:val="0"/>
              <w:rPr>
                <w:rFonts w:hint="eastAsia"/>
              </w:rPr>
            </w:pPr>
            <w:r>
              <w:rPr>
                <w:rFonts w:hint="eastAsia"/>
                <w:lang w:val="en-US" w:eastAsia="zh-CN"/>
              </w:rPr>
              <w:t>污染源</w:t>
            </w:r>
          </w:p>
        </w:tc>
        <w:tc>
          <w:tcPr>
            <w:tcW w:w="495" w:type="pct"/>
            <w:vMerge w:val="restart"/>
            <w:tcBorders>
              <w:tl2br w:val="nil"/>
              <w:tr2bl w:val="nil"/>
            </w:tcBorders>
            <w:shd w:val="clear" w:color="auto" w:fill="auto"/>
            <w:vAlign w:val="center"/>
          </w:tcPr>
          <w:p w14:paraId="15D21528">
            <w:pPr>
              <w:pStyle w:val="1111"/>
              <w:bidi w:val="0"/>
              <w:rPr>
                <w:rFonts w:hint="eastAsia"/>
              </w:rPr>
            </w:pPr>
            <w:r>
              <w:rPr>
                <w:rFonts w:hint="eastAsia"/>
                <w:lang w:val="en-US" w:eastAsia="zh-CN"/>
              </w:rPr>
              <w:t>污染物名称</w:t>
            </w:r>
          </w:p>
        </w:tc>
        <w:tc>
          <w:tcPr>
            <w:tcW w:w="1006" w:type="pct"/>
            <w:gridSpan w:val="3"/>
            <w:tcBorders>
              <w:tl2br w:val="nil"/>
              <w:tr2bl w:val="nil"/>
            </w:tcBorders>
            <w:shd w:val="clear" w:color="auto" w:fill="auto"/>
            <w:vAlign w:val="center"/>
          </w:tcPr>
          <w:p w14:paraId="317AC6C4">
            <w:pPr>
              <w:pStyle w:val="1111"/>
              <w:bidi w:val="0"/>
              <w:rPr>
                <w:rFonts w:hint="eastAsia"/>
              </w:rPr>
            </w:pPr>
            <w:r>
              <w:rPr>
                <w:rFonts w:hint="eastAsia"/>
                <w:lang w:val="en-US" w:eastAsia="zh-CN"/>
              </w:rPr>
              <w:t>产生情况</w:t>
            </w:r>
          </w:p>
        </w:tc>
        <w:tc>
          <w:tcPr>
            <w:tcW w:w="230" w:type="pct"/>
            <w:vMerge w:val="restart"/>
            <w:tcBorders>
              <w:tl2br w:val="nil"/>
              <w:tr2bl w:val="nil"/>
            </w:tcBorders>
            <w:shd w:val="clear" w:color="auto" w:fill="auto"/>
            <w:vAlign w:val="center"/>
          </w:tcPr>
          <w:p w14:paraId="26FBA71B">
            <w:pPr>
              <w:pStyle w:val="1111"/>
              <w:bidi w:val="0"/>
              <w:rPr>
                <w:rFonts w:hint="eastAsia"/>
              </w:rPr>
            </w:pPr>
            <w:r>
              <w:rPr>
                <w:rFonts w:hint="eastAsia"/>
                <w:lang w:val="en-US" w:eastAsia="zh-CN"/>
              </w:rPr>
              <w:t>收集措施</w:t>
            </w:r>
          </w:p>
        </w:tc>
        <w:tc>
          <w:tcPr>
            <w:tcW w:w="226" w:type="pct"/>
            <w:vMerge w:val="restart"/>
            <w:tcBorders>
              <w:tl2br w:val="nil"/>
              <w:tr2bl w:val="nil"/>
            </w:tcBorders>
            <w:shd w:val="clear" w:color="auto" w:fill="auto"/>
            <w:vAlign w:val="center"/>
          </w:tcPr>
          <w:p w14:paraId="56AD5509">
            <w:pPr>
              <w:pStyle w:val="1111"/>
              <w:bidi w:val="0"/>
              <w:rPr>
                <w:rFonts w:hint="eastAsia"/>
              </w:rPr>
            </w:pPr>
            <w:r>
              <w:rPr>
                <w:rFonts w:hint="eastAsia"/>
                <w:lang w:val="en-US" w:eastAsia="zh-CN"/>
              </w:rPr>
              <w:t>收集率%</w:t>
            </w:r>
          </w:p>
        </w:tc>
        <w:tc>
          <w:tcPr>
            <w:tcW w:w="390" w:type="pct"/>
            <w:vMerge w:val="restart"/>
            <w:tcBorders>
              <w:tl2br w:val="nil"/>
              <w:tr2bl w:val="nil"/>
            </w:tcBorders>
            <w:shd w:val="clear" w:color="auto" w:fill="auto"/>
            <w:vAlign w:val="center"/>
          </w:tcPr>
          <w:p w14:paraId="789A9F8A">
            <w:pPr>
              <w:pStyle w:val="1111"/>
              <w:bidi w:val="0"/>
              <w:rPr>
                <w:rFonts w:hint="eastAsia"/>
              </w:rPr>
            </w:pPr>
            <w:r>
              <w:rPr>
                <w:rFonts w:hint="eastAsia"/>
                <w:lang w:val="en-US" w:eastAsia="zh-CN"/>
              </w:rPr>
              <w:t>处理措施</w:t>
            </w:r>
          </w:p>
        </w:tc>
        <w:tc>
          <w:tcPr>
            <w:tcW w:w="259" w:type="pct"/>
            <w:vMerge w:val="restart"/>
            <w:tcBorders>
              <w:tl2br w:val="nil"/>
              <w:tr2bl w:val="nil"/>
            </w:tcBorders>
            <w:shd w:val="clear" w:color="auto" w:fill="auto"/>
            <w:vAlign w:val="center"/>
          </w:tcPr>
          <w:p w14:paraId="75923FAC">
            <w:pPr>
              <w:pStyle w:val="1111"/>
              <w:bidi w:val="0"/>
              <w:rPr>
                <w:rFonts w:hint="eastAsia"/>
              </w:rPr>
            </w:pPr>
            <w:r>
              <w:rPr>
                <w:rFonts w:hint="eastAsia"/>
                <w:lang w:val="en-US" w:eastAsia="zh-CN"/>
              </w:rPr>
              <w:t>去除效率</w:t>
            </w:r>
            <w:r>
              <w:rPr>
                <w:rFonts w:hint="default"/>
                <w:lang w:val="en-US" w:eastAsia="zh-CN"/>
              </w:rPr>
              <w:t>%</w:t>
            </w:r>
          </w:p>
        </w:tc>
        <w:tc>
          <w:tcPr>
            <w:tcW w:w="1607" w:type="pct"/>
            <w:gridSpan w:val="4"/>
            <w:tcBorders>
              <w:tl2br w:val="nil"/>
              <w:tr2bl w:val="nil"/>
            </w:tcBorders>
            <w:shd w:val="clear" w:color="auto" w:fill="auto"/>
            <w:vAlign w:val="center"/>
          </w:tcPr>
          <w:p w14:paraId="53BF5FA9">
            <w:pPr>
              <w:pStyle w:val="1111"/>
              <w:bidi w:val="0"/>
              <w:rPr>
                <w:rFonts w:hint="eastAsia"/>
                <w:lang w:val="en-US" w:eastAsia="zh-CN"/>
              </w:rPr>
            </w:pPr>
            <w:r>
              <w:rPr>
                <w:rFonts w:hint="eastAsia"/>
                <w:lang w:val="en-US" w:eastAsia="zh-CN"/>
              </w:rPr>
              <w:t>排放情况</w:t>
            </w:r>
          </w:p>
        </w:tc>
        <w:tc>
          <w:tcPr>
            <w:tcW w:w="540" w:type="pct"/>
            <w:gridSpan w:val="2"/>
            <w:tcBorders>
              <w:tl2br w:val="nil"/>
              <w:tr2bl w:val="nil"/>
            </w:tcBorders>
            <w:shd w:val="clear" w:color="auto" w:fill="auto"/>
            <w:vAlign w:val="center"/>
          </w:tcPr>
          <w:p w14:paraId="6C39D62D">
            <w:pPr>
              <w:pStyle w:val="1111"/>
              <w:bidi w:val="0"/>
              <w:rPr>
                <w:rFonts w:hint="eastAsia"/>
                <w:lang w:val="en-US" w:eastAsia="zh-CN"/>
              </w:rPr>
            </w:pPr>
            <w:r>
              <w:rPr>
                <w:rFonts w:hint="eastAsia"/>
                <w:lang w:val="en-US" w:eastAsia="zh-CN"/>
              </w:rPr>
              <w:t>排放标准</w:t>
            </w:r>
          </w:p>
        </w:tc>
      </w:tr>
      <w:tr w14:paraId="21E52A6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40" w:hRule="atLeast"/>
          <w:jc w:val="center"/>
        </w:trPr>
        <w:tc>
          <w:tcPr>
            <w:tcW w:w="242" w:type="pct"/>
            <w:vMerge w:val="continue"/>
            <w:tcBorders>
              <w:tl2br w:val="nil"/>
              <w:tr2bl w:val="nil"/>
            </w:tcBorders>
            <w:shd w:val="clear" w:color="auto" w:fill="auto"/>
            <w:vAlign w:val="center"/>
          </w:tcPr>
          <w:p w14:paraId="11915C64">
            <w:pPr>
              <w:pStyle w:val="1111"/>
              <w:bidi w:val="0"/>
              <w:rPr>
                <w:rFonts w:hint="eastAsia"/>
              </w:rPr>
            </w:pPr>
          </w:p>
        </w:tc>
        <w:tc>
          <w:tcPr>
            <w:tcW w:w="495" w:type="pct"/>
            <w:vMerge w:val="continue"/>
            <w:tcBorders>
              <w:tl2br w:val="nil"/>
              <w:tr2bl w:val="nil"/>
            </w:tcBorders>
            <w:shd w:val="clear" w:color="auto" w:fill="auto"/>
            <w:vAlign w:val="center"/>
          </w:tcPr>
          <w:p w14:paraId="40982022">
            <w:pPr>
              <w:pStyle w:val="1111"/>
              <w:bidi w:val="0"/>
              <w:rPr>
                <w:rFonts w:hint="eastAsia"/>
              </w:rPr>
            </w:pPr>
          </w:p>
        </w:tc>
        <w:tc>
          <w:tcPr>
            <w:tcW w:w="298" w:type="pct"/>
            <w:tcBorders>
              <w:tl2br w:val="nil"/>
              <w:tr2bl w:val="nil"/>
            </w:tcBorders>
            <w:shd w:val="clear" w:color="auto" w:fill="auto"/>
            <w:vAlign w:val="center"/>
          </w:tcPr>
          <w:p w14:paraId="78DD360C">
            <w:pPr>
              <w:pStyle w:val="1111"/>
              <w:bidi w:val="0"/>
              <w:rPr>
                <w:rFonts w:hint="eastAsia"/>
              </w:rPr>
            </w:pPr>
            <w:r>
              <w:rPr>
                <w:rFonts w:hint="eastAsia"/>
                <w:lang w:val="en-US" w:eastAsia="zh-CN"/>
              </w:rPr>
              <w:t>浓度</w:t>
            </w:r>
            <w:r>
              <w:rPr>
                <w:rFonts w:hint="default"/>
                <w:lang w:val="en-US" w:eastAsia="zh-CN"/>
              </w:rPr>
              <w:t>mg/m</w:t>
            </w:r>
            <w:r>
              <w:rPr>
                <w:rFonts w:hint="default"/>
                <w:vertAlign w:val="superscript"/>
                <w:lang w:val="en-US" w:eastAsia="zh-CN"/>
              </w:rPr>
              <w:t>3</w:t>
            </w:r>
          </w:p>
        </w:tc>
        <w:tc>
          <w:tcPr>
            <w:tcW w:w="356" w:type="pct"/>
            <w:tcBorders>
              <w:tl2br w:val="nil"/>
              <w:tr2bl w:val="nil"/>
            </w:tcBorders>
            <w:shd w:val="clear" w:color="auto" w:fill="auto"/>
            <w:vAlign w:val="center"/>
          </w:tcPr>
          <w:p w14:paraId="6C7C44A4">
            <w:pPr>
              <w:pStyle w:val="1111"/>
              <w:bidi w:val="0"/>
              <w:rPr>
                <w:rFonts w:hint="eastAsia"/>
              </w:rPr>
            </w:pPr>
            <w:r>
              <w:rPr>
                <w:rFonts w:hint="eastAsia"/>
                <w:lang w:val="en-US" w:eastAsia="zh-CN"/>
              </w:rPr>
              <w:t>速率</w:t>
            </w:r>
            <w:r>
              <w:rPr>
                <w:rFonts w:hint="default"/>
                <w:lang w:val="en-US" w:eastAsia="zh-CN"/>
              </w:rPr>
              <w:t>kg/h</w:t>
            </w:r>
          </w:p>
        </w:tc>
        <w:tc>
          <w:tcPr>
            <w:tcW w:w="351" w:type="pct"/>
            <w:tcBorders>
              <w:tl2br w:val="nil"/>
              <w:tr2bl w:val="nil"/>
            </w:tcBorders>
            <w:shd w:val="clear" w:color="auto" w:fill="auto"/>
            <w:vAlign w:val="center"/>
          </w:tcPr>
          <w:p w14:paraId="36A94358">
            <w:pPr>
              <w:pStyle w:val="1111"/>
              <w:bidi w:val="0"/>
              <w:rPr>
                <w:rFonts w:hint="eastAsia"/>
              </w:rPr>
            </w:pPr>
            <w:r>
              <w:rPr>
                <w:rFonts w:hint="eastAsia"/>
                <w:lang w:val="en-US" w:eastAsia="zh-CN"/>
              </w:rPr>
              <w:t>产生量</w:t>
            </w:r>
            <w:r>
              <w:rPr>
                <w:rFonts w:hint="default"/>
                <w:lang w:val="en-US" w:eastAsia="zh-CN"/>
              </w:rPr>
              <w:t>t/a</w:t>
            </w:r>
          </w:p>
        </w:tc>
        <w:tc>
          <w:tcPr>
            <w:tcW w:w="230" w:type="pct"/>
            <w:vMerge w:val="continue"/>
            <w:tcBorders>
              <w:tl2br w:val="nil"/>
              <w:tr2bl w:val="nil"/>
            </w:tcBorders>
            <w:shd w:val="clear" w:color="auto" w:fill="auto"/>
            <w:vAlign w:val="center"/>
          </w:tcPr>
          <w:p w14:paraId="693681B1">
            <w:pPr>
              <w:pStyle w:val="1111"/>
              <w:bidi w:val="0"/>
              <w:rPr>
                <w:rFonts w:hint="eastAsia"/>
              </w:rPr>
            </w:pPr>
          </w:p>
        </w:tc>
        <w:tc>
          <w:tcPr>
            <w:tcW w:w="226" w:type="pct"/>
            <w:vMerge w:val="continue"/>
            <w:tcBorders>
              <w:tl2br w:val="nil"/>
              <w:tr2bl w:val="nil"/>
            </w:tcBorders>
            <w:shd w:val="clear" w:color="auto" w:fill="auto"/>
            <w:vAlign w:val="center"/>
          </w:tcPr>
          <w:p w14:paraId="5D021422">
            <w:pPr>
              <w:pStyle w:val="1111"/>
              <w:bidi w:val="0"/>
              <w:rPr>
                <w:rFonts w:hint="eastAsia"/>
              </w:rPr>
            </w:pPr>
          </w:p>
        </w:tc>
        <w:tc>
          <w:tcPr>
            <w:tcW w:w="390" w:type="pct"/>
            <w:vMerge w:val="continue"/>
            <w:tcBorders>
              <w:tl2br w:val="nil"/>
              <w:tr2bl w:val="nil"/>
            </w:tcBorders>
            <w:shd w:val="clear" w:color="auto" w:fill="auto"/>
            <w:vAlign w:val="center"/>
          </w:tcPr>
          <w:p w14:paraId="3B1D4836">
            <w:pPr>
              <w:pStyle w:val="1111"/>
              <w:bidi w:val="0"/>
              <w:rPr>
                <w:rFonts w:hint="eastAsia"/>
              </w:rPr>
            </w:pPr>
          </w:p>
        </w:tc>
        <w:tc>
          <w:tcPr>
            <w:tcW w:w="259" w:type="pct"/>
            <w:vMerge w:val="continue"/>
            <w:tcBorders>
              <w:tl2br w:val="nil"/>
              <w:tr2bl w:val="nil"/>
            </w:tcBorders>
            <w:shd w:val="clear" w:color="auto" w:fill="auto"/>
            <w:vAlign w:val="center"/>
          </w:tcPr>
          <w:p w14:paraId="7E55ED85">
            <w:pPr>
              <w:pStyle w:val="1111"/>
              <w:bidi w:val="0"/>
              <w:rPr>
                <w:rFonts w:hint="eastAsia"/>
              </w:rPr>
            </w:pPr>
          </w:p>
        </w:tc>
        <w:tc>
          <w:tcPr>
            <w:tcW w:w="365" w:type="pct"/>
            <w:tcBorders>
              <w:tl2br w:val="nil"/>
              <w:tr2bl w:val="nil"/>
            </w:tcBorders>
            <w:shd w:val="clear" w:color="auto" w:fill="auto"/>
            <w:vAlign w:val="center"/>
          </w:tcPr>
          <w:p w14:paraId="349EB681">
            <w:pPr>
              <w:pStyle w:val="1111"/>
              <w:bidi w:val="0"/>
              <w:rPr>
                <w:rFonts w:hint="eastAsia"/>
              </w:rPr>
            </w:pPr>
            <w:r>
              <w:rPr>
                <w:rFonts w:hint="eastAsia"/>
                <w:lang w:val="en-US" w:eastAsia="zh-CN"/>
              </w:rPr>
              <w:t>浓度</w:t>
            </w:r>
            <w:r>
              <w:rPr>
                <w:rFonts w:hint="default"/>
                <w:lang w:val="en-US" w:eastAsia="zh-CN"/>
              </w:rPr>
              <w:t>mg/m</w:t>
            </w:r>
            <w:r>
              <w:rPr>
                <w:rFonts w:hint="default"/>
                <w:vertAlign w:val="superscript"/>
                <w:lang w:val="en-US" w:eastAsia="zh-CN"/>
              </w:rPr>
              <w:t>3</w:t>
            </w:r>
          </w:p>
        </w:tc>
        <w:tc>
          <w:tcPr>
            <w:tcW w:w="390" w:type="pct"/>
            <w:tcBorders>
              <w:tl2br w:val="nil"/>
              <w:tr2bl w:val="nil"/>
            </w:tcBorders>
            <w:shd w:val="clear" w:color="auto" w:fill="auto"/>
            <w:vAlign w:val="center"/>
          </w:tcPr>
          <w:p w14:paraId="590C764A">
            <w:pPr>
              <w:pStyle w:val="1111"/>
              <w:bidi w:val="0"/>
              <w:rPr>
                <w:rFonts w:hint="eastAsia"/>
              </w:rPr>
            </w:pPr>
            <w:r>
              <w:rPr>
                <w:rFonts w:hint="eastAsia"/>
                <w:lang w:val="en-US" w:eastAsia="zh-CN"/>
              </w:rPr>
              <w:t>速率</w:t>
            </w:r>
            <w:r>
              <w:rPr>
                <w:rFonts w:hint="default"/>
                <w:lang w:val="en-US" w:eastAsia="zh-CN"/>
              </w:rPr>
              <w:t>kg/h</w:t>
            </w:r>
          </w:p>
        </w:tc>
        <w:tc>
          <w:tcPr>
            <w:tcW w:w="365" w:type="pct"/>
            <w:tcBorders>
              <w:tl2br w:val="nil"/>
              <w:tr2bl w:val="nil"/>
            </w:tcBorders>
            <w:shd w:val="clear" w:color="auto" w:fill="auto"/>
            <w:vAlign w:val="center"/>
          </w:tcPr>
          <w:p w14:paraId="5DC40659">
            <w:pPr>
              <w:pStyle w:val="1111"/>
              <w:bidi w:val="0"/>
              <w:rPr>
                <w:rFonts w:hint="eastAsia"/>
              </w:rPr>
            </w:pPr>
            <w:r>
              <w:rPr>
                <w:rFonts w:hint="eastAsia"/>
                <w:lang w:val="en-US" w:eastAsia="zh-CN"/>
              </w:rPr>
              <w:t>排放量</w:t>
            </w:r>
            <w:r>
              <w:rPr>
                <w:rFonts w:hint="default"/>
                <w:lang w:val="en-US" w:eastAsia="zh-CN"/>
              </w:rPr>
              <w:t>t/a</w:t>
            </w:r>
          </w:p>
        </w:tc>
        <w:tc>
          <w:tcPr>
            <w:tcW w:w="486" w:type="pct"/>
            <w:tcBorders>
              <w:tl2br w:val="nil"/>
              <w:tr2bl w:val="nil"/>
            </w:tcBorders>
            <w:shd w:val="clear" w:color="auto" w:fill="auto"/>
            <w:vAlign w:val="center"/>
          </w:tcPr>
          <w:p w14:paraId="0B6612C1">
            <w:pPr>
              <w:pStyle w:val="1111"/>
              <w:bidi w:val="0"/>
              <w:rPr>
                <w:rFonts w:hint="eastAsia"/>
                <w:lang w:val="en-US" w:eastAsia="zh-CN"/>
              </w:rPr>
            </w:pPr>
            <w:r>
              <w:rPr>
                <w:rFonts w:hint="eastAsia"/>
                <w:lang w:val="en-US" w:eastAsia="zh-CN"/>
              </w:rPr>
              <w:t>排放方式</w:t>
            </w:r>
          </w:p>
        </w:tc>
        <w:tc>
          <w:tcPr>
            <w:tcW w:w="247" w:type="pct"/>
            <w:tcBorders>
              <w:tl2br w:val="nil"/>
              <w:tr2bl w:val="nil"/>
            </w:tcBorders>
            <w:shd w:val="clear" w:color="auto" w:fill="auto"/>
            <w:vAlign w:val="center"/>
          </w:tcPr>
          <w:p w14:paraId="3880D795">
            <w:pPr>
              <w:pStyle w:val="1111"/>
              <w:bidi w:val="0"/>
              <w:rPr>
                <w:rFonts w:hint="default"/>
                <w:lang w:val="en-US" w:eastAsia="zh-CN"/>
              </w:rPr>
            </w:pPr>
            <w:r>
              <w:rPr>
                <w:rFonts w:hint="eastAsia"/>
                <w:lang w:val="en-US" w:eastAsia="zh-CN"/>
              </w:rPr>
              <w:t>速率kg/h</w:t>
            </w:r>
          </w:p>
        </w:tc>
        <w:tc>
          <w:tcPr>
            <w:tcW w:w="293" w:type="pct"/>
            <w:tcBorders>
              <w:tl2br w:val="nil"/>
              <w:tr2bl w:val="nil"/>
            </w:tcBorders>
            <w:shd w:val="clear" w:color="auto" w:fill="auto"/>
            <w:vAlign w:val="center"/>
          </w:tcPr>
          <w:p w14:paraId="692FA385">
            <w:pPr>
              <w:pStyle w:val="1111"/>
              <w:bidi w:val="0"/>
              <w:rPr>
                <w:rFonts w:hint="eastAsia"/>
                <w:lang w:val="en-US" w:eastAsia="zh-CN"/>
              </w:rPr>
            </w:pPr>
            <w:r>
              <w:rPr>
                <w:rFonts w:hint="eastAsia"/>
                <w:lang w:val="en-US" w:eastAsia="zh-CN"/>
              </w:rPr>
              <w:t>浓度</w:t>
            </w:r>
            <w:r>
              <w:rPr>
                <w:rFonts w:hint="default"/>
                <w:lang w:val="en-US" w:eastAsia="zh-CN"/>
              </w:rPr>
              <w:t>mg/m</w:t>
            </w:r>
            <w:r>
              <w:rPr>
                <w:rFonts w:hint="default"/>
                <w:vertAlign w:val="superscript"/>
                <w:lang w:val="en-US" w:eastAsia="zh-CN"/>
              </w:rPr>
              <w:t>3</w:t>
            </w:r>
          </w:p>
        </w:tc>
      </w:tr>
      <w:tr w14:paraId="4E9AD7F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8" w:hRule="atLeast"/>
          <w:jc w:val="center"/>
        </w:trPr>
        <w:tc>
          <w:tcPr>
            <w:tcW w:w="242" w:type="pct"/>
            <w:vMerge w:val="restart"/>
            <w:tcBorders>
              <w:tl2br w:val="nil"/>
              <w:tr2bl w:val="nil"/>
            </w:tcBorders>
            <w:shd w:val="clear" w:color="auto" w:fill="auto"/>
            <w:vAlign w:val="center"/>
          </w:tcPr>
          <w:p w14:paraId="6BA70AFB">
            <w:pPr>
              <w:pStyle w:val="1111"/>
              <w:bidi w:val="0"/>
              <w:rPr>
                <w:rFonts w:hint="default"/>
              </w:rPr>
            </w:pPr>
            <w:r>
              <w:rPr>
                <w:rFonts w:hint="default"/>
                <w:lang w:val="en-US" w:eastAsia="zh-CN"/>
              </w:rPr>
              <w:t>1#</w:t>
            </w:r>
            <w:r>
              <w:rPr>
                <w:rFonts w:hint="eastAsia"/>
                <w:lang w:val="en-US" w:eastAsia="zh-CN"/>
              </w:rPr>
              <w:t>存储间</w:t>
            </w:r>
          </w:p>
        </w:tc>
        <w:tc>
          <w:tcPr>
            <w:tcW w:w="495" w:type="pct"/>
            <w:tcBorders>
              <w:tl2br w:val="nil"/>
              <w:tr2bl w:val="nil"/>
            </w:tcBorders>
            <w:shd w:val="clear" w:color="auto" w:fill="auto"/>
            <w:vAlign w:val="center"/>
          </w:tcPr>
          <w:p w14:paraId="44C677A6">
            <w:pPr>
              <w:pStyle w:val="1111"/>
              <w:bidi w:val="0"/>
              <w:rPr>
                <w:rFonts w:hint="eastAsia"/>
              </w:rPr>
            </w:pPr>
            <w:r>
              <w:rPr>
                <w:rFonts w:hint="eastAsia"/>
                <w:lang w:val="en-US" w:eastAsia="zh-CN"/>
              </w:rPr>
              <w:t>非甲烷总烃</w:t>
            </w:r>
          </w:p>
        </w:tc>
        <w:tc>
          <w:tcPr>
            <w:tcW w:w="298" w:type="pct"/>
            <w:tcBorders>
              <w:tl2br w:val="nil"/>
              <w:tr2bl w:val="nil"/>
            </w:tcBorders>
            <w:shd w:val="clear" w:color="auto" w:fill="auto"/>
            <w:vAlign w:val="center"/>
          </w:tcPr>
          <w:p w14:paraId="0748656D">
            <w:pPr>
              <w:keepNext w:val="0"/>
              <w:keepLines w:val="0"/>
              <w:widowControl/>
              <w:suppressLineNumbers w:val="0"/>
              <w:jc w:val="center"/>
              <w:textAlignment w:val="center"/>
              <w:rPr>
                <w:rFonts w:hint="default"/>
                <w:lang w:val="en-US"/>
              </w:rPr>
            </w:pPr>
            <w:r>
              <w:rPr>
                <w:rFonts w:hint="eastAsia" w:eastAsia="等线" w:cs="Times New Roman"/>
                <w:i w:val="0"/>
                <w:iCs w:val="0"/>
                <w:color w:val="000000"/>
                <w:kern w:val="0"/>
                <w:sz w:val="21"/>
                <w:szCs w:val="21"/>
                <w:u w:val="none"/>
                <w:lang w:val="en-US" w:eastAsia="zh-CN" w:bidi="ar"/>
              </w:rPr>
              <w:t>18.27</w:t>
            </w:r>
          </w:p>
        </w:tc>
        <w:tc>
          <w:tcPr>
            <w:tcW w:w="356" w:type="pct"/>
            <w:tcBorders>
              <w:tl2br w:val="nil"/>
              <w:tr2bl w:val="nil"/>
            </w:tcBorders>
            <w:shd w:val="clear" w:color="auto" w:fill="auto"/>
            <w:vAlign w:val="center"/>
          </w:tcPr>
          <w:p w14:paraId="79773C3C">
            <w:pPr>
              <w:pStyle w:val="1111"/>
              <w:bidi w:val="0"/>
              <w:rPr>
                <w:rFonts w:hint="default"/>
                <w:lang w:val="en-US"/>
              </w:rPr>
            </w:pPr>
            <w:r>
              <w:rPr>
                <w:rFonts w:hint="default"/>
                <w:lang w:val="en-US" w:eastAsia="zh-CN"/>
              </w:rPr>
              <w:t>0.</w:t>
            </w:r>
            <w:r>
              <w:rPr>
                <w:rFonts w:hint="eastAsia"/>
                <w:lang w:val="en-US" w:eastAsia="zh-CN"/>
              </w:rPr>
              <w:t>0914</w:t>
            </w:r>
          </w:p>
        </w:tc>
        <w:tc>
          <w:tcPr>
            <w:tcW w:w="351" w:type="pct"/>
            <w:tcBorders>
              <w:tl2br w:val="nil"/>
              <w:tr2bl w:val="nil"/>
            </w:tcBorders>
            <w:shd w:val="clear" w:color="auto" w:fill="auto"/>
            <w:vAlign w:val="center"/>
          </w:tcPr>
          <w:p w14:paraId="06F94935">
            <w:pPr>
              <w:pStyle w:val="1111"/>
              <w:bidi w:val="0"/>
              <w:rPr>
                <w:rFonts w:hint="default"/>
                <w:lang w:val="en-US"/>
              </w:rPr>
            </w:pPr>
            <w:r>
              <w:rPr>
                <w:rFonts w:hint="eastAsia"/>
                <w:lang w:val="en-US" w:eastAsia="zh-CN"/>
              </w:rPr>
              <w:t>0.658</w:t>
            </w:r>
          </w:p>
        </w:tc>
        <w:tc>
          <w:tcPr>
            <w:tcW w:w="230" w:type="pct"/>
            <w:vMerge w:val="restart"/>
            <w:tcBorders>
              <w:tl2br w:val="nil"/>
              <w:tr2bl w:val="nil"/>
            </w:tcBorders>
            <w:shd w:val="clear" w:color="auto" w:fill="auto"/>
            <w:vAlign w:val="center"/>
          </w:tcPr>
          <w:p w14:paraId="09C256CC">
            <w:pPr>
              <w:pStyle w:val="1111"/>
              <w:bidi w:val="0"/>
              <w:rPr>
                <w:rFonts w:hint="default"/>
              </w:rPr>
            </w:pPr>
            <w:r>
              <w:rPr>
                <w:rFonts w:hint="eastAsia"/>
                <w:lang w:val="en-US" w:eastAsia="zh-CN"/>
              </w:rPr>
              <w:t>负压收集</w:t>
            </w:r>
          </w:p>
        </w:tc>
        <w:tc>
          <w:tcPr>
            <w:tcW w:w="226" w:type="pct"/>
            <w:vMerge w:val="restart"/>
            <w:tcBorders>
              <w:tl2br w:val="nil"/>
              <w:tr2bl w:val="nil"/>
            </w:tcBorders>
            <w:shd w:val="clear" w:color="auto" w:fill="auto"/>
            <w:vAlign w:val="center"/>
          </w:tcPr>
          <w:p w14:paraId="6A11A52D">
            <w:pPr>
              <w:pStyle w:val="1111"/>
              <w:bidi w:val="0"/>
              <w:rPr>
                <w:rFonts w:hint="default"/>
                <w:lang w:val="en-US"/>
              </w:rPr>
            </w:pPr>
            <w:r>
              <w:rPr>
                <w:rFonts w:hint="eastAsia"/>
                <w:lang w:val="en-US" w:eastAsia="zh-CN"/>
              </w:rPr>
              <w:t>90</w:t>
            </w:r>
          </w:p>
        </w:tc>
        <w:tc>
          <w:tcPr>
            <w:tcW w:w="390" w:type="pct"/>
            <w:vMerge w:val="restart"/>
            <w:tcBorders>
              <w:tl2br w:val="nil"/>
              <w:tr2bl w:val="nil"/>
            </w:tcBorders>
            <w:shd w:val="clear" w:color="auto" w:fill="auto"/>
            <w:vAlign w:val="center"/>
          </w:tcPr>
          <w:p w14:paraId="051EA541">
            <w:pPr>
              <w:pStyle w:val="1111"/>
              <w:bidi w:val="0"/>
              <w:rPr>
                <w:rFonts w:hint="eastAsia"/>
              </w:rPr>
            </w:pPr>
            <w:r>
              <w:rPr>
                <w:rFonts w:hint="eastAsia"/>
                <w:lang w:val="en-US" w:eastAsia="zh-CN"/>
              </w:rPr>
              <w:t>一级碱吸收</w:t>
            </w:r>
            <w:r>
              <w:rPr>
                <w:rFonts w:hint="default"/>
                <w:lang w:val="en-US" w:eastAsia="zh-CN"/>
              </w:rPr>
              <w:t>+</w:t>
            </w:r>
            <w:r>
              <w:rPr>
                <w:rFonts w:hint="eastAsia"/>
                <w:lang w:val="en-US" w:eastAsia="zh-CN"/>
              </w:rPr>
              <w:t>一级活性炭附</w:t>
            </w:r>
          </w:p>
        </w:tc>
        <w:tc>
          <w:tcPr>
            <w:tcW w:w="259" w:type="pct"/>
            <w:tcBorders>
              <w:tl2br w:val="nil"/>
              <w:tr2bl w:val="nil"/>
            </w:tcBorders>
            <w:shd w:val="clear" w:color="auto" w:fill="auto"/>
            <w:vAlign w:val="center"/>
          </w:tcPr>
          <w:p w14:paraId="55DD191E">
            <w:pPr>
              <w:pStyle w:val="1111"/>
              <w:bidi w:val="0"/>
              <w:rPr>
                <w:rFonts w:hint="default"/>
                <w:lang w:val="en-US"/>
              </w:rPr>
            </w:pPr>
            <w:r>
              <w:rPr>
                <w:rFonts w:hint="eastAsia"/>
                <w:lang w:val="en-US" w:eastAsia="zh-CN"/>
              </w:rPr>
              <w:t>90</w:t>
            </w:r>
          </w:p>
        </w:tc>
        <w:tc>
          <w:tcPr>
            <w:tcW w:w="365" w:type="pct"/>
            <w:tcBorders>
              <w:tl2br w:val="nil"/>
              <w:tr2bl w:val="nil"/>
            </w:tcBorders>
            <w:shd w:val="clear" w:color="auto" w:fill="auto"/>
            <w:vAlign w:val="center"/>
          </w:tcPr>
          <w:p w14:paraId="3B271255">
            <w:pPr>
              <w:keepNext w:val="0"/>
              <w:keepLines w:val="0"/>
              <w:widowControl/>
              <w:suppressLineNumbers w:val="0"/>
              <w:jc w:val="center"/>
              <w:textAlignment w:val="center"/>
              <w:rPr>
                <w:rFonts w:hint="default" w:ascii="Times New Roman" w:hAnsi="Times New Roman" w:eastAsia="宋体" w:cs="Times New Roman"/>
                <w:kern w:val="2"/>
                <w:sz w:val="21"/>
                <w:szCs w:val="24"/>
                <w:lang w:val="en-US" w:eastAsia="zh-CN" w:bidi="ar-SA"/>
              </w:rPr>
            </w:pPr>
            <w:r>
              <w:rPr>
                <w:rFonts w:hint="eastAsia" w:eastAsia="等线" w:cs="Times New Roman"/>
                <w:i w:val="0"/>
                <w:iCs w:val="0"/>
                <w:color w:val="000000"/>
                <w:kern w:val="0"/>
                <w:sz w:val="21"/>
                <w:szCs w:val="21"/>
                <w:u w:val="none"/>
                <w:lang w:val="en-US" w:eastAsia="zh-CN" w:bidi="ar"/>
              </w:rPr>
              <w:t>1.827</w:t>
            </w:r>
          </w:p>
        </w:tc>
        <w:tc>
          <w:tcPr>
            <w:tcW w:w="390" w:type="pct"/>
            <w:tcBorders>
              <w:tl2br w:val="nil"/>
              <w:tr2bl w:val="nil"/>
            </w:tcBorders>
            <w:shd w:val="clear" w:color="auto" w:fill="auto"/>
            <w:vAlign w:val="center"/>
          </w:tcPr>
          <w:p w14:paraId="0BAD51DA">
            <w:pPr>
              <w:pStyle w:val="1111"/>
              <w:bidi w:val="0"/>
              <w:rPr>
                <w:rFonts w:hint="default" w:ascii="Times New Roman" w:hAnsi="Times New Roman" w:eastAsia="宋体" w:cs="Times New Roman"/>
                <w:kern w:val="0"/>
                <w:sz w:val="21"/>
                <w:szCs w:val="20"/>
                <w:lang w:val="en-US" w:eastAsia="zh-CN" w:bidi="ar-SA"/>
              </w:rPr>
            </w:pPr>
            <w:r>
              <w:rPr>
                <w:rFonts w:hint="eastAsia"/>
                <w:lang w:val="en-US" w:eastAsia="zh-CN"/>
              </w:rPr>
              <w:t>0.00914</w:t>
            </w:r>
          </w:p>
        </w:tc>
        <w:tc>
          <w:tcPr>
            <w:tcW w:w="365" w:type="pct"/>
            <w:tcBorders>
              <w:tl2br w:val="nil"/>
              <w:tr2bl w:val="nil"/>
            </w:tcBorders>
            <w:shd w:val="clear" w:color="auto" w:fill="auto"/>
            <w:vAlign w:val="center"/>
          </w:tcPr>
          <w:p w14:paraId="02604F5E">
            <w:pPr>
              <w:pStyle w:val="1111"/>
              <w:bidi w:val="0"/>
              <w:rPr>
                <w:rFonts w:hint="default" w:ascii="Times New Roman" w:hAnsi="Times New Roman" w:eastAsia="宋体" w:cs="Times New Roman"/>
                <w:kern w:val="0"/>
                <w:sz w:val="21"/>
                <w:szCs w:val="20"/>
                <w:lang w:val="en-US" w:eastAsia="zh-CN" w:bidi="ar-SA"/>
              </w:rPr>
            </w:pPr>
            <w:r>
              <w:rPr>
                <w:rFonts w:hint="eastAsia"/>
                <w:lang w:val="en-US" w:eastAsia="zh-CN"/>
              </w:rPr>
              <w:t>0.0658</w:t>
            </w:r>
          </w:p>
        </w:tc>
        <w:tc>
          <w:tcPr>
            <w:tcW w:w="486" w:type="pct"/>
            <w:vMerge w:val="restart"/>
            <w:tcBorders>
              <w:tl2br w:val="nil"/>
              <w:tr2bl w:val="nil"/>
            </w:tcBorders>
            <w:shd w:val="clear" w:color="auto" w:fill="auto"/>
            <w:vAlign w:val="center"/>
          </w:tcPr>
          <w:p w14:paraId="790A9FBE">
            <w:pPr>
              <w:pStyle w:val="1111"/>
              <w:bidi w:val="0"/>
              <w:rPr>
                <w:rFonts w:hint="default"/>
                <w:lang w:val="en-US" w:eastAsia="zh-CN"/>
              </w:rPr>
            </w:pPr>
            <w:r>
              <w:rPr>
                <w:rFonts w:hint="eastAsia"/>
                <w:lang w:val="en-US" w:eastAsia="zh-CN"/>
              </w:rPr>
              <w:t>从15m高的排气筒DA001排放</w:t>
            </w:r>
          </w:p>
        </w:tc>
        <w:tc>
          <w:tcPr>
            <w:tcW w:w="247" w:type="pct"/>
            <w:tcBorders>
              <w:tl2br w:val="nil"/>
              <w:tr2bl w:val="nil"/>
            </w:tcBorders>
            <w:shd w:val="clear" w:color="auto" w:fill="auto"/>
            <w:vAlign w:val="center"/>
          </w:tcPr>
          <w:p w14:paraId="146813A8">
            <w:pPr>
              <w:keepNext w:val="0"/>
              <w:keepLines w:val="0"/>
              <w:widowControl/>
              <w:suppressLineNumbers w:val="0"/>
              <w:jc w:val="center"/>
              <w:textAlignment w:val="center"/>
              <w:rPr>
                <w:rFonts w:hint="eastAsia"/>
                <w:lang w:val="en-US" w:eastAsia="zh-CN"/>
              </w:rPr>
            </w:pPr>
            <w:r>
              <w:rPr>
                <w:rFonts w:hint="default" w:ascii="Times New Roman" w:hAnsi="Times New Roman" w:eastAsia="等线" w:cs="Times New Roman"/>
                <w:i w:val="0"/>
                <w:iCs w:val="0"/>
                <w:color w:val="000000"/>
                <w:kern w:val="0"/>
                <w:sz w:val="21"/>
                <w:szCs w:val="21"/>
                <w:u w:val="none"/>
                <w:lang w:val="en-US" w:eastAsia="zh-CN" w:bidi="ar"/>
              </w:rPr>
              <w:t>3</w:t>
            </w:r>
          </w:p>
        </w:tc>
        <w:tc>
          <w:tcPr>
            <w:tcW w:w="293" w:type="pct"/>
            <w:tcBorders>
              <w:tl2br w:val="nil"/>
              <w:tr2bl w:val="nil"/>
            </w:tcBorders>
            <w:shd w:val="clear" w:color="auto" w:fill="auto"/>
            <w:vAlign w:val="center"/>
          </w:tcPr>
          <w:p w14:paraId="52D1ED40">
            <w:pPr>
              <w:keepNext w:val="0"/>
              <w:keepLines w:val="0"/>
              <w:widowControl/>
              <w:suppressLineNumbers w:val="0"/>
              <w:jc w:val="center"/>
              <w:textAlignment w:val="center"/>
              <w:rPr>
                <w:rFonts w:hint="eastAsia"/>
                <w:lang w:val="en-US" w:eastAsia="zh-CN"/>
              </w:rPr>
            </w:pPr>
            <w:r>
              <w:rPr>
                <w:rFonts w:hint="default" w:ascii="Times New Roman" w:hAnsi="Times New Roman" w:eastAsia="等线" w:cs="Times New Roman"/>
                <w:i w:val="0"/>
                <w:iCs w:val="0"/>
                <w:color w:val="000000"/>
                <w:kern w:val="0"/>
                <w:sz w:val="21"/>
                <w:szCs w:val="21"/>
                <w:u w:val="none"/>
                <w:lang w:val="en-US" w:eastAsia="zh-CN" w:bidi="ar"/>
              </w:rPr>
              <w:t>60</w:t>
            </w:r>
          </w:p>
        </w:tc>
      </w:tr>
      <w:tr w14:paraId="485245C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jc w:val="center"/>
        </w:trPr>
        <w:tc>
          <w:tcPr>
            <w:tcW w:w="242" w:type="pct"/>
            <w:vMerge w:val="continue"/>
            <w:tcBorders>
              <w:tl2br w:val="nil"/>
              <w:tr2bl w:val="nil"/>
            </w:tcBorders>
            <w:shd w:val="clear" w:color="auto" w:fill="auto"/>
            <w:vAlign w:val="center"/>
          </w:tcPr>
          <w:p w14:paraId="5D13D714">
            <w:pPr>
              <w:pStyle w:val="1111"/>
              <w:bidi w:val="0"/>
              <w:rPr>
                <w:rFonts w:hint="default"/>
              </w:rPr>
            </w:pPr>
          </w:p>
        </w:tc>
        <w:tc>
          <w:tcPr>
            <w:tcW w:w="495" w:type="pct"/>
            <w:tcBorders>
              <w:tl2br w:val="nil"/>
              <w:tr2bl w:val="nil"/>
            </w:tcBorders>
            <w:shd w:val="clear" w:color="auto" w:fill="auto"/>
            <w:vAlign w:val="center"/>
          </w:tcPr>
          <w:p w14:paraId="22EF3BEC">
            <w:pPr>
              <w:pStyle w:val="1111"/>
              <w:bidi w:val="0"/>
              <w:rPr>
                <w:rFonts w:hint="eastAsia"/>
              </w:rPr>
            </w:pPr>
            <w:r>
              <w:rPr>
                <w:rFonts w:hint="eastAsia"/>
                <w:lang w:val="en-US" w:eastAsia="zh-CN"/>
              </w:rPr>
              <w:t>臭气浓度</w:t>
            </w:r>
          </w:p>
        </w:tc>
        <w:tc>
          <w:tcPr>
            <w:tcW w:w="1006" w:type="pct"/>
            <w:gridSpan w:val="3"/>
            <w:tcBorders>
              <w:tl2br w:val="nil"/>
              <w:tr2bl w:val="nil"/>
            </w:tcBorders>
            <w:shd w:val="clear" w:color="auto" w:fill="auto"/>
            <w:vAlign w:val="center"/>
          </w:tcPr>
          <w:p w14:paraId="221BD9FD">
            <w:pPr>
              <w:pStyle w:val="1111"/>
              <w:bidi w:val="0"/>
              <w:rPr>
                <w:rFonts w:hint="default"/>
              </w:rPr>
            </w:pPr>
            <w:r>
              <w:rPr>
                <w:rFonts w:hint="eastAsia"/>
                <w:lang w:val="en-US" w:eastAsia="zh-CN"/>
              </w:rPr>
              <w:t>49.329（无量纲）</w:t>
            </w:r>
          </w:p>
        </w:tc>
        <w:tc>
          <w:tcPr>
            <w:tcW w:w="230" w:type="pct"/>
            <w:vMerge w:val="continue"/>
            <w:tcBorders>
              <w:tl2br w:val="nil"/>
              <w:tr2bl w:val="nil"/>
            </w:tcBorders>
            <w:shd w:val="clear" w:color="auto" w:fill="auto"/>
            <w:vAlign w:val="center"/>
          </w:tcPr>
          <w:p w14:paraId="5723134C">
            <w:pPr>
              <w:pStyle w:val="1111"/>
              <w:bidi w:val="0"/>
              <w:rPr>
                <w:rFonts w:hint="default"/>
              </w:rPr>
            </w:pPr>
          </w:p>
        </w:tc>
        <w:tc>
          <w:tcPr>
            <w:tcW w:w="226" w:type="pct"/>
            <w:vMerge w:val="continue"/>
            <w:tcBorders>
              <w:tl2br w:val="nil"/>
              <w:tr2bl w:val="nil"/>
            </w:tcBorders>
            <w:shd w:val="clear" w:color="auto" w:fill="auto"/>
            <w:vAlign w:val="center"/>
          </w:tcPr>
          <w:p w14:paraId="19CF7B61">
            <w:pPr>
              <w:pStyle w:val="1111"/>
              <w:bidi w:val="0"/>
              <w:rPr>
                <w:rFonts w:hint="default"/>
              </w:rPr>
            </w:pPr>
          </w:p>
        </w:tc>
        <w:tc>
          <w:tcPr>
            <w:tcW w:w="390" w:type="pct"/>
            <w:vMerge w:val="continue"/>
            <w:tcBorders>
              <w:tl2br w:val="nil"/>
              <w:tr2bl w:val="nil"/>
            </w:tcBorders>
            <w:shd w:val="clear" w:color="auto" w:fill="auto"/>
            <w:vAlign w:val="center"/>
          </w:tcPr>
          <w:p w14:paraId="5D547AE6">
            <w:pPr>
              <w:pStyle w:val="1111"/>
              <w:bidi w:val="0"/>
              <w:rPr>
                <w:rFonts w:hint="eastAsia"/>
              </w:rPr>
            </w:pPr>
          </w:p>
        </w:tc>
        <w:tc>
          <w:tcPr>
            <w:tcW w:w="259" w:type="pct"/>
            <w:tcBorders>
              <w:tl2br w:val="nil"/>
              <w:tr2bl w:val="nil"/>
            </w:tcBorders>
            <w:shd w:val="clear" w:color="auto" w:fill="auto"/>
            <w:vAlign w:val="center"/>
          </w:tcPr>
          <w:p w14:paraId="4FC8CA1A">
            <w:pPr>
              <w:pStyle w:val="1111"/>
              <w:bidi w:val="0"/>
              <w:rPr>
                <w:rFonts w:hint="default" w:eastAsia="宋体"/>
                <w:lang w:val="en-US" w:eastAsia="zh-CN"/>
              </w:rPr>
            </w:pPr>
            <w:r>
              <w:rPr>
                <w:rFonts w:hint="eastAsia"/>
                <w:lang w:val="en-US" w:eastAsia="zh-CN"/>
              </w:rPr>
              <w:t>90</w:t>
            </w:r>
          </w:p>
        </w:tc>
        <w:tc>
          <w:tcPr>
            <w:tcW w:w="1121" w:type="pct"/>
            <w:gridSpan w:val="3"/>
            <w:tcBorders>
              <w:tl2br w:val="nil"/>
              <w:tr2bl w:val="nil"/>
            </w:tcBorders>
            <w:shd w:val="clear" w:color="auto" w:fill="auto"/>
            <w:vAlign w:val="center"/>
          </w:tcPr>
          <w:p w14:paraId="0905BAA5">
            <w:pPr>
              <w:pStyle w:val="1111"/>
              <w:bidi w:val="0"/>
              <w:rPr>
                <w:rFonts w:hint="default"/>
              </w:rPr>
            </w:pPr>
            <w:r>
              <w:rPr>
                <w:rFonts w:hint="eastAsia"/>
                <w:lang w:val="en-US" w:eastAsia="zh-CN"/>
              </w:rPr>
              <w:t>4.933（无量纲）</w:t>
            </w:r>
          </w:p>
        </w:tc>
        <w:tc>
          <w:tcPr>
            <w:tcW w:w="486" w:type="pct"/>
            <w:vMerge w:val="continue"/>
            <w:tcBorders>
              <w:tl2br w:val="nil"/>
              <w:tr2bl w:val="nil"/>
            </w:tcBorders>
            <w:shd w:val="clear" w:color="auto" w:fill="auto"/>
            <w:vAlign w:val="center"/>
          </w:tcPr>
          <w:p w14:paraId="32B04A36">
            <w:pPr>
              <w:pStyle w:val="1111"/>
              <w:bidi w:val="0"/>
              <w:rPr>
                <w:rFonts w:hint="default"/>
                <w:lang w:val="en-US" w:eastAsia="zh-CN"/>
              </w:rPr>
            </w:pPr>
          </w:p>
        </w:tc>
        <w:tc>
          <w:tcPr>
            <w:tcW w:w="540" w:type="pct"/>
            <w:gridSpan w:val="2"/>
            <w:tcBorders>
              <w:tl2br w:val="nil"/>
              <w:tr2bl w:val="nil"/>
            </w:tcBorders>
            <w:shd w:val="clear" w:color="auto" w:fill="auto"/>
            <w:vAlign w:val="center"/>
          </w:tcPr>
          <w:p w14:paraId="433E7684">
            <w:pPr>
              <w:pStyle w:val="1111"/>
              <w:bidi w:val="0"/>
              <w:rPr>
                <w:rFonts w:hint="default"/>
                <w:lang w:val="en-US" w:eastAsia="zh-CN"/>
              </w:rPr>
            </w:pPr>
            <w:r>
              <w:rPr>
                <w:rFonts w:hint="default"/>
                <w:lang w:val="en-US" w:eastAsia="zh-CN"/>
              </w:rPr>
              <w:t>2000</w:t>
            </w:r>
            <w:r>
              <w:rPr>
                <w:rFonts w:hint="eastAsia"/>
                <w:lang w:val="en-US" w:eastAsia="zh-CN"/>
              </w:rPr>
              <w:t>（无量纲）</w:t>
            </w:r>
          </w:p>
        </w:tc>
      </w:tr>
      <w:tr w14:paraId="3F78768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65" w:hRule="atLeast"/>
          <w:jc w:val="center"/>
        </w:trPr>
        <w:tc>
          <w:tcPr>
            <w:tcW w:w="242" w:type="pct"/>
            <w:vMerge w:val="restart"/>
            <w:tcBorders>
              <w:tl2br w:val="nil"/>
              <w:tr2bl w:val="nil"/>
            </w:tcBorders>
            <w:shd w:val="clear" w:color="auto" w:fill="auto"/>
            <w:vAlign w:val="center"/>
          </w:tcPr>
          <w:p w14:paraId="124AC633">
            <w:pPr>
              <w:pStyle w:val="1111"/>
              <w:bidi w:val="0"/>
              <w:rPr>
                <w:rFonts w:hint="default"/>
              </w:rPr>
            </w:pPr>
            <w:r>
              <w:rPr>
                <w:rFonts w:hint="eastAsia"/>
                <w:lang w:val="en-US" w:eastAsia="zh-CN"/>
              </w:rPr>
              <w:t>2</w:t>
            </w:r>
            <w:r>
              <w:rPr>
                <w:rFonts w:hint="default"/>
                <w:lang w:val="en-US" w:eastAsia="zh-CN"/>
              </w:rPr>
              <w:t>#</w:t>
            </w:r>
            <w:r>
              <w:rPr>
                <w:rFonts w:hint="eastAsia"/>
                <w:lang w:val="en-US" w:eastAsia="zh-CN"/>
              </w:rPr>
              <w:t>存储间</w:t>
            </w:r>
          </w:p>
        </w:tc>
        <w:tc>
          <w:tcPr>
            <w:tcW w:w="495" w:type="pct"/>
            <w:tcBorders>
              <w:tl2br w:val="nil"/>
              <w:tr2bl w:val="nil"/>
            </w:tcBorders>
            <w:shd w:val="clear" w:color="auto" w:fill="auto"/>
            <w:vAlign w:val="center"/>
          </w:tcPr>
          <w:p w14:paraId="0AD3BCE0">
            <w:pPr>
              <w:pStyle w:val="1111"/>
              <w:bidi w:val="0"/>
              <w:rPr>
                <w:rFonts w:hint="eastAsia"/>
                <w:lang w:val="en-US" w:eastAsia="zh-CN"/>
              </w:rPr>
            </w:pPr>
            <w:r>
              <w:rPr>
                <w:rFonts w:hint="eastAsia"/>
                <w:lang w:val="en-US" w:eastAsia="zh-CN"/>
              </w:rPr>
              <w:t>非甲烷总烃</w:t>
            </w:r>
          </w:p>
        </w:tc>
        <w:tc>
          <w:tcPr>
            <w:tcW w:w="845" w:type="dxa"/>
            <w:tcBorders>
              <w:tl2br w:val="nil"/>
              <w:tr2bl w:val="nil"/>
            </w:tcBorders>
            <w:shd w:val="clear" w:color="auto" w:fill="auto"/>
            <w:vAlign w:val="center"/>
          </w:tcPr>
          <w:p w14:paraId="008577D4">
            <w:pPr>
              <w:keepNext w:val="0"/>
              <w:keepLines w:val="0"/>
              <w:widowControl/>
              <w:suppressLineNumbers w:val="0"/>
              <w:jc w:val="center"/>
              <w:textAlignment w:val="center"/>
              <w:rPr>
                <w:rFonts w:hint="eastAsia" w:ascii="Times New Roman" w:hAnsi="Times New Roman" w:eastAsia="宋体" w:cs="Times New Roman"/>
                <w:kern w:val="2"/>
                <w:sz w:val="21"/>
                <w:szCs w:val="24"/>
                <w:lang w:val="en-US" w:eastAsia="zh-CN" w:bidi="ar-SA"/>
              </w:rPr>
            </w:pPr>
            <w:r>
              <w:rPr>
                <w:rFonts w:hint="eastAsia" w:eastAsia="等线" w:cs="Times New Roman"/>
                <w:i w:val="0"/>
                <w:iCs w:val="0"/>
                <w:color w:val="000000"/>
                <w:kern w:val="0"/>
                <w:sz w:val="21"/>
                <w:szCs w:val="21"/>
                <w:u w:val="none"/>
                <w:lang w:val="en-US" w:eastAsia="zh-CN" w:bidi="ar"/>
              </w:rPr>
              <w:t>18.27</w:t>
            </w:r>
          </w:p>
        </w:tc>
        <w:tc>
          <w:tcPr>
            <w:tcW w:w="1009" w:type="dxa"/>
            <w:tcBorders>
              <w:tl2br w:val="nil"/>
              <w:tr2bl w:val="nil"/>
            </w:tcBorders>
            <w:shd w:val="clear" w:color="auto" w:fill="auto"/>
            <w:vAlign w:val="center"/>
          </w:tcPr>
          <w:p w14:paraId="671BEF78">
            <w:pPr>
              <w:pStyle w:val="1111"/>
              <w:bidi w:val="0"/>
              <w:rPr>
                <w:rFonts w:hint="eastAsia" w:ascii="Times New Roman" w:hAnsi="Times New Roman" w:eastAsia="宋体" w:cs="Times New Roman"/>
                <w:kern w:val="0"/>
                <w:sz w:val="21"/>
                <w:szCs w:val="20"/>
                <w:lang w:val="en-US" w:eastAsia="zh-CN" w:bidi="ar-SA"/>
              </w:rPr>
            </w:pPr>
            <w:r>
              <w:rPr>
                <w:rFonts w:hint="default"/>
                <w:lang w:val="en-US" w:eastAsia="zh-CN"/>
              </w:rPr>
              <w:t>0.</w:t>
            </w:r>
            <w:r>
              <w:rPr>
                <w:rFonts w:hint="eastAsia"/>
                <w:lang w:val="en-US" w:eastAsia="zh-CN"/>
              </w:rPr>
              <w:t>0914</w:t>
            </w:r>
          </w:p>
        </w:tc>
        <w:tc>
          <w:tcPr>
            <w:tcW w:w="996" w:type="dxa"/>
            <w:tcBorders>
              <w:tl2br w:val="nil"/>
              <w:tr2bl w:val="nil"/>
            </w:tcBorders>
            <w:shd w:val="clear" w:color="auto" w:fill="auto"/>
            <w:vAlign w:val="center"/>
          </w:tcPr>
          <w:p w14:paraId="4C70F207">
            <w:pPr>
              <w:pStyle w:val="1111"/>
              <w:bidi w:val="0"/>
              <w:rPr>
                <w:rFonts w:hint="eastAsia" w:ascii="Times New Roman" w:hAnsi="Times New Roman" w:eastAsia="宋体" w:cs="Times New Roman"/>
                <w:kern w:val="0"/>
                <w:sz w:val="21"/>
                <w:szCs w:val="20"/>
                <w:lang w:val="en-US" w:eastAsia="zh-CN" w:bidi="ar-SA"/>
              </w:rPr>
            </w:pPr>
            <w:r>
              <w:rPr>
                <w:rFonts w:hint="eastAsia"/>
                <w:lang w:val="en-US" w:eastAsia="zh-CN"/>
              </w:rPr>
              <w:t>0.658</w:t>
            </w:r>
          </w:p>
        </w:tc>
        <w:tc>
          <w:tcPr>
            <w:tcW w:w="654" w:type="dxa"/>
            <w:vMerge w:val="restart"/>
            <w:tcBorders>
              <w:tl2br w:val="nil"/>
              <w:tr2bl w:val="nil"/>
            </w:tcBorders>
            <w:shd w:val="clear" w:color="auto" w:fill="auto"/>
            <w:vAlign w:val="center"/>
          </w:tcPr>
          <w:p w14:paraId="243584C2">
            <w:pPr>
              <w:pStyle w:val="1111"/>
              <w:bidi w:val="0"/>
              <w:rPr>
                <w:rFonts w:hint="default" w:ascii="Times New Roman" w:hAnsi="Times New Roman" w:eastAsia="宋体" w:cs="Times New Roman"/>
                <w:kern w:val="0"/>
                <w:sz w:val="21"/>
                <w:szCs w:val="20"/>
                <w:lang w:val="en-US" w:eastAsia="zh-CN" w:bidi="ar-SA"/>
              </w:rPr>
            </w:pPr>
            <w:r>
              <w:rPr>
                <w:rFonts w:hint="eastAsia"/>
                <w:lang w:val="en-US" w:eastAsia="zh-CN"/>
              </w:rPr>
              <w:t>负压收集</w:t>
            </w:r>
          </w:p>
        </w:tc>
        <w:tc>
          <w:tcPr>
            <w:tcW w:w="641" w:type="dxa"/>
            <w:vMerge w:val="restart"/>
            <w:tcBorders>
              <w:tl2br w:val="nil"/>
              <w:tr2bl w:val="nil"/>
            </w:tcBorders>
            <w:shd w:val="clear" w:color="auto" w:fill="auto"/>
            <w:vAlign w:val="center"/>
          </w:tcPr>
          <w:p w14:paraId="09946660">
            <w:pPr>
              <w:pStyle w:val="1111"/>
              <w:bidi w:val="0"/>
              <w:rPr>
                <w:rFonts w:hint="default" w:ascii="Times New Roman" w:hAnsi="Times New Roman" w:eastAsia="宋体" w:cs="Times New Roman"/>
                <w:kern w:val="0"/>
                <w:sz w:val="21"/>
                <w:szCs w:val="20"/>
                <w:lang w:val="en-US" w:eastAsia="zh-CN" w:bidi="ar-SA"/>
              </w:rPr>
            </w:pPr>
            <w:r>
              <w:rPr>
                <w:rFonts w:hint="eastAsia"/>
                <w:lang w:val="en-US" w:eastAsia="zh-CN"/>
              </w:rPr>
              <w:t>90</w:t>
            </w:r>
          </w:p>
        </w:tc>
        <w:tc>
          <w:tcPr>
            <w:tcW w:w="1105" w:type="dxa"/>
            <w:vMerge w:val="restart"/>
            <w:tcBorders>
              <w:tl2br w:val="nil"/>
              <w:tr2bl w:val="nil"/>
            </w:tcBorders>
            <w:shd w:val="clear" w:color="auto" w:fill="auto"/>
            <w:vAlign w:val="center"/>
          </w:tcPr>
          <w:p w14:paraId="450730E2">
            <w:pPr>
              <w:pStyle w:val="1111"/>
              <w:bidi w:val="0"/>
              <w:rPr>
                <w:rFonts w:hint="eastAsia" w:ascii="Times New Roman" w:hAnsi="Times New Roman" w:eastAsia="宋体" w:cs="Times New Roman"/>
                <w:kern w:val="0"/>
                <w:sz w:val="21"/>
                <w:szCs w:val="20"/>
                <w:lang w:val="en-US" w:eastAsia="zh-CN" w:bidi="ar-SA"/>
              </w:rPr>
            </w:pPr>
            <w:r>
              <w:rPr>
                <w:rFonts w:hint="eastAsia"/>
                <w:lang w:val="en-US" w:eastAsia="zh-CN"/>
              </w:rPr>
              <w:t>一级碱吸收</w:t>
            </w:r>
            <w:r>
              <w:rPr>
                <w:rFonts w:hint="default"/>
                <w:lang w:val="en-US" w:eastAsia="zh-CN"/>
              </w:rPr>
              <w:t>+</w:t>
            </w:r>
            <w:r>
              <w:rPr>
                <w:rFonts w:hint="eastAsia"/>
                <w:lang w:val="en-US" w:eastAsia="zh-CN"/>
              </w:rPr>
              <w:t>一级活性炭附</w:t>
            </w:r>
          </w:p>
        </w:tc>
        <w:tc>
          <w:tcPr>
            <w:tcW w:w="736" w:type="dxa"/>
            <w:tcBorders>
              <w:tl2br w:val="nil"/>
              <w:tr2bl w:val="nil"/>
            </w:tcBorders>
            <w:shd w:val="clear" w:color="auto" w:fill="auto"/>
            <w:vAlign w:val="center"/>
          </w:tcPr>
          <w:p w14:paraId="0C41ED6E">
            <w:pPr>
              <w:pStyle w:val="1111"/>
              <w:bidi w:val="0"/>
              <w:rPr>
                <w:rFonts w:hint="default" w:ascii="Times New Roman" w:hAnsi="Times New Roman" w:eastAsia="宋体" w:cs="Times New Roman"/>
                <w:kern w:val="0"/>
                <w:sz w:val="21"/>
                <w:szCs w:val="20"/>
                <w:lang w:val="en-US" w:eastAsia="zh-CN" w:bidi="ar-SA"/>
              </w:rPr>
            </w:pPr>
            <w:r>
              <w:rPr>
                <w:rFonts w:hint="eastAsia"/>
                <w:lang w:val="en-US" w:eastAsia="zh-CN"/>
              </w:rPr>
              <w:t>90</w:t>
            </w:r>
          </w:p>
        </w:tc>
        <w:tc>
          <w:tcPr>
            <w:tcW w:w="1036" w:type="dxa"/>
            <w:tcBorders>
              <w:tl2br w:val="nil"/>
              <w:tr2bl w:val="nil"/>
            </w:tcBorders>
            <w:shd w:val="clear" w:color="auto" w:fill="auto"/>
            <w:vAlign w:val="center"/>
          </w:tcPr>
          <w:p w14:paraId="0CD89FA0">
            <w:pPr>
              <w:keepNext w:val="0"/>
              <w:keepLines w:val="0"/>
              <w:widowControl/>
              <w:suppressLineNumbers w:val="0"/>
              <w:jc w:val="center"/>
              <w:textAlignment w:val="center"/>
              <w:rPr>
                <w:rFonts w:hint="default" w:ascii="Times New Roman" w:hAnsi="Times New Roman" w:eastAsia="宋体" w:cs="Times New Roman"/>
                <w:kern w:val="2"/>
                <w:sz w:val="21"/>
                <w:szCs w:val="24"/>
                <w:lang w:val="en-US" w:eastAsia="zh-CN" w:bidi="ar-SA"/>
              </w:rPr>
            </w:pPr>
            <w:r>
              <w:rPr>
                <w:rFonts w:hint="eastAsia" w:eastAsia="等线" w:cs="Times New Roman"/>
                <w:i w:val="0"/>
                <w:iCs w:val="0"/>
                <w:color w:val="000000"/>
                <w:kern w:val="0"/>
                <w:sz w:val="21"/>
                <w:szCs w:val="21"/>
                <w:u w:val="none"/>
                <w:lang w:val="en-US" w:eastAsia="zh-CN" w:bidi="ar"/>
              </w:rPr>
              <w:t>1.827</w:t>
            </w:r>
          </w:p>
        </w:tc>
        <w:tc>
          <w:tcPr>
            <w:tcW w:w="1105" w:type="dxa"/>
            <w:tcBorders>
              <w:tl2br w:val="nil"/>
              <w:tr2bl w:val="nil"/>
            </w:tcBorders>
            <w:shd w:val="clear" w:color="auto" w:fill="auto"/>
            <w:vAlign w:val="center"/>
          </w:tcPr>
          <w:p w14:paraId="6D3A8A9B">
            <w:pPr>
              <w:pStyle w:val="1111"/>
              <w:bidi w:val="0"/>
              <w:rPr>
                <w:rFonts w:hint="default" w:ascii="Times New Roman" w:hAnsi="Times New Roman" w:eastAsia="宋体" w:cs="Times New Roman"/>
                <w:kern w:val="0"/>
                <w:sz w:val="21"/>
                <w:szCs w:val="20"/>
                <w:lang w:val="en-US" w:eastAsia="zh-CN" w:bidi="ar-SA"/>
              </w:rPr>
            </w:pPr>
            <w:r>
              <w:rPr>
                <w:rFonts w:hint="eastAsia"/>
                <w:lang w:val="en-US" w:eastAsia="zh-CN"/>
              </w:rPr>
              <w:t>0.00914</w:t>
            </w:r>
          </w:p>
        </w:tc>
        <w:tc>
          <w:tcPr>
            <w:tcW w:w="1036" w:type="dxa"/>
            <w:tcBorders>
              <w:tl2br w:val="nil"/>
              <w:tr2bl w:val="nil"/>
            </w:tcBorders>
            <w:shd w:val="clear" w:color="auto" w:fill="auto"/>
            <w:vAlign w:val="center"/>
          </w:tcPr>
          <w:p w14:paraId="4901D8B6">
            <w:pPr>
              <w:pStyle w:val="1111"/>
              <w:bidi w:val="0"/>
              <w:rPr>
                <w:rFonts w:hint="default" w:ascii="Times New Roman" w:hAnsi="Times New Roman" w:eastAsia="宋体" w:cs="Times New Roman"/>
                <w:kern w:val="0"/>
                <w:sz w:val="21"/>
                <w:szCs w:val="20"/>
                <w:lang w:val="en-US" w:eastAsia="zh-CN" w:bidi="ar-SA"/>
              </w:rPr>
            </w:pPr>
            <w:r>
              <w:rPr>
                <w:rFonts w:hint="eastAsia"/>
                <w:lang w:val="en-US" w:eastAsia="zh-CN"/>
              </w:rPr>
              <w:t>0.0658</w:t>
            </w:r>
          </w:p>
        </w:tc>
        <w:tc>
          <w:tcPr>
            <w:tcW w:w="486" w:type="pct"/>
            <w:vMerge w:val="restart"/>
            <w:tcBorders>
              <w:tl2br w:val="nil"/>
              <w:tr2bl w:val="nil"/>
            </w:tcBorders>
            <w:shd w:val="clear" w:color="auto" w:fill="auto"/>
            <w:vAlign w:val="center"/>
          </w:tcPr>
          <w:p w14:paraId="33897AFE">
            <w:pPr>
              <w:pStyle w:val="1111"/>
              <w:bidi w:val="0"/>
              <w:rPr>
                <w:rFonts w:hint="default"/>
                <w:lang w:val="en-US" w:eastAsia="zh-CN"/>
              </w:rPr>
            </w:pPr>
            <w:r>
              <w:rPr>
                <w:rFonts w:hint="eastAsia"/>
                <w:lang w:val="en-US" w:eastAsia="zh-CN"/>
              </w:rPr>
              <w:t>从15m高的排气筒DA002排放</w:t>
            </w:r>
          </w:p>
        </w:tc>
        <w:tc>
          <w:tcPr>
            <w:tcW w:w="247" w:type="pct"/>
            <w:tcBorders>
              <w:tl2br w:val="nil"/>
              <w:tr2bl w:val="nil"/>
            </w:tcBorders>
            <w:shd w:val="clear" w:color="auto" w:fill="auto"/>
            <w:vAlign w:val="center"/>
          </w:tcPr>
          <w:p w14:paraId="4F1CB45C">
            <w:pPr>
              <w:keepNext w:val="0"/>
              <w:keepLines w:val="0"/>
              <w:widowControl/>
              <w:suppressLineNumbers w:val="0"/>
              <w:jc w:val="center"/>
              <w:textAlignment w:val="center"/>
              <w:rPr>
                <w:rFonts w:hint="eastAsia"/>
                <w:lang w:val="en-US" w:eastAsia="zh-CN"/>
              </w:rPr>
            </w:pPr>
            <w:r>
              <w:rPr>
                <w:rFonts w:hint="default" w:ascii="Times New Roman" w:hAnsi="Times New Roman" w:eastAsia="等线" w:cs="Times New Roman"/>
                <w:i w:val="0"/>
                <w:iCs w:val="0"/>
                <w:color w:val="000000"/>
                <w:kern w:val="0"/>
                <w:sz w:val="21"/>
                <w:szCs w:val="21"/>
                <w:u w:val="none"/>
                <w:lang w:val="en-US" w:eastAsia="zh-CN" w:bidi="ar"/>
              </w:rPr>
              <w:t>3</w:t>
            </w:r>
          </w:p>
        </w:tc>
        <w:tc>
          <w:tcPr>
            <w:tcW w:w="293" w:type="pct"/>
            <w:tcBorders>
              <w:tl2br w:val="nil"/>
              <w:tr2bl w:val="nil"/>
            </w:tcBorders>
            <w:shd w:val="clear" w:color="auto" w:fill="auto"/>
            <w:vAlign w:val="center"/>
          </w:tcPr>
          <w:p w14:paraId="65C5ADBA">
            <w:pPr>
              <w:keepNext w:val="0"/>
              <w:keepLines w:val="0"/>
              <w:widowControl/>
              <w:suppressLineNumbers w:val="0"/>
              <w:jc w:val="center"/>
              <w:textAlignment w:val="center"/>
              <w:rPr>
                <w:rFonts w:hint="eastAsia"/>
                <w:lang w:val="en-US" w:eastAsia="zh-CN"/>
              </w:rPr>
            </w:pPr>
            <w:r>
              <w:rPr>
                <w:rFonts w:hint="default" w:ascii="Times New Roman" w:hAnsi="Times New Roman" w:eastAsia="等线" w:cs="Times New Roman"/>
                <w:i w:val="0"/>
                <w:iCs w:val="0"/>
                <w:color w:val="000000"/>
                <w:kern w:val="0"/>
                <w:sz w:val="21"/>
                <w:szCs w:val="21"/>
                <w:u w:val="none"/>
                <w:lang w:val="en-US" w:eastAsia="zh-CN" w:bidi="ar"/>
              </w:rPr>
              <w:t>60</w:t>
            </w:r>
          </w:p>
        </w:tc>
      </w:tr>
      <w:tr w14:paraId="13EE1BD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21" w:hRule="atLeast"/>
          <w:jc w:val="center"/>
        </w:trPr>
        <w:tc>
          <w:tcPr>
            <w:tcW w:w="242" w:type="pct"/>
            <w:vMerge w:val="continue"/>
            <w:tcBorders>
              <w:tl2br w:val="nil"/>
              <w:tr2bl w:val="nil"/>
            </w:tcBorders>
            <w:shd w:val="clear" w:color="auto" w:fill="auto"/>
            <w:vAlign w:val="center"/>
          </w:tcPr>
          <w:p w14:paraId="1EB0EEA0">
            <w:pPr>
              <w:pStyle w:val="1111"/>
              <w:bidi w:val="0"/>
              <w:rPr>
                <w:rFonts w:hint="default"/>
              </w:rPr>
            </w:pPr>
          </w:p>
        </w:tc>
        <w:tc>
          <w:tcPr>
            <w:tcW w:w="495" w:type="pct"/>
            <w:tcBorders>
              <w:tl2br w:val="nil"/>
              <w:tr2bl w:val="nil"/>
            </w:tcBorders>
            <w:shd w:val="clear" w:color="auto" w:fill="auto"/>
            <w:vAlign w:val="center"/>
          </w:tcPr>
          <w:p w14:paraId="7E90CE2A">
            <w:pPr>
              <w:pStyle w:val="1111"/>
              <w:bidi w:val="0"/>
              <w:rPr>
                <w:rFonts w:hint="eastAsia"/>
                <w:lang w:val="en-US" w:eastAsia="zh-CN"/>
              </w:rPr>
            </w:pPr>
            <w:r>
              <w:rPr>
                <w:rFonts w:hint="eastAsia"/>
                <w:lang w:val="en-US" w:eastAsia="zh-CN"/>
              </w:rPr>
              <w:t>臭气浓度</w:t>
            </w:r>
          </w:p>
        </w:tc>
        <w:tc>
          <w:tcPr>
            <w:tcW w:w="2850" w:type="dxa"/>
            <w:gridSpan w:val="3"/>
            <w:tcBorders>
              <w:tl2br w:val="nil"/>
              <w:tr2bl w:val="nil"/>
            </w:tcBorders>
            <w:shd w:val="clear" w:color="auto" w:fill="auto"/>
            <w:vAlign w:val="center"/>
          </w:tcPr>
          <w:p w14:paraId="711DEEE9">
            <w:pPr>
              <w:pStyle w:val="1111"/>
              <w:bidi w:val="0"/>
              <w:rPr>
                <w:rFonts w:hint="eastAsia"/>
                <w:lang w:val="en-US" w:eastAsia="zh-CN"/>
              </w:rPr>
            </w:pPr>
            <w:r>
              <w:rPr>
                <w:rFonts w:hint="eastAsia"/>
                <w:lang w:val="en-US" w:eastAsia="zh-CN"/>
              </w:rPr>
              <w:t>49.329（无量纲）</w:t>
            </w:r>
          </w:p>
        </w:tc>
        <w:tc>
          <w:tcPr>
            <w:tcW w:w="654" w:type="dxa"/>
            <w:vMerge w:val="continue"/>
            <w:tcBorders>
              <w:tl2br w:val="nil"/>
              <w:tr2bl w:val="nil"/>
            </w:tcBorders>
            <w:shd w:val="clear" w:color="auto" w:fill="auto"/>
            <w:vAlign w:val="center"/>
          </w:tcPr>
          <w:p w14:paraId="20427554">
            <w:pPr>
              <w:pStyle w:val="1111"/>
              <w:bidi w:val="0"/>
              <w:rPr>
                <w:rFonts w:hint="default"/>
              </w:rPr>
            </w:pPr>
          </w:p>
        </w:tc>
        <w:tc>
          <w:tcPr>
            <w:tcW w:w="641" w:type="dxa"/>
            <w:vMerge w:val="continue"/>
            <w:tcBorders>
              <w:tl2br w:val="nil"/>
              <w:tr2bl w:val="nil"/>
            </w:tcBorders>
            <w:shd w:val="clear" w:color="auto" w:fill="auto"/>
            <w:vAlign w:val="center"/>
          </w:tcPr>
          <w:p w14:paraId="7DE6B216">
            <w:pPr>
              <w:pStyle w:val="1111"/>
              <w:bidi w:val="0"/>
              <w:rPr>
                <w:rFonts w:hint="default"/>
              </w:rPr>
            </w:pPr>
          </w:p>
        </w:tc>
        <w:tc>
          <w:tcPr>
            <w:tcW w:w="1105" w:type="dxa"/>
            <w:vMerge w:val="continue"/>
            <w:tcBorders>
              <w:tl2br w:val="nil"/>
              <w:tr2bl w:val="nil"/>
            </w:tcBorders>
            <w:shd w:val="clear" w:color="auto" w:fill="auto"/>
            <w:vAlign w:val="center"/>
          </w:tcPr>
          <w:p w14:paraId="5DBC4198">
            <w:pPr>
              <w:pStyle w:val="1111"/>
              <w:bidi w:val="0"/>
              <w:rPr>
                <w:rFonts w:hint="eastAsia"/>
              </w:rPr>
            </w:pPr>
          </w:p>
        </w:tc>
        <w:tc>
          <w:tcPr>
            <w:tcW w:w="736" w:type="dxa"/>
            <w:tcBorders>
              <w:tl2br w:val="nil"/>
              <w:tr2bl w:val="nil"/>
            </w:tcBorders>
            <w:shd w:val="clear" w:color="auto" w:fill="auto"/>
            <w:vAlign w:val="center"/>
          </w:tcPr>
          <w:p w14:paraId="739F5AD1">
            <w:pPr>
              <w:pStyle w:val="1111"/>
              <w:bidi w:val="0"/>
              <w:rPr>
                <w:rFonts w:hint="default"/>
              </w:rPr>
            </w:pPr>
            <w:r>
              <w:rPr>
                <w:rFonts w:hint="eastAsia"/>
                <w:lang w:val="en-US" w:eastAsia="zh-CN"/>
              </w:rPr>
              <w:t>90</w:t>
            </w:r>
          </w:p>
        </w:tc>
        <w:tc>
          <w:tcPr>
            <w:tcW w:w="3177" w:type="dxa"/>
            <w:gridSpan w:val="3"/>
            <w:tcBorders>
              <w:tl2br w:val="nil"/>
              <w:tr2bl w:val="nil"/>
            </w:tcBorders>
            <w:shd w:val="clear" w:color="auto" w:fill="auto"/>
            <w:vAlign w:val="center"/>
          </w:tcPr>
          <w:p w14:paraId="49E564C2">
            <w:pPr>
              <w:pStyle w:val="1111"/>
              <w:bidi w:val="0"/>
              <w:rPr>
                <w:rFonts w:hint="default"/>
                <w:lang w:val="en-US" w:eastAsia="zh-CN"/>
              </w:rPr>
            </w:pPr>
            <w:r>
              <w:rPr>
                <w:rFonts w:hint="eastAsia"/>
                <w:lang w:val="en-US" w:eastAsia="zh-CN"/>
              </w:rPr>
              <w:t>4.933（无量纲）</w:t>
            </w:r>
          </w:p>
        </w:tc>
        <w:tc>
          <w:tcPr>
            <w:tcW w:w="486" w:type="pct"/>
            <w:vMerge w:val="continue"/>
            <w:tcBorders>
              <w:tl2br w:val="nil"/>
              <w:tr2bl w:val="nil"/>
            </w:tcBorders>
            <w:shd w:val="clear" w:color="auto" w:fill="auto"/>
            <w:vAlign w:val="center"/>
          </w:tcPr>
          <w:p w14:paraId="5683AF7B">
            <w:pPr>
              <w:pStyle w:val="1111"/>
              <w:bidi w:val="0"/>
              <w:rPr>
                <w:rFonts w:hint="default"/>
                <w:lang w:val="en-US" w:eastAsia="zh-CN"/>
              </w:rPr>
            </w:pPr>
          </w:p>
        </w:tc>
        <w:tc>
          <w:tcPr>
            <w:tcW w:w="540" w:type="pct"/>
            <w:gridSpan w:val="2"/>
            <w:tcBorders>
              <w:tl2br w:val="nil"/>
              <w:tr2bl w:val="nil"/>
            </w:tcBorders>
            <w:shd w:val="clear" w:color="auto" w:fill="auto"/>
            <w:vAlign w:val="center"/>
          </w:tcPr>
          <w:p w14:paraId="133338A0">
            <w:pPr>
              <w:pStyle w:val="1111"/>
              <w:bidi w:val="0"/>
              <w:rPr>
                <w:rFonts w:hint="default"/>
                <w:lang w:val="en-US" w:eastAsia="zh-CN"/>
              </w:rPr>
            </w:pPr>
            <w:r>
              <w:rPr>
                <w:rFonts w:hint="default"/>
                <w:lang w:val="en-US" w:eastAsia="zh-CN"/>
              </w:rPr>
              <w:t>2000</w:t>
            </w:r>
            <w:r>
              <w:rPr>
                <w:rFonts w:hint="eastAsia"/>
                <w:lang w:val="en-US" w:eastAsia="zh-CN"/>
              </w:rPr>
              <w:t>（无量纲）</w:t>
            </w:r>
          </w:p>
        </w:tc>
      </w:tr>
      <w:tr w14:paraId="7ACFC92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jc w:val="center"/>
        </w:trPr>
        <w:tc>
          <w:tcPr>
            <w:tcW w:w="242" w:type="pct"/>
            <w:vMerge w:val="restart"/>
            <w:tcBorders>
              <w:tl2br w:val="nil"/>
              <w:tr2bl w:val="nil"/>
            </w:tcBorders>
            <w:shd w:val="clear" w:color="auto" w:fill="auto"/>
            <w:vAlign w:val="center"/>
          </w:tcPr>
          <w:p w14:paraId="72A23D97">
            <w:pPr>
              <w:pStyle w:val="1111"/>
              <w:bidi w:val="0"/>
              <w:rPr>
                <w:rFonts w:hint="default"/>
              </w:rPr>
            </w:pPr>
            <w:r>
              <w:rPr>
                <w:rFonts w:hint="eastAsia"/>
                <w:lang w:val="en-US" w:eastAsia="zh-CN"/>
              </w:rPr>
              <w:t>3</w:t>
            </w:r>
            <w:r>
              <w:rPr>
                <w:rFonts w:hint="default"/>
                <w:lang w:val="en-US" w:eastAsia="zh-CN"/>
              </w:rPr>
              <w:t>#</w:t>
            </w:r>
            <w:r>
              <w:rPr>
                <w:rFonts w:hint="eastAsia"/>
                <w:lang w:val="en-US" w:eastAsia="zh-CN"/>
              </w:rPr>
              <w:t>存储间</w:t>
            </w:r>
          </w:p>
        </w:tc>
        <w:tc>
          <w:tcPr>
            <w:tcW w:w="495" w:type="pct"/>
            <w:tcBorders>
              <w:tl2br w:val="nil"/>
              <w:tr2bl w:val="nil"/>
            </w:tcBorders>
            <w:shd w:val="clear" w:color="auto" w:fill="auto"/>
            <w:vAlign w:val="center"/>
          </w:tcPr>
          <w:p w14:paraId="30962A21">
            <w:pPr>
              <w:pStyle w:val="1111"/>
              <w:bidi w:val="0"/>
              <w:rPr>
                <w:rFonts w:hint="eastAsia"/>
                <w:lang w:val="en-US" w:eastAsia="zh-CN"/>
              </w:rPr>
            </w:pPr>
            <w:r>
              <w:rPr>
                <w:rFonts w:hint="eastAsia"/>
                <w:lang w:val="en-US" w:eastAsia="zh-CN"/>
              </w:rPr>
              <w:t>非甲烷总烃</w:t>
            </w:r>
          </w:p>
        </w:tc>
        <w:tc>
          <w:tcPr>
            <w:tcW w:w="845" w:type="dxa"/>
            <w:tcBorders>
              <w:tl2br w:val="nil"/>
              <w:tr2bl w:val="nil"/>
            </w:tcBorders>
            <w:shd w:val="clear" w:color="auto" w:fill="auto"/>
            <w:vAlign w:val="center"/>
          </w:tcPr>
          <w:p w14:paraId="6729238B">
            <w:pPr>
              <w:keepNext w:val="0"/>
              <w:keepLines w:val="0"/>
              <w:widowControl/>
              <w:suppressLineNumbers w:val="0"/>
              <w:jc w:val="center"/>
              <w:textAlignment w:val="center"/>
              <w:rPr>
                <w:rFonts w:hint="eastAsia" w:ascii="Times New Roman" w:hAnsi="Times New Roman" w:eastAsia="宋体" w:cs="Times New Roman"/>
                <w:kern w:val="2"/>
                <w:sz w:val="21"/>
                <w:szCs w:val="24"/>
                <w:lang w:val="en-US" w:eastAsia="zh-CN" w:bidi="ar-SA"/>
              </w:rPr>
            </w:pPr>
            <w:r>
              <w:rPr>
                <w:rFonts w:hint="eastAsia" w:eastAsia="等线" w:cs="Times New Roman"/>
                <w:i w:val="0"/>
                <w:iCs w:val="0"/>
                <w:color w:val="000000"/>
                <w:kern w:val="0"/>
                <w:sz w:val="21"/>
                <w:szCs w:val="21"/>
                <w:u w:val="none"/>
                <w:lang w:val="en-US" w:eastAsia="zh-CN" w:bidi="ar"/>
              </w:rPr>
              <w:t>18.27</w:t>
            </w:r>
          </w:p>
        </w:tc>
        <w:tc>
          <w:tcPr>
            <w:tcW w:w="1009" w:type="dxa"/>
            <w:tcBorders>
              <w:tl2br w:val="nil"/>
              <w:tr2bl w:val="nil"/>
            </w:tcBorders>
            <w:shd w:val="clear" w:color="auto" w:fill="auto"/>
            <w:vAlign w:val="center"/>
          </w:tcPr>
          <w:p w14:paraId="640FF13D">
            <w:pPr>
              <w:pStyle w:val="1111"/>
              <w:bidi w:val="0"/>
              <w:rPr>
                <w:rFonts w:hint="eastAsia" w:ascii="Times New Roman" w:hAnsi="Times New Roman" w:eastAsia="宋体" w:cs="Times New Roman"/>
                <w:kern w:val="0"/>
                <w:sz w:val="21"/>
                <w:szCs w:val="20"/>
                <w:lang w:val="en-US" w:eastAsia="zh-CN" w:bidi="ar-SA"/>
              </w:rPr>
            </w:pPr>
            <w:r>
              <w:rPr>
                <w:rFonts w:hint="default"/>
                <w:lang w:val="en-US" w:eastAsia="zh-CN"/>
              </w:rPr>
              <w:t>0.</w:t>
            </w:r>
            <w:r>
              <w:rPr>
                <w:rFonts w:hint="eastAsia"/>
                <w:lang w:val="en-US" w:eastAsia="zh-CN"/>
              </w:rPr>
              <w:t>0914</w:t>
            </w:r>
          </w:p>
        </w:tc>
        <w:tc>
          <w:tcPr>
            <w:tcW w:w="996" w:type="dxa"/>
            <w:tcBorders>
              <w:tl2br w:val="nil"/>
              <w:tr2bl w:val="nil"/>
            </w:tcBorders>
            <w:shd w:val="clear" w:color="auto" w:fill="auto"/>
            <w:vAlign w:val="center"/>
          </w:tcPr>
          <w:p w14:paraId="222E4EE6">
            <w:pPr>
              <w:pStyle w:val="1111"/>
              <w:bidi w:val="0"/>
              <w:rPr>
                <w:rFonts w:hint="eastAsia" w:ascii="Times New Roman" w:hAnsi="Times New Roman" w:eastAsia="宋体" w:cs="Times New Roman"/>
                <w:kern w:val="0"/>
                <w:sz w:val="21"/>
                <w:szCs w:val="20"/>
                <w:lang w:val="en-US" w:eastAsia="zh-CN" w:bidi="ar-SA"/>
              </w:rPr>
            </w:pPr>
            <w:r>
              <w:rPr>
                <w:rFonts w:hint="eastAsia"/>
                <w:lang w:val="en-US" w:eastAsia="zh-CN"/>
              </w:rPr>
              <w:t>0.658</w:t>
            </w:r>
          </w:p>
        </w:tc>
        <w:tc>
          <w:tcPr>
            <w:tcW w:w="654" w:type="dxa"/>
            <w:vMerge w:val="restart"/>
            <w:tcBorders>
              <w:tl2br w:val="nil"/>
              <w:tr2bl w:val="nil"/>
            </w:tcBorders>
            <w:shd w:val="clear" w:color="auto" w:fill="auto"/>
            <w:vAlign w:val="center"/>
          </w:tcPr>
          <w:p w14:paraId="7ECD2BEA">
            <w:pPr>
              <w:pStyle w:val="1111"/>
              <w:bidi w:val="0"/>
              <w:rPr>
                <w:rFonts w:hint="default" w:ascii="Times New Roman" w:hAnsi="Times New Roman" w:eastAsia="宋体" w:cs="Times New Roman"/>
                <w:kern w:val="0"/>
                <w:sz w:val="21"/>
                <w:szCs w:val="20"/>
                <w:lang w:val="en-US" w:eastAsia="zh-CN" w:bidi="ar-SA"/>
              </w:rPr>
            </w:pPr>
            <w:r>
              <w:rPr>
                <w:rFonts w:hint="eastAsia"/>
                <w:lang w:val="en-US" w:eastAsia="zh-CN"/>
              </w:rPr>
              <w:t>负压收集</w:t>
            </w:r>
          </w:p>
        </w:tc>
        <w:tc>
          <w:tcPr>
            <w:tcW w:w="641" w:type="dxa"/>
            <w:vMerge w:val="restart"/>
            <w:tcBorders>
              <w:tl2br w:val="nil"/>
              <w:tr2bl w:val="nil"/>
            </w:tcBorders>
            <w:shd w:val="clear" w:color="auto" w:fill="auto"/>
            <w:vAlign w:val="center"/>
          </w:tcPr>
          <w:p w14:paraId="1FD68D62">
            <w:pPr>
              <w:pStyle w:val="1111"/>
              <w:bidi w:val="0"/>
              <w:rPr>
                <w:rFonts w:hint="default" w:ascii="Times New Roman" w:hAnsi="Times New Roman" w:eastAsia="宋体" w:cs="Times New Roman"/>
                <w:kern w:val="0"/>
                <w:sz w:val="21"/>
                <w:szCs w:val="20"/>
                <w:lang w:val="en-US" w:eastAsia="zh-CN" w:bidi="ar-SA"/>
              </w:rPr>
            </w:pPr>
            <w:r>
              <w:rPr>
                <w:rFonts w:hint="eastAsia"/>
                <w:lang w:val="en-US" w:eastAsia="zh-CN"/>
              </w:rPr>
              <w:t>90</w:t>
            </w:r>
          </w:p>
        </w:tc>
        <w:tc>
          <w:tcPr>
            <w:tcW w:w="1105" w:type="dxa"/>
            <w:vMerge w:val="restart"/>
            <w:tcBorders>
              <w:tl2br w:val="nil"/>
              <w:tr2bl w:val="nil"/>
            </w:tcBorders>
            <w:shd w:val="clear" w:color="auto" w:fill="auto"/>
            <w:vAlign w:val="center"/>
          </w:tcPr>
          <w:p w14:paraId="3B6B5E63">
            <w:pPr>
              <w:pStyle w:val="1111"/>
              <w:bidi w:val="0"/>
              <w:rPr>
                <w:rFonts w:hint="eastAsia" w:ascii="Times New Roman" w:hAnsi="Times New Roman" w:eastAsia="宋体" w:cs="Times New Roman"/>
                <w:kern w:val="0"/>
                <w:sz w:val="21"/>
                <w:szCs w:val="20"/>
                <w:lang w:val="en-US" w:eastAsia="zh-CN" w:bidi="ar-SA"/>
              </w:rPr>
            </w:pPr>
            <w:r>
              <w:rPr>
                <w:rFonts w:hint="eastAsia"/>
                <w:lang w:val="en-US" w:eastAsia="zh-CN"/>
              </w:rPr>
              <w:t>一级碱吸收</w:t>
            </w:r>
            <w:r>
              <w:rPr>
                <w:rFonts w:hint="default"/>
                <w:lang w:val="en-US" w:eastAsia="zh-CN"/>
              </w:rPr>
              <w:t>+</w:t>
            </w:r>
            <w:r>
              <w:rPr>
                <w:rFonts w:hint="eastAsia"/>
                <w:lang w:val="en-US" w:eastAsia="zh-CN"/>
              </w:rPr>
              <w:t>一级活性炭附</w:t>
            </w:r>
          </w:p>
        </w:tc>
        <w:tc>
          <w:tcPr>
            <w:tcW w:w="736" w:type="dxa"/>
            <w:tcBorders>
              <w:tl2br w:val="nil"/>
              <w:tr2bl w:val="nil"/>
            </w:tcBorders>
            <w:shd w:val="clear" w:color="auto" w:fill="auto"/>
            <w:vAlign w:val="center"/>
          </w:tcPr>
          <w:p w14:paraId="13A50A14">
            <w:pPr>
              <w:pStyle w:val="1111"/>
              <w:bidi w:val="0"/>
              <w:rPr>
                <w:rFonts w:hint="default" w:ascii="Times New Roman" w:hAnsi="Times New Roman" w:eastAsia="宋体" w:cs="Times New Roman"/>
                <w:kern w:val="0"/>
                <w:sz w:val="21"/>
                <w:szCs w:val="20"/>
                <w:lang w:val="en-US" w:eastAsia="zh-CN" w:bidi="ar-SA"/>
              </w:rPr>
            </w:pPr>
            <w:r>
              <w:rPr>
                <w:rFonts w:hint="eastAsia"/>
                <w:lang w:val="en-US" w:eastAsia="zh-CN"/>
              </w:rPr>
              <w:t>90</w:t>
            </w:r>
          </w:p>
        </w:tc>
        <w:tc>
          <w:tcPr>
            <w:tcW w:w="1036" w:type="dxa"/>
            <w:tcBorders>
              <w:tl2br w:val="nil"/>
              <w:tr2bl w:val="nil"/>
            </w:tcBorders>
            <w:shd w:val="clear" w:color="auto" w:fill="auto"/>
            <w:vAlign w:val="center"/>
          </w:tcPr>
          <w:p w14:paraId="5723C70B">
            <w:pPr>
              <w:keepNext w:val="0"/>
              <w:keepLines w:val="0"/>
              <w:widowControl/>
              <w:suppressLineNumbers w:val="0"/>
              <w:jc w:val="center"/>
              <w:textAlignment w:val="center"/>
              <w:rPr>
                <w:rFonts w:hint="default" w:ascii="Times New Roman" w:hAnsi="Times New Roman" w:eastAsia="宋体" w:cs="Times New Roman"/>
                <w:kern w:val="2"/>
                <w:sz w:val="21"/>
                <w:szCs w:val="24"/>
                <w:lang w:val="en-US" w:eastAsia="zh-CN" w:bidi="ar-SA"/>
              </w:rPr>
            </w:pPr>
            <w:r>
              <w:rPr>
                <w:rFonts w:hint="eastAsia" w:eastAsia="等线" w:cs="Times New Roman"/>
                <w:i w:val="0"/>
                <w:iCs w:val="0"/>
                <w:color w:val="000000"/>
                <w:kern w:val="0"/>
                <w:sz w:val="21"/>
                <w:szCs w:val="21"/>
                <w:u w:val="none"/>
                <w:lang w:val="en-US" w:eastAsia="zh-CN" w:bidi="ar"/>
              </w:rPr>
              <w:t>1.827</w:t>
            </w:r>
          </w:p>
        </w:tc>
        <w:tc>
          <w:tcPr>
            <w:tcW w:w="1105" w:type="dxa"/>
            <w:tcBorders>
              <w:tl2br w:val="nil"/>
              <w:tr2bl w:val="nil"/>
            </w:tcBorders>
            <w:shd w:val="clear" w:color="auto" w:fill="auto"/>
            <w:vAlign w:val="center"/>
          </w:tcPr>
          <w:p w14:paraId="410C48F6">
            <w:pPr>
              <w:pStyle w:val="1111"/>
              <w:bidi w:val="0"/>
              <w:rPr>
                <w:rFonts w:hint="default" w:ascii="Times New Roman" w:hAnsi="Times New Roman" w:eastAsia="宋体" w:cs="Times New Roman"/>
                <w:kern w:val="0"/>
                <w:sz w:val="21"/>
                <w:szCs w:val="20"/>
                <w:lang w:val="en-US" w:eastAsia="zh-CN" w:bidi="ar-SA"/>
              </w:rPr>
            </w:pPr>
            <w:r>
              <w:rPr>
                <w:rFonts w:hint="eastAsia"/>
                <w:lang w:val="en-US" w:eastAsia="zh-CN"/>
              </w:rPr>
              <w:t>0.00914</w:t>
            </w:r>
          </w:p>
        </w:tc>
        <w:tc>
          <w:tcPr>
            <w:tcW w:w="1036" w:type="dxa"/>
            <w:tcBorders>
              <w:tl2br w:val="nil"/>
              <w:tr2bl w:val="nil"/>
            </w:tcBorders>
            <w:shd w:val="clear" w:color="auto" w:fill="auto"/>
            <w:vAlign w:val="center"/>
          </w:tcPr>
          <w:p w14:paraId="5BD49293">
            <w:pPr>
              <w:pStyle w:val="1111"/>
              <w:bidi w:val="0"/>
              <w:rPr>
                <w:rFonts w:hint="default" w:ascii="Times New Roman" w:hAnsi="Times New Roman" w:eastAsia="宋体" w:cs="Times New Roman"/>
                <w:kern w:val="0"/>
                <w:sz w:val="21"/>
                <w:szCs w:val="20"/>
                <w:lang w:val="en-US" w:eastAsia="zh-CN" w:bidi="ar-SA"/>
              </w:rPr>
            </w:pPr>
            <w:r>
              <w:rPr>
                <w:rFonts w:hint="eastAsia"/>
                <w:lang w:val="en-US" w:eastAsia="zh-CN"/>
              </w:rPr>
              <w:t>0.0658</w:t>
            </w:r>
          </w:p>
        </w:tc>
        <w:tc>
          <w:tcPr>
            <w:tcW w:w="486" w:type="pct"/>
            <w:vMerge w:val="restart"/>
            <w:tcBorders>
              <w:tl2br w:val="nil"/>
              <w:tr2bl w:val="nil"/>
            </w:tcBorders>
            <w:shd w:val="clear" w:color="auto" w:fill="auto"/>
            <w:vAlign w:val="center"/>
          </w:tcPr>
          <w:p w14:paraId="345C5FC7">
            <w:pPr>
              <w:pStyle w:val="1111"/>
              <w:bidi w:val="0"/>
              <w:rPr>
                <w:rFonts w:hint="default"/>
                <w:lang w:val="en-US" w:eastAsia="zh-CN"/>
              </w:rPr>
            </w:pPr>
            <w:r>
              <w:rPr>
                <w:rFonts w:hint="eastAsia"/>
                <w:lang w:val="en-US" w:eastAsia="zh-CN"/>
              </w:rPr>
              <w:t>从15m高的排气筒DA003排放</w:t>
            </w:r>
          </w:p>
        </w:tc>
        <w:tc>
          <w:tcPr>
            <w:tcW w:w="247" w:type="pct"/>
            <w:tcBorders>
              <w:tl2br w:val="nil"/>
              <w:tr2bl w:val="nil"/>
            </w:tcBorders>
            <w:shd w:val="clear" w:color="auto" w:fill="auto"/>
            <w:vAlign w:val="center"/>
          </w:tcPr>
          <w:p w14:paraId="28DA4826">
            <w:pPr>
              <w:keepNext w:val="0"/>
              <w:keepLines w:val="0"/>
              <w:widowControl/>
              <w:suppressLineNumbers w:val="0"/>
              <w:jc w:val="center"/>
              <w:textAlignment w:val="center"/>
              <w:rPr>
                <w:rFonts w:hint="eastAsia"/>
                <w:lang w:val="en-US" w:eastAsia="zh-CN"/>
              </w:rPr>
            </w:pPr>
            <w:r>
              <w:rPr>
                <w:rFonts w:hint="default" w:ascii="Times New Roman" w:hAnsi="Times New Roman" w:eastAsia="等线" w:cs="Times New Roman"/>
                <w:i w:val="0"/>
                <w:iCs w:val="0"/>
                <w:color w:val="000000"/>
                <w:kern w:val="0"/>
                <w:sz w:val="21"/>
                <w:szCs w:val="21"/>
                <w:u w:val="none"/>
                <w:lang w:val="en-US" w:eastAsia="zh-CN" w:bidi="ar"/>
              </w:rPr>
              <w:t>3</w:t>
            </w:r>
          </w:p>
        </w:tc>
        <w:tc>
          <w:tcPr>
            <w:tcW w:w="293" w:type="pct"/>
            <w:tcBorders>
              <w:tl2br w:val="nil"/>
              <w:tr2bl w:val="nil"/>
            </w:tcBorders>
            <w:shd w:val="clear" w:color="auto" w:fill="auto"/>
            <w:vAlign w:val="center"/>
          </w:tcPr>
          <w:p w14:paraId="7342332D">
            <w:pPr>
              <w:keepNext w:val="0"/>
              <w:keepLines w:val="0"/>
              <w:widowControl/>
              <w:suppressLineNumbers w:val="0"/>
              <w:jc w:val="center"/>
              <w:textAlignment w:val="center"/>
              <w:rPr>
                <w:rFonts w:hint="eastAsia"/>
                <w:lang w:val="en-US" w:eastAsia="zh-CN"/>
              </w:rPr>
            </w:pPr>
            <w:r>
              <w:rPr>
                <w:rFonts w:hint="default" w:ascii="Times New Roman" w:hAnsi="Times New Roman" w:eastAsia="等线" w:cs="Times New Roman"/>
                <w:i w:val="0"/>
                <w:iCs w:val="0"/>
                <w:color w:val="000000"/>
                <w:kern w:val="0"/>
                <w:sz w:val="21"/>
                <w:szCs w:val="21"/>
                <w:u w:val="none"/>
                <w:lang w:val="en-US" w:eastAsia="zh-CN" w:bidi="ar"/>
              </w:rPr>
              <w:t>60</w:t>
            </w:r>
          </w:p>
        </w:tc>
      </w:tr>
      <w:tr w14:paraId="2489DBC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jc w:val="center"/>
        </w:trPr>
        <w:tc>
          <w:tcPr>
            <w:tcW w:w="242" w:type="pct"/>
            <w:vMerge w:val="continue"/>
            <w:tcBorders>
              <w:tl2br w:val="nil"/>
              <w:tr2bl w:val="nil"/>
            </w:tcBorders>
            <w:shd w:val="clear" w:color="auto" w:fill="auto"/>
            <w:vAlign w:val="center"/>
          </w:tcPr>
          <w:p w14:paraId="6B750B8E">
            <w:pPr>
              <w:pStyle w:val="1111"/>
              <w:bidi w:val="0"/>
              <w:rPr>
                <w:rFonts w:hint="default"/>
              </w:rPr>
            </w:pPr>
          </w:p>
        </w:tc>
        <w:tc>
          <w:tcPr>
            <w:tcW w:w="495" w:type="pct"/>
            <w:tcBorders>
              <w:tl2br w:val="nil"/>
              <w:tr2bl w:val="nil"/>
            </w:tcBorders>
            <w:shd w:val="clear" w:color="auto" w:fill="auto"/>
            <w:vAlign w:val="center"/>
          </w:tcPr>
          <w:p w14:paraId="4677FDB4">
            <w:pPr>
              <w:pStyle w:val="1111"/>
              <w:bidi w:val="0"/>
              <w:rPr>
                <w:rFonts w:hint="eastAsia"/>
                <w:lang w:val="en-US" w:eastAsia="zh-CN"/>
              </w:rPr>
            </w:pPr>
            <w:r>
              <w:rPr>
                <w:rFonts w:hint="eastAsia"/>
                <w:lang w:val="en-US" w:eastAsia="zh-CN"/>
              </w:rPr>
              <w:t>臭气浓度</w:t>
            </w:r>
          </w:p>
        </w:tc>
        <w:tc>
          <w:tcPr>
            <w:tcW w:w="2850" w:type="dxa"/>
            <w:gridSpan w:val="3"/>
            <w:tcBorders>
              <w:tl2br w:val="nil"/>
              <w:tr2bl w:val="nil"/>
            </w:tcBorders>
            <w:shd w:val="clear" w:color="auto" w:fill="auto"/>
            <w:vAlign w:val="center"/>
          </w:tcPr>
          <w:p w14:paraId="56D2837F">
            <w:pPr>
              <w:pStyle w:val="1111"/>
              <w:bidi w:val="0"/>
              <w:rPr>
                <w:rFonts w:hint="eastAsia"/>
                <w:lang w:val="en-US" w:eastAsia="zh-CN"/>
              </w:rPr>
            </w:pPr>
            <w:r>
              <w:rPr>
                <w:rFonts w:hint="eastAsia"/>
                <w:lang w:val="en-US" w:eastAsia="zh-CN"/>
              </w:rPr>
              <w:t>49.329（无量纲）</w:t>
            </w:r>
          </w:p>
        </w:tc>
        <w:tc>
          <w:tcPr>
            <w:tcW w:w="654" w:type="dxa"/>
            <w:vMerge w:val="continue"/>
            <w:tcBorders>
              <w:tl2br w:val="nil"/>
              <w:tr2bl w:val="nil"/>
            </w:tcBorders>
            <w:shd w:val="clear" w:color="auto" w:fill="auto"/>
            <w:vAlign w:val="center"/>
          </w:tcPr>
          <w:p w14:paraId="28FCA206">
            <w:pPr>
              <w:pStyle w:val="1111"/>
              <w:bidi w:val="0"/>
              <w:rPr>
                <w:rFonts w:hint="default"/>
              </w:rPr>
            </w:pPr>
          </w:p>
        </w:tc>
        <w:tc>
          <w:tcPr>
            <w:tcW w:w="641" w:type="dxa"/>
            <w:vMerge w:val="continue"/>
            <w:tcBorders>
              <w:tl2br w:val="nil"/>
              <w:tr2bl w:val="nil"/>
            </w:tcBorders>
            <w:shd w:val="clear" w:color="auto" w:fill="auto"/>
            <w:vAlign w:val="center"/>
          </w:tcPr>
          <w:p w14:paraId="4BEF6E82">
            <w:pPr>
              <w:pStyle w:val="1111"/>
              <w:bidi w:val="0"/>
              <w:rPr>
                <w:rFonts w:hint="default"/>
              </w:rPr>
            </w:pPr>
          </w:p>
        </w:tc>
        <w:tc>
          <w:tcPr>
            <w:tcW w:w="1105" w:type="dxa"/>
            <w:vMerge w:val="continue"/>
            <w:tcBorders>
              <w:tl2br w:val="nil"/>
              <w:tr2bl w:val="nil"/>
            </w:tcBorders>
            <w:shd w:val="clear" w:color="auto" w:fill="auto"/>
            <w:vAlign w:val="center"/>
          </w:tcPr>
          <w:p w14:paraId="40F647BC">
            <w:pPr>
              <w:pStyle w:val="1111"/>
              <w:bidi w:val="0"/>
              <w:rPr>
                <w:rFonts w:hint="eastAsia"/>
              </w:rPr>
            </w:pPr>
          </w:p>
        </w:tc>
        <w:tc>
          <w:tcPr>
            <w:tcW w:w="736" w:type="dxa"/>
            <w:tcBorders>
              <w:tl2br w:val="nil"/>
              <w:tr2bl w:val="nil"/>
            </w:tcBorders>
            <w:shd w:val="clear" w:color="auto" w:fill="auto"/>
            <w:vAlign w:val="center"/>
          </w:tcPr>
          <w:p w14:paraId="7ACB8114">
            <w:pPr>
              <w:pStyle w:val="1111"/>
              <w:bidi w:val="0"/>
              <w:rPr>
                <w:rFonts w:hint="default"/>
              </w:rPr>
            </w:pPr>
            <w:r>
              <w:rPr>
                <w:rFonts w:hint="eastAsia"/>
                <w:lang w:val="en-US" w:eastAsia="zh-CN"/>
              </w:rPr>
              <w:t>90</w:t>
            </w:r>
          </w:p>
        </w:tc>
        <w:tc>
          <w:tcPr>
            <w:tcW w:w="3177" w:type="dxa"/>
            <w:gridSpan w:val="3"/>
            <w:tcBorders>
              <w:tl2br w:val="nil"/>
              <w:tr2bl w:val="nil"/>
            </w:tcBorders>
            <w:shd w:val="clear" w:color="auto" w:fill="auto"/>
            <w:vAlign w:val="center"/>
          </w:tcPr>
          <w:p w14:paraId="54AB30BA">
            <w:pPr>
              <w:pStyle w:val="1111"/>
              <w:bidi w:val="0"/>
              <w:rPr>
                <w:rFonts w:hint="default"/>
                <w:lang w:val="en-US" w:eastAsia="zh-CN"/>
              </w:rPr>
            </w:pPr>
            <w:r>
              <w:rPr>
                <w:rFonts w:hint="eastAsia"/>
                <w:lang w:val="en-US" w:eastAsia="zh-CN"/>
              </w:rPr>
              <w:t>4.933（无量纲）</w:t>
            </w:r>
          </w:p>
        </w:tc>
        <w:tc>
          <w:tcPr>
            <w:tcW w:w="486" w:type="pct"/>
            <w:vMerge w:val="continue"/>
            <w:tcBorders>
              <w:tl2br w:val="nil"/>
              <w:tr2bl w:val="nil"/>
            </w:tcBorders>
            <w:shd w:val="clear" w:color="auto" w:fill="auto"/>
            <w:vAlign w:val="center"/>
          </w:tcPr>
          <w:p w14:paraId="7A3A64A4">
            <w:pPr>
              <w:pStyle w:val="1111"/>
              <w:bidi w:val="0"/>
              <w:rPr>
                <w:rFonts w:hint="default"/>
                <w:lang w:val="en-US" w:eastAsia="zh-CN"/>
              </w:rPr>
            </w:pPr>
          </w:p>
        </w:tc>
        <w:tc>
          <w:tcPr>
            <w:tcW w:w="540" w:type="pct"/>
            <w:gridSpan w:val="2"/>
            <w:tcBorders>
              <w:tl2br w:val="nil"/>
              <w:tr2bl w:val="nil"/>
            </w:tcBorders>
            <w:shd w:val="clear" w:color="auto" w:fill="auto"/>
            <w:vAlign w:val="center"/>
          </w:tcPr>
          <w:p w14:paraId="604F819F">
            <w:pPr>
              <w:pStyle w:val="1111"/>
              <w:bidi w:val="0"/>
              <w:rPr>
                <w:rFonts w:hint="default"/>
                <w:lang w:val="en-US" w:eastAsia="zh-CN"/>
              </w:rPr>
            </w:pPr>
            <w:r>
              <w:rPr>
                <w:rFonts w:hint="default"/>
                <w:lang w:val="en-US" w:eastAsia="zh-CN"/>
              </w:rPr>
              <w:t>2000</w:t>
            </w:r>
            <w:r>
              <w:rPr>
                <w:rFonts w:hint="eastAsia"/>
                <w:lang w:val="en-US" w:eastAsia="zh-CN"/>
              </w:rPr>
              <w:t>（无量纲）</w:t>
            </w:r>
          </w:p>
        </w:tc>
      </w:tr>
    </w:tbl>
    <w:p w14:paraId="5742A254">
      <w:pPr>
        <w:pStyle w:val="1111"/>
        <w:bidi w:val="0"/>
      </w:pPr>
      <w:r>
        <w:t>表4-2 项目无组织废气排放情况一览表</w:t>
      </w:r>
    </w:p>
    <w:tbl>
      <w:tblPr>
        <w:tblStyle w:val="7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94"/>
        <w:gridCol w:w="1257"/>
        <w:gridCol w:w="2253"/>
        <w:gridCol w:w="2210"/>
        <w:gridCol w:w="2173"/>
        <w:gridCol w:w="1898"/>
        <w:gridCol w:w="1390"/>
        <w:gridCol w:w="1301"/>
      </w:tblGrid>
      <w:tr w14:paraId="34F207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7" w:type="pct"/>
            <w:noWrap w:val="0"/>
            <w:vAlign w:val="center"/>
          </w:tcPr>
          <w:p w14:paraId="3773488D">
            <w:pPr>
              <w:pStyle w:val="1111"/>
              <w:bidi w:val="0"/>
            </w:pPr>
            <w:r>
              <w:t>污染面源</w:t>
            </w:r>
          </w:p>
        </w:tc>
        <w:tc>
          <w:tcPr>
            <w:tcW w:w="443" w:type="pct"/>
            <w:noWrap w:val="0"/>
            <w:vAlign w:val="center"/>
          </w:tcPr>
          <w:p w14:paraId="54F55031">
            <w:pPr>
              <w:pStyle w:val="1111"/>
              <w:bidi w:val="0"/>
            </w:pPr>
            <w:r>
              <w:t>污染工序</w:t>
            </w:r>
          </w:p>
        </w:tc>
        <w:tc>
          <w:tcPr>
            <w:tcW w:w="794" w:type="pct"/>
            <w:noWrap w:val="0"/>
            <w:vAlign w:val="center"/>
          </w:tcPr>
          <w:p w14:paraId="5047E54B">
            <w:pPr>
              <w:pStyle w:val="1111"/>
              <w:bidi w:val="0"/>
            </w:pPr>
            <w:r>
              <w:t>污染物名称</w:t>
            </w:r>
          </w:p>
        </w:tc>
        <w:tc>
          <w:tcPr>
            <w:tcW w:w="779" w:type="pct"/>
            <w:noWrap w:val="0"/>
            <w:vAlign w:val="center"/>
          </w:tcPr>
          <w:p w14:paraId="0D48684D">
            <w:pPr>
              <w:pStyle w:val="1111"/>
              <w:bidi w:val="0"/>
            </w:pPr>
            <w:r>
              <w:t>排放速率kg/h</w:t>
            </w:r>
          </w:p>
        </w:tc>
        <w:tc>
          <w:tcPr>
            <w:tcW w:w="766" w:type="pct"/>
            <w:noWrap w:val="0"/>
            <w:vAlign w:val="center"/>
          </w:tcPr>
          <w:p w14:paraId="79EA1308">
            <w:pPr>
              <w:pStyle w:val="1111"/>
              <w:bidi w:val="0"/>
            </w:pPr>
            <w:r>
              <w:t>排放量t/a</w:t>
            </w:r>
          </w:p>
        </w:tc>
        <w:tc>
          <w:tcPr>
            <w:tcW w:w="669" w:type="pct"/>
            <w:noWrap w:val="0"/>
            <w:vAlign w:val="center"/>
          </w:tcPr>
          <w:p w14:paraId="6CF59CE1">
            <w:pPr>
              <w:pStyle w:val="1111"/>
              <w:bidi w:val="0"/>
            </w:pPr>
            <w:r>
              <w:rPr>
                <w:rFonts w:hint="eastAsia"/>
                <w:lang w:eastAsia="zh-CN"/>
              </w:rPr>
              <w:t>面源长</w:t>
            </w:r>
            <w:r>
              <w:t>度m</w:t>
            </w:r>
          </w:p>
        </w:tc>
        <w:tc>
          <w:tcPr>
            <w:tcW w:w="490" w:type="pct"/>
            <w:noWrap w:val="0"/>
            <w:vAlign w:val="center"/>
          </w:tcPr>
          <w:p w14:paraId="5BFA5A1E">
            <w:pPr>
              <w:pStyle w:val="1111"/>
              <w:bidi w:val="0"/>
            </w:pPr>
            <w:r>
              <w:rPr>
                <w:rFonts w:hint="eastAsia"/>
                <w:lang w:eastAsia="zh-CN"/>
              </w:rPr>
              <w:t>面源宽</w:t>
            </w:r>
            <w:r>
              <w:t>度m</w:t>
            </w:r>
          </w:p>
        </w:tc>
        <w:tc>
          <w:tcPr>
            <w:tcW w:w="458" w:type="pct"/>
            <w:noWrap w:val="0"/>
            <w:vAlign w:val="center"/>
          </w:tcPr>
          <w:p w14:paraId="2BE62189">
            <w:pPr>
              <w:pStyle w:val="1111"/>
              <w:bidi w:val="0"/>
            </w:pPr>
            <w:r>
              <w:rPr>
                <w:rFonts w:hint="eastAsia"/>
                <w:lang w:eastAsia="zh-CN"/>
              </w:rPr>
              <w:t>面源高</w:t>
            </w:r>
            <w:r>
              <w:t>度m</w:t>
            </w:r>
          </w:p>
        </w:tc>
      </w:tr>
      <w:tr w14:paraId="558532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97" w:type="pct"/>
            <w:vMerge w:val="restart"/>
            <w:noWrap w:val="0"/>
            <w:vAlign w:val="center"/>
          </w:tcPr>
          <w:p w14:paraId="675975EC">
            <w:pPr>
              <w:pStyle w:val="1111"/>
              <w:bidi w:val="0"/>
            </w:pPr>
            <w:r>
              <w:rPr>
                <w:rFonts w:hint="default" w:ascii="Times New Roman" w:hAnsi="Times New Roman" w:eastAsia="等线" w:cs="Times New Roman"/>
                <w:i w:val="0"/>
                <w:iCs w:val="0"/>
                <w:color w:val="00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存储间</w:t>
            </w:r>
          </w:p>
        </w:tc>
        <w:tc>
          <w:tcPr>
            <w:tcW w:w="443" w:type="pct"/>
            <w:vMerge w:val="restart"/>
            <w:noWrap w:val="0"/>
            <w:vAlign w:val="center"/>
          </w:tcPr>
          <w:p w14:paraId="3CF75E61">
            <w:pPr>
              <w:pStyle w:val="1111"/>
              <w:bidi w:val="0"/>
            </w:pPr>
            <w:r>
              <w:t>危废暂存</w:t>
            </w:r>
          </w:p>
        </w:tc>
        <w:tc>
          <w:tcPr>
            <w:tcW w:w="794" w:type="pct"/>
            <w:noWrap w:val="0"/>
            <w:vAlign w:val="center"/>
          </w:tcPr>
          <w:p w14:paraId="722B1CEF">
            <w:pPr>
              <w:pStyle w:val="1111"/>
              <w:bidi w:val="0"/>
            </w:pPr>
            <w:r>
              <w:t>非甲烷总烃</w:t>
            </w:r>
          </w:p>
        </w:tc>
        <w:tc>
          <w:tcPr>
            <w:tcW w:w="779" w:type="pct"/>
            <w:noWrap w:val="0"/>
            <w:vAlign w:val="center"/>
          </w:tcPr>
          <w:p w14:paraId="11EA5039">
            <w:pPr>
              <w:pStyle w:val="1111"/>
              <w:bidi w:val="0"/>
              <w:rPr>
                <w:rFonts w:hint="default"/>
                <w:lang w:val="en-US"/>
              </w:rPr>
            </w:pPr>
            <w:r>
              <w:rPr>
                <w:rFonts w:hint="default"/>
                <w:lang w:val="en-US" w:eastAsia="zh-CN"/>
              </w:rPr>
              <w:t>0.0</w:t>
            </w:r>
            <w:r>
              <w:rPr>
                <w:rFonts w:hint="eastAsia"/>
                <w:lang w:val="en-US" w:eastAsia="zh-CN"/>
              </w:rPr>
              <w:t>102</w:t>
            </w:r>
          </w:p>
        </w:tc>
        <w:tc>
          <w:tcPr>
            <w:tcW w:w="766" w:type="pct"/>
            <w:noWrap w:val="0"/>
            <w:vAlign w:val="center"/>
          </w:tcPr>
          <w:p w14:paraId="7FC0A334">
            <w:pPr>
              <w:pStyle w:val="1111"/>
              <w:bidi w:val="0"/>
              <w:rPr>
                <w:rFonts w:hint="default"/>
                <w:lang w:val="en-US"/>
              </w:rPr>
            </w:pPr>
            <w:r>
              <w:rPr>
                <w:rFonts w:hint="eastAsia"/>
                <w:lang w:val="en-US" w:eastAsia="zh-CN"/>
              </w:rPr>
              <w:t>0.0731</w:t>
            </w:r>
          </w:p>
        </w:tc>
        <w:tc>
          <w:tcPr>
            <w:tcW w:w="669" w:type="pct"/>
            <w:vMerge w:val="restart"/>
            <w:noWrap w:val="0"/>
            <w:vAlign w:val="center"/>
          </w:tcPr>
          <w:p w14:paraId="64E4274B">
            <w:pPr>
              <w:pStyle w:val="1111"/>
              <w:bidi w:val="0"/>
              <w:rPr>
                <w:rFonts w:hint="default" w:eastAsia="宋体"/>
                <w:lang w:val="en-US" w:eastAsia="zh-CN"/>
              </w:rPr>
            </w:pPr>
            <w:r>
              <w:rPr>
                <w:rFonts w:hint="eastAsia"/>
                <w:lang w:val="en-US" w:eastAsia="zh-CN"/>
              </w:rPr>
              <w:t>8.9</w:t>
            </w:r>
          </w:p>
        </w:tc>
        <w:tc>
          <w:tcPr>
            <w:tcW w:w="490" w:type="pct"/>
            <w:vMerge w:val="restart"/>
            <w:noWrap w:val="0"/>
            <w:vAlign w:val="center"/>
          </w:tcPr>
          <w:p w14:paraId="53A62B4C">
            <w:pPr>
              <w:pStyle w:val="1111"/>
              <w:bidi w:val="0"/>
              <w:rPr>
                <w:rFonts w:hint="default"/>
                <w:lang w:val="en-US" w:eastAsia="zh-CN"/>
              </w:rPr>
            </w:pPr>
            <w:r>
              <w:rPr>
                <w:rFonts w:hint="eastAsia"/>
                <w:lang w:val="en-US" w:eastAsia="zh-CN"/>
              </w:rPr>
              <w:t>6.6</w:t>
            </w:r>
          </w:p>
        </w:tc>
        <w:tc>
          <w:tcPr>
            <w:tcW w:w="458" w:type="pct"/>
            <w:vMerge w:val="restart"/>
            <w:noWrap w:val="0"/>
            <w:vAlign w:val="center"/>
          </w:tcPr>
          <w:p w14:paraId="1AB49B18">
            <w:pPr>
              <w:pStyle w:val="1111"/>
              <w:bidi w:val="0"/>
              <w:rPr>
                <w:rFonts w:hint="default" w:eastAsia="宋体"/>
                <w:lang w:val="en-US" w:eastAsia="zh-CN"/>
              </w:rPr>
            </w:pPr>
            <w:r>
              <w:rPr>
                <w:rFonts w:hint="eastAsia"/>
                <w:lang w:val="en-US" w:eastAsia="zh-CN"/>
              </w:rPr>
              <w:t>6</w:t>
            </w:r>
          </w:p>
        </w:tc>
      </w:tr>
      <w:tr w14:paraId="1C1E0C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97" w:type="pct"/>
            <w:vMerge w:val="continue"/>
            <w:noWrap w:val="0"/>
            <w:vAlign w:val="center"/>
          </w:tcPr>
          <w:p w14:paraId="58627644">
            <w:pPr>
              <w:pStyle w:val="1111"/>
              <w:bidi w:val="0"/>
            </w:pPr>
          </w:p>
        </w:tc>
        <w:tc>
          <w:tcPr>
            <w:tcW w:w="443" w:type="pct"/>
            <w:vMerge w:val="continue"/>
            <w:noWrap w:val="0"/>
            <w:vAlign w:val="center"/>
          </w:tcPr>
          <w:p w14:paraId="7DE17AA9">
            <w:pPr>
              <w:pStyle w:val="1111"/>
              <w:bidi w:val="0"/>
            </w:pPr>
          </w:p>
        </w:tc>
        <w:tc>
          <w:tcPr>
            <w:tcW w:w="794" w:type="pct"/>
            <w:noWrap w:val="0"/>
            <w:vAlign w:val="center"/>
          </w:tcPr>
          <w:p w14:paraId="4F0B2A1C">
            <w:pPr>
              <w:keepNext w:val="0"/>
              <w:keepLines w:val="0"/>
              <w:widowControl/>
              <w:suppressLineNumbers w:val="0"/>
              <w:jc w:val="center"/>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臭气浓度</w:t>
            </w:r>
          </w:p>
        </w:tc>
        <w:tc>
          <w:tcPr>
            <w:tcW w:w="1545" w:type="pct"/>
            <w:gridSpan w:val="2"/>
            <w:noWrap w:val="0"/>
            <w:vAlign w:val="center"/>
          </w:tcPr>
          <w:p w14:paraId="4077EC8D">
            <w:pPr>
              <w:pStyle w:val="1111"/>
              <w:bidi w:val="0"/>
            </w:pPr>
            <w:r>
              <w:rPr>
                <w:rFonts w:hint="eastAsia"/>
                <w:lang w:val="en-US" w:eastAsia="zh-CN"/>
              </w:rPr>
              <w:t>5.481（无量纲）</w:t>
            </w:r>
          </w:p>
        </w:tc>
        <w:tc>
          <w:tcPr>
            <w:tcW w:w="669" w:type="pct"/>
            <w:vMerge w:val="continue"/>
            <w:noWrap w:val="0"/>
            <w:vAlign w:val="center"/>
          </w:tcPr>
          <w:p w14:paraId="5A467EC4">
            <w:pPr>
              <w:pStyle w:val="1111"/>
              <w:bidi w:val="0"/>
            </w:pPr>
          </w:p>
        </w:tc>
        <w:tc>
          <w:tcPr>
            <w:tcW w:w="490" w:type="pct"/>
            <w:vMerge w:val="continue"/>
            <w:noWrap w:val="0"/>
            <w:vAlign w:val="center"/>
          </w:tcPr>
          <w:p w14:paraId="6876A083">
            <w:pPr>
              <w:pStyle w:val="1111"/>
              <w:bidi w:val="0"/>
            </w:pPr>
          </w:p>
        </w:tc>
        <w:tc>
          <w:tcPr>
            <w:tcW w:w="458" w:type="pct"/>
            <w:vMerge w:val="continue"/>
            <w:noWrap w:val="0"/>
            <w:vAlign w:val="center"/>
          </w:tcPr>
          <w:p w14:paraId="4DBC68B9">
            <w:pPr>
              <w:pStyle w:val="1111"/>
              <w:bidi w:val="0"/>
            </w:pPr>
          </w:p>
        </w:tc>
      </w:tr>
      <w:tr w14:paraId="18EE7D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97" w:type="pct"/>
            <w:vMerge w:val="restart"/>
            <w:noWrap w:val="0"/>
            <w:vAlign w:val="center"/>
          </w:tcPr>
          <w:p w14:paraId="01551DD9">
            <w:pPr>
              <w:pStyle w:val="1111"/>
              <w:bidi w:val="0"/>
            </w:pPr>
            <w:r>
              <w:rPr>
                <w:rFonts w:hint="eastAsia" w:eastAsia="等线" w:cs="Times New Roman"/>
                <w:i w:val="0"/>
                <w:iCs w:val="0"/>
                <w:color w:val="000000"/>
                <w:kern w:val="0"/>
                <w:sz w:val="21"/>
                <w:szCs w:val="21"/>
                <w:u w:val="none"/>
                <w:lang w:val="en-US" w:eastAsia="zh-CN" w:bidi="ar"/>
              </w:rPr>
              <w:t>2</w:t>
            </w:r>
            <w:r>
              <w:rPr>
                <w:rFonts w:hint="default" w:ascii="Times New Roman" w:hAnsi="Times New Roman" w:eastAsia="等线" w:cs="Times New Roman"/>
                <w:i w:val="0"/>
                <w:iCs w:val="0"/>
                <w:color w:val="000000"/>
                <w:kern w:val="0"/>
                <w:sz w:val="21"/>
                <w:szCs w:val="21"/>
                <w:u w:val="none"/>
                <w:lang w:val="en-US" w:eastAsia="zh-CN" w:bidi="ar"/>
              </w:rPr>
              <w:t>#</w:t>
            </w:r>
            <w:r>
              <w:rPr>
                <w:rFonts w:hint="eastAsia" w:ascii="宋体" w:hAnsi="宋体" w:eastAsia="宋体" w:cs="宋体"/>
                <w:i w:val="0"/>
                <w:iCs w:val="0"/>
                <w:color w:val="000000"/>
                <w:kern w:val="0"/>
                <w:sz w:val="21"/>
                <w:szCs w:val="21"/>
                <w:u w:val="none"/>
                <w:lang w:val="en-US" w:eastAsia="zh-CN" w:bidi="ar"/>
              </w:rPr>
              <w:t>存储间</w:t>
            </w:r>
          </w:p>
        </w:tc>
        <w:tc>
          <w:tcPr>
            <w:tcW w:w="443" w:type="pct"/>
            <w:vMerge w:val="restart"/>
            <w:noWrap w:val="0"/>
            <w:vAlign w:val="center"/>
          </w:tcPr>
          <w:p w14:paraId="7E6394DD">
            <w:pPr>
              <w:pStyle w:val="1111"/>
              <w:bidi w:val="0"/>
            </w:pPr>
            <w:r>
              <w:t>危废暂存</w:t>
            </w:r>
          </w:p>
        </w:tc>
        <w:tc>
          <w:tcPr>
            <w:tcW w:w="794" w:type="pct"/>
            <w:noWrap w:val="0"/>
            <w:vAlign w:val="center"/>
          </w:tcPr>
          <w:p w14:paraId="026102FC">
            <w:pPr>
              <w:pStyle w:val="1111"/>
              <w:bidi w:val="0"/>
            </w:pPr>
            <w:r>
              <w:t>非甲烷总烃</w:t>
            </w:r>
          </w:p>
        </w:tc>
        <w:tc>
          <w:tcPr>
            <w:tcW w:w="2210" w:type="dxa"/>
            <w:shd w:val="clear" w:color="auto" w:fill="auto"/>
            <w:noWrap w:val="0"/>
            <w:vAlign w:val="center"/>
          </w:tcPr>
          <w:p w14:paraId="66A1C2DC">
            <w:pPr>
              <w:pStyle w:val="1111"/>
              <w:bidi w:val="0"/>
              <w:rPr>
                <w:rFonts w:hint="default" w:ascii="Times New Roman" w:hAnsi="Times New Roman" w:eastAsia="宋体" w:cs="Times New Roman"/>
                <w:kern w:val="0"/>
                <w:sz w:val="21"/>
                <w:szCs w:val="20"/>
                <w:lang w:val="en-US" w:eastAsia="zh-CN" w:bidi="ar-SA"/>
              </w:rPr>
            </w:pPr>
            <w:r>
              <w:rPr>
                <w:rFonts w:hint="default"/>
                <w:lang w:val="en-US" w:eastAsia="zh-CN"/>
              </w:rPr>
              <w:t>0.0</w:t>
            </w:r>
            <w:r>
              <w:rPr>
                <w:rFonts w:hint="eastAsia"/>
                <w:lang w:val="en-US" w:eastAsia="zh-CN"/>
              </w:rPr>
              <w:t>102</w:t>
            </w:r>
          </w:p>
        </w:tc>
        <w:tc>
          <w:tcPr>
            <w:tcW w:w="2173" w:type="dxa"/>
            <w:shd w:val="clear" w:color="auto" w:fill="auto"/>
            <w:noWrap w:val="0"/>
            <w:vAlign w:val="center"/>
          </w:tcPr>
          <w:p w14:paraId="3B3E6AE4">
            <w:pPr>
              <w:pStyle w:val="1111"/>
              <w:bidi w:val="0"/>
              <w:rPr>
                <w:rFonts w:hint="default" w:ascii="Times New Roman" w:hAnsi="Times New Roman" w:eastAsia="宋体" w:cs="Times New Roman"/>
                <w:kern w:val="0"/>
                <w:sz w:val="21"/>
                <w:szCs w:val="20"/>
                <w:lang w:val="en-US" w:eastAsia="zh-CN" w:bidi="ar-SA"/>
              </w:rPr>
            </w:pPr>
            <w:r>
              <w:rPr>
                <w:rFonts w:hint="eastAsia"/>
                <w:lang w:val="en-US" w:eastAsia="zh-CN"/>
              </w:rPr>
              <w:t>0.0731</w:t>
            </w:r>
          </w:p>
        </w:tc>
        <w:tc>
          <w:tcPr>
            <w:tcW w:w="669" w:type="pct"/>
            <w:vMerge w:val="restart"/>
            <w:noWrap w:val="0"/>
            <w:vAlign w:val="center"/>
          </w:tcPr>
          <w:p w14:paraId="5C5C806A">
            <w:pPr>
              <w:pStyle w:val="1111"/>
              <w:bidi w:val="0"/>
              <w:rPr>
                <w:rFonts w:hint="default" w:eastAsia="宋体"/>
                <w:lang w:val="en-US" w:eastAsia="zh-CN"/>
              </w:rPr>
            </w:pPr>
            <w:r>
              <w:rPr>
                <w:rFonts w:hint="eastAsia"/>
                <w:lang w:val="en-US" w:eastAsia="zh-CN"/>
              </w:rPr>
              <w:t>8.9</w:t>
            </w:r>
          </w:p>
        </w:tc>
        <w:tc>
          <w:tcPr>
            <w:tcW w:w="490" w:type="pct"/>
            <w:vMerge w:val="restart"/>
            <w:noWrap w:val="0"/>
            <w:vAlign w:val="center"/>
          </w:tcPr>
          <w:p w14:paraId="379FC26F">
            <w:pPr>
              <w:pStyle w:val="1111"/>
              <w:bidi w:val="0"/>
              <w:rPr>
                <w:rFonts w:hint="default"/>
                <w:lang w:val="en-US" w:eastAsia="zh-CN"/>
              </w:rPr>
            </w:pPr>
            <w:r>
              <w:rPr>
                <w:rFonts w:hint="eastAsia"/>
                <w:lang w:val="en-US" w:eastAsia="zh-CN"/>
              </w:rPr>
              <w:t>6.6</w:t>
            </w:r>
          </w:p>
        </w:tc>
        <w:tc>
          <w:tcPr>
            <w:tcW w:w="458" w:type="pct"/>
            <w:vMerge w:val="restart"/>
            <w:noWrap w:val="0"/>
            <w:vAlign w:val="center"/>
          </w:tcPr>
          <w:p w14:paraId="0601CE8D">
            <w:pPr>
              <w:pStyle w:val="1111"/>
              <w:bidi w:val="0"/>
              <w:rPr>
                <w:rFonts w:hint="default" w:eastAsia="宋体"/>
                <w:lang w:val="en-US" w:eastAsia="zh-CN"/>
              </w:rPr>
            </w:pPr>
            <w:r>
              <w:rPr>
                <w:rFonts w:hint="eastAsia"/>
                <w:lang w:val="en-US" w:eastAsia="zh-CN"/>
              </w:rPr>
              <w:t>6</w:t>
            </w:r>
          </w:p>
        </w:tc>
      </w:tr>
      <w:tr w14:paraId="78CFE3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7" w:type="pct"/>
            <w:vMerge w:val="continue"/>
            <w:noWrap w:val="0"/>
            <w:vAlign w:val="center"/>
          </w:tcPr>
          <w:p w14:paraId="013FC7FE">
            <w:pPr>
              <w:pStyle w:val="1111"/>
              <w:bidi w:val="0"/>
            </w:pPr>
          </w:p>
        </w:tc>
        <w:tc>
          <w:tcPr>
            <w:tcW w:w="443" w:type="pct"/>
            <w:vMerge w:val="continue"/>
            <w:noWrap w:val="0"/>
            <w:vAlign w:val="center"/>
          </w:tcPr>
          <w:p w14:paraId="5D47EDDD">
            <w:pPr>
              <w:pStyle w:val="1111"/>
              <w:bidi w:val="0"/>
            </w:pPr>
          </w:p>
        </w:tc>
        <w:tc>
          <w:tcPr>
            <w:tcW w:w="794" w:type="pct"/>
            <w:noWrap w:val="0"/>
            <w:vAlign w:val="center"/>
          </w:tcPr>
          <w:p w14:paraId="7D67EF79">
            <w:pPr>
              <w:keepNext w:val="0"/>
              <w:keepLines w:val="0"/>
              <w:widowControl/>
              <w:suppressLineNumbers w:val="0"/>
              <w:jc w:val="center"/>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臭气浓度</w:t>
            </w:r>
          </w:p>
        </w:tc>
        <w:tc>
          <w:tcPr>
            <w:tcW w:w="4383" w:type="dxa"/>
            <w:gridSpan w:val="2"/>
            <w:noWrap w:val="0"/>
            <w:vAlign w:val="center"/>
          </w:tcPr>
          <w:p w14:paraId="0EF4DFC1">
            <w:pPr>
              <w:pStyle w:val="1111"/>
              <w:bidi w:val="0"/>
            </w:pPr>
            <w:r>
              <w:rPr>
                <w:rFonts w:hint="eastAsia"/>
                <w:lang w:val="en-US" w:eastAsia="zh-CN"/>
              </w:rPr>
              <w:t>5.481（无量纲）</w:t>
            </w:r>
          </w:p>
        </w:tc>
        <w:tc>
          <w:tcPr>
            <w:tcW w:w="669" w:type="pct"/>
            <w:vMerge w:val="continue"/>
            <w:noWrap w:val="0"/>
            <w:vAlign w:val="center"/>
          </w:tcPr>
          <w:p w14:paraId="707F5106">
            <w:pPr>
              <w:pStyle w:val="1111"/>
              <w:bidi w:val="0"/>
            </w:pPr>
          </w:p>
        </w:tc>
        <w:tc>
          <w:tcPr>
            <w:tcW w:w="490" w:type="pct"/>
            <w:vMerge w:val="continue"/>
            <w:noWrap w:val="0"/>
            <w:vAlign w:val="center"/>
          </w:tcPr>
          <w:p w14:paraId="1712E7AC">
            <w:pPr>
              <w:pStyle w:val="1111"/>
              <w:bidi w:val="0"/>
            </w:pPr>
          </w:p>
        </w:tc>
        <w:tc>
          <w:tcPr>
            <w:tcW w:w="458" w:type="pct"/>
            <w:vMerge w:val="continue"/>
            <w:noWrap w:val="0"/>
            <w:vAlign w:val="center"/>
          </w:tcPr>
          <w:p w14:paraId="44682F37">
            <w:pPr>
              <w:pStyle w:val="1111"/>
              <w:bidi w:val="0"/>
            </w:pPr>
          </w:p>
        </w:tc>
      </w:tr>
      <w:tr w14:paraId="03E2D3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97" w:type="pct"/>
            <w:vMerge w:val="restart"/>
            <w:noWrap w:val="0"/>
            <w:vAlign w:val="center"/>
          </w:tcPr>
          <w:p w14:paraId="688DE689">
            <w:pPr>
              <w:pStyle w:val="1111"/>
              <w:bidi w:val="0"/>
            </w:pPr>
            <w:r>
              <w:rPr>
                <w:rFonts w:hint="eastAsia" w:eastAsia="等线" w:cs="Times New Roman"/>
                <w:i w:val="0"/>
                <w:iCs w:val="0"/>
                <w:color w:val="000000"/>
                <w:kern w:val="0"/>
                <w:sz w:val="21"/>
                <w:szCs w:val="21"/>
                <w:u w:val="none"/>
                <w:lang w:val="en-US" w:eastAsia="zh-CN" w:bidi="ar"/>
              </w:rPr>
              <w:t>3</w:t>
            </w:r>
            <w:r>
              <w:rPr>
                <w:rFonts w:hint="default" w:ascii="Times New Roman" w:hAnsi="Times New Roman" w:eastAsia="等线" w:cs="Times New Roman"/>
                <w:i w:val="0"/>
                <w:iCs w:val="0"/>
                <w:color w:val="000000"/>
                <w:kern w:val="0"/>
                <w:sz w:val="21"/>
                <w:szCs w:val="21"/>
                <w:u w:val="none"/>
                <w:lang w:val="en-US" w:eastAsia="zh-CN" w:bidi="ar"/>
              </w:rPr>
              <w:t>#</w:t>
            </w:r>
            <w:r>
              <w:rPr>
                <w:rFonts w:hint="eastAsia" w:ascii="宋体" w:hAnsi="宋体" w:eastAsia="宋体" w:cs="宋体"/>
                <w:i w:val="0"/>
                <w:iCs w:val="0"/>
                <w:color w:val="000000"/>
                <w:kern w:val="0"/>
                <w:sz w:val="21"/>
                <w:szCs w:val="21"/>
                <w:u w:val="none"/>
                <w:lang w:val="en-US" w:eastAsia="zh-CN" w:bidi="ar"/>
              </w:rPr>
              <w:t>存储间</w:t>
            </w:r>
          </w:p>
        </w:tc>
        <w:tc>
          <w:tcPr>
            <w:tcW w:w="443" w:type="pct"/>
            <w:vMerge w:val="restart"/>
            <w:noWrap w:val="0"/>
            <w:vAlign w:val="center"/>
          </w:tcPr>
          <w:p w14:paraId="2ED8BFFA">
            <w:pPr>
              <w:pStyle w:val="1111"/>
              <w:bidi w:val="0"/>
            </w:pPr>
            <w:r>
              <w:t>危废暂存</w:t>
            </w:r>
          </w:p>
        </w:tc>
        <w:tc>
          <w:tcPr>
            <w:tcW w:w="794" w:type="pct"/>
            <w:noWrap w:val="0"/>
            <w:vAlign w:val="center"/>
          </w:tcPr>
          <w:p w14:paraId="1E5454F9">
            <w:pPr>
              <w:pStyle w:val="1111"/>
              <w:bidi w:val="0"/>
            </w:pPr>
            <w:r>
              <w:t>非甲烷总烃</w:t>
            </w:r>
          </w:p>
        </w:tc>
        <w:tc>
          <w:tcPr>
            <w:tcW w:w="2210" w:type="dxa"/>
            <w:shd w:val="clear" w:color="auto" w:fill="auto"/>
            <w:noWrap w:val="0"/>
            <w:vAlign w:val="center"/>
          </w:tcPr>
          <w:p w14:paraId="101F6662">
            <w:pPr>
              <w:pStyle w:val="1111"/>
              <w:bidi w:val="0"/>
              <w:rPr>
                <w:rFonts w:hint="default" w:ascii="Times New Roman" w:hAnsi="Times New Roman" w:eastAsia="宋体" w:cs="Times New Roman"/>
                <w:kern w:val="0"/>
                <w:sz w:val="21"/>
                <w:szCs w:val="20"/>
                <w:lang w:val="en-US" w:eastAsia="zh-CN" w:bidi="ar-SA"/>
              </w:rPr>
            </w:pPr>
            <w:r>
              <w:rPr>
                <w:rFonts w:hint="default"/>
                <w:lang w:val="en-US" w:eastAsia="zh-CN"/>
              </w:rPr>
              <w:t>0.0</w:t>
            </w:r>
            <w:r>
              <w:rPr>
                <w:rFonts w:hint="eastAsia"/>
                <w:lang w:val="en-US" w:eastAsia="zh-CN"/>
              </w:rPr>
              <w:t>102</w:t>
            </w:r>
          </w:p>
        </w:tc>
        <w:tc>
          <w:tcPr>
            <w:tcW w:w="2173" w:type="dxa"/>
            <w:shd w:val="clear" w:color="auto" w:fill="auto"/>
            <w:noWrap w:val="0"/>
            <w:vAlign w:val="center"/>
          </w:tcPr>
          <w:p w14:paraId="2849618D">
            <w:pPr>
              <w:pStyle w:val="1111"/>
              <w:bidi w:val="0"/>
              <w:rPr>
                <w:rFonts w:hint="default" w:ascii="Times New Roman" w:hAnsi="Times New Roman" w:eastAsia="宋体" w:cs="Times New Roman"/>
                <w:kern w:val="0"/>
                <w:sz w:val="21"/>
                <w:szCs w:val="20"/>
                <w:lang w:val="en-US" w:eastAsia="zh-CN" w:bidi="ar-SA"/>
              </w:rPr>
            </w:pPr>
            <w:r>
              <w:rPr>
                <w:rFonts w:hint="eastAsia"/>
                <w:lang w:val="en-US" w:eastAsia="zh-CN"/>
              </w:rPr>
              <w:t>0.0731</w:t>
            </w:r>
          </w:p>
        </w:tc>
        <w:tc>
          <w:tcPr>
            <w:tcW w:w="669" w:type="pct"/>
            <w:vMerge w:val="restart"/>
            <w:noWrap w:val="0"/>
            <w:vAlign w:val="center"/>
          </w:tcPr>
          <w:p w14:paraId="2CB5531D">
            <w:pPr>
              <w:pStyle w:val="1111"/>
              <w:bidi w:val="0"/>
              <w:rPr>
                <w:rFonts w:hint="default" w:eastAsia="宋体"/>
                <w:lang w:val="en-US" w:eastAsia="zh-CN"/>
              </w:rPr>
            </w:pPr>
            <w:r>
              <w:rPr>
                <w:rFonts w:hint="eastAsia"/>
                <w:lang w:val="en-US" w:eastAsia="zh-CN"/>
              </w:rPr>
              <w:t>8.9</w:t>
            </w:r>
          </w:p>
        </w:tc>
        <w:tc>
          <w:tcPr>
            <w:tcW w:w="490" w:type="pct"/>
            <w:vMerge w:val="restart"/>
            <w:noWrap w:val="0"/>
            <w:vAlign w:val="center"/>
          </w:tcPr>
          <w:p w14:paraId="295289FB">
            <w:pPr>
              <w:pStyle w:val="1111"/>
              <w:bidi w:val="0"/>
              <w:rPr>
                <w:rFonts w:hint="default"/>
                <w:lang w:val="en-US" w:eastAsia="zh-CN"/>
              </w:rPr>
            </w:pPr>
            <w:r>
              <w:rPr>
                <w:rFonts w:hint="eastAsia"/>
                <w:lang w:val="en-US" w:eastAsia="zh-CN"/>
              </w:rPr>
              <w:t>6.6</w:t>
            </w:r>
          </w:p>
        </w:tc>
        <w:tc>
          <w:tcPr>
            <w:tcW w:w="458" w:type="pct"/>
            <w:vMerge w:val="restart"/>
            <w:noWrap w:val="0"/>
            <w:vAlign w:val="center"/>
          </w:tcPr>
          <w:p w14:paraId="4EFFA2F9">
            <w:pPr>
              <w:pStyle w:val="1111"/>
              <w:bidi w:val="0"/>
              <w:rPr>
                <w:rFonts w:hint="default" w:eastAsia="宋体"/>
                <w:lang w:val="en-US" w:eastAsia="zh-CN"/>
              </w:rPr>
            </w:pPr>
            <w:r>
              <w:rPr>
                <w:rFonts w:hint="eastAsia"/>
                <w:lang w:val="en-US" w:eastAsia="zh-CN"/>
              </w:rPr>
              <w:t>6</w:t>
            </w:r>
          </w:p>
        </w:tc>
      </w:tr>
      <w:tr w14:paraId="5C4935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7" w:type="pct"/>
            <w:vMerge w:val="continue"/>
            <w:noWrap w:val="0"/>
            <w:vAlign w:val="center"/>
          </w:tcPr>
          <w:p w14:paraId="48719ADA">
            <w:pPr>
              <w:pStyle w:val="1111"/>
              <w:bidi w:val="0"/>
            </w:pPr>
          </w:p>
        </w:tc>
        <w:tc>
          <w:tcPr>
            <w:tcW w:w="443" w:type="pct"/>
            <w:vMerge w:val="continue"/>
            <w:noWrap w:val="0"/>
            <w:vAlign w:val="center"/>
          </w:tcPr>
          <w:p w14:paraId="60118F97">
            <w:pPr>
              <w:pStyle w:val="1111"/>
              <w:bidi w:val="0"/>
            </w:pPr>
          </w:p>
        </w:tc>
        <w:tc>
          <w:tcPr>
            <w:tcW w:w="794" w:type="pct"/>
            <w:noWrap w:val="0"/>
            <w:vAlign w:val="center"/>
          </w:tcPr>
          <w:p w14:paraId="21B10485">
            <w:pPr>
              <w:keepNext w:val="0"/>
              <w:keepLines w:val="0"/>
              <w:widowControl/>
              <w:suppressLineNumbers w:val="0"/>
              <w:jc w:val="center"/>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臭气浓度</w:t>
            </w:r>
          </w:p>
        </w:tc>
        <w:tc>
          <w:tcPr>
            <w:tcW w:w="4383" w:type="dxa"/>
            <w:gridSpan w:val="2"/>
            <w:noWrap w:val="0"/>
            <w:vAlign w:val="center"/>
          </w:tcPr>
          <w:p w14:paraId="5D6BABEE">
            <w:pPr>
              <w:pStyle w:val="1111"/>
              <w:bidi w:val="0"/>
            </w:pPr>
            <w:r>
              <w:rPr>
                <w:rFonts w:hint="eastAsia"/>
                <w:lang w:val="en-US" w:eastAsia="zh-CN"/>
              </w:rPr>
              <w:t>5.481（无量纲）</w:t>
            </w:r>
          </w:p>
        </w:tc>
        <w:tc>
          <w:tcPr>
            <w:tcW w:w="669" w:type="pct"/>
            <w:vMerge w:val="continue"/>
            <w:noWrap w:val="0"/>
            <w:vAlign w:val="center"/>
          </w:tcPr>
          <w:p w14:paraId="10D4427F">
            <w:pPr>
              <w:pStyle w:val="1111"/>
              <w:bidi w:val="0"/>
            </w:pPr>
          </w:p>
        </w:tc>
        <w:tc>
          <w:tcPr>
            <w:tcW w:w="490" w:type="pct"/>
            <w:vMerge w:val="continue"/>
            <w:noWrap w:val="0"/>
            <w:vAlign w:val="center"/>
          </w:tcPr>
          <w:p w14:paraId="1371F707">
            <w:pPr>
              <w:pStyle w:val="1111"/>
              <w:bidi w:val="0"/>
            </w:pPr>
          </w:p>
        </w:tc>
        <w:tc>
          <w:tcPr>
            <w:tcW w:w="458" w:type="pct"/>
            <w:vMerge w:val="continue"/>
            <w:noWrap w:val="0"/>
            <w:vAlign w:val="center"/>
          </w:tcPr>
          <w:p w14:paraId="6BE4ECCE">
            <w:pPr>
              <w:pStyle w:val="1111"/>
              <w:bidi w:val="0"/>
            </w:pPr>
          </w:p>
        </w:tc>
      </w:tr>
    </w:tbl>
    <w:p w14:paraId="5DC19DD3">
      <w:pPr>
        <w:adjustRightInd w:val="0"/>
        <w:snapToGrid w:val="0"/>
        <w:spacing w:line="360" w:lineRule="auto"/>
        <w:rPr>
          <w:b/>
          <w:kern w:val="0"/>
          <w:sz w:val="28"/>
          <w:szCs w:val="28"/>
        </w:rPr>
        <w:sectPr>
          <w:pgSz w:w="16840" w:h="11907" w:orient="landscape"/>
          <w:pgMar w:top="1800" w:right="1440" w:bottom="1800" w:left="1440" w:header="851" w:footer="851" w:gutter="0"/>
          <w:pgBorders>
            <w:top w:val="none" w:sz="0" w:space="0"/>
            <w:left w:val="none" w:sz="0" w:space="0"/>
            <w:bottom w:val="none" w:sz="0" w:space="0"/>
            <w:right w:val="none" w:sz="0" w:space="0"/>
          </w:pgBorders>
          <w:cols w:space="720" w:num="1"/>
          <w:docGrid w:linePitch="312" w:charSpace="0"/>
        </w:sectPr>
      </w:pPr>
    </w:p>
    <w:tbl>
      <w:tblPr>
        <w:tblStyle w:val="77"/>
        <w:tblW w:w="8443"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78"/>
        <w:gridCol w:w="7865"/>
      </w:tblGrid>
      <w:tr w14:paraId="5E2E39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2" w:hRule="atLeast"/>
          <w:jc w:val="center"/>
        </w:trPr>
        <w:tc>
          <w:tcPr>
            <w:tcW w:w="578" w:type="dxa"/>
            <w:tcMar>
              <w:left w:w="28" w:type="dxa"/>
              <w:right w:w="28" w:type="dxa"/>
            </w:tcMar>
            <w:vAlign w:val="center"/>
          </w:tcPr>
          <w:p w14:paraId="3C6C7817">
            <w:pPr>
              <w:adjustRightInd w:val="0"/>
              <w:snapToGrid w:val="0"/>
              <w:jc w:val="center"/>
              <w:rPr>
                <w:bCs/>
                <w:sz w:val="24"/>
              </w:rPr>
            </w:pPr>
            <w:r>
              <w:rPr>
                <w:bCs/>
                <w:sz w:val="24"/>
              </w:rPr>
              <w:t>运营</w:t>
            </w:r>
          </w:p>
          <w:p w14:paraId="68B69883">
            <w:pPr>
              <w:adjustRightInd w:val="0"/>
              <w:snapToGrid w:val="0"/>
              <w:jc w:val="center"/>
              <w:rPr>
                <w:bCs/>
                <w:sz w:val="24"/>
              </w:rPr>
            </w:pPr>
            <w:r>
              <w:rPr>
                <w:bCs/>
                <w:sz w:val="24"/>
              </w:rPr>
              <w:t>期环</w:t>
            </w:r>
          </w:p>
          <w:p w14:paraId="0A6017A6">
            <w:pPr>
              <w:adjustRightInd w:val="0"/>
              <w:snapToGrid w:val="0"/>
              <w:jc w:val="center"/>
              <w:rPr>
                <w:bCs/>
                <w:sz w:val="24"/>
              </w:rPr>
            </w:pPr>
            <w:r>
              <w:rPr>
                <w:bCs/>
                <w:sz w:val="24"/>
              </w:rPr>
              <w:t>境影</w:t>
            </w:r>
          </w:p>
          <w:p w14:paraId="16304B96">
            <w:pPr>
              <w:adjustRightInd w:val="0"/>
              <w:snapToGrid w:val="0"/>
              <w:jc w:val="center"/>
              <w:rPr>
                <w:bCs/>
                <w:sz w:val="24"/>
              </w:rPr>
            </w:pPr>
            <w:r>
              <w:rPr>
                <w:bCs/>
                <w:sz w:val="24"/>
              </w:rPr>
              <w:t>响和</w:t>
            </w:r>
          </w:p>
          <w:p w14:paraId="4105462F">
            <w:pPr>
              <w:adjustRightInd w:val="0"/>
              <w:snapToGrid w:val="0"/>
              <w:jc w:val="center"/>
              <w:rPr>
                <w:bCs/>
                <w:sz w:val="24"/>
              </w:rPr>
            </w:pPr>
            <w:r>
              <w:rPr>
                <w:bCs/>
                <w:sz w:val="24"/>
              </w:rPr>
              <w:t>保护</w:t>
            </w:r>
          </w:p>
          <w:p w14:paraId="605DBE97">
            <w:pPr>
              <w:pStyle w:val="71"/>
              <w:adjustRightInd w:val="0"/>
              <w:snapToGrid w:val="0"/>
              <w:spacing w:before="0" w:beforeAutospacing="0" w:after="0" w:afterAutospacing="0"/>
              <w:jc w:val="center"/>
              <w:rPr>
                <w:rFonts w:ascii="Times New Roman" w:hAnsi="Times New Roman"/>
                <w:kern w:val="2"/>
                <w:szCs w:val="24"/>
              </w:rPr>
            </w:pPr>
            <w:r>
              <w:rPr>
                <w:bCs/>
              </w:rPr>
              <w:t>措施</w:t>
            </w:r>
          </w:p>
        </w:tc>
        <w:tc>
          <w:tcPr>
            <w:tcW w:w="7865" w:type="dxa"/>
            <w:vAlign w:val="center"/>
          </w:tcPr>
          <w:p w14:paraId="1A4D9E3A">
            <w:pPr>
              <w:pStyle w:val="512"/>
              <w:bidi w:val="0"/>
              <w:rPr>
                <w:rFonts w:hint="eastAsia" w:eastAsia="宋体"/>
                <w:lang w:eastAsia="zh-CN"/>
              </w:rPr>
            </w:pPr>
            <w:r>
              <w:rPr>
                <w:rFonts w:hint="eastAsia"/>
                <w:lang w:eastAsia="zh-CN"/>
              </w:rPr>
              <w:t>由于</w:t>
            </w:r>
            <w:r>
              <w:rPr>
                <w:rFonts w:hint="eastAsia"/>
                <w:lang w:val="en-US" w:eastAsia="zh-CN"/>
              </w:rPr>
              <w:t>DA001、DA002和DA003排气筒两两之间距离均小于30m，排气筒排放的污染物速率需要叠加计算。非甲烷总烃排放速率叠加为0.0274kg/h，满足《大气污染物综合排放标准》</w:t>
            </w:r>
            <w:r>
              <w:rPr>
                <w:rFonts w:hint="eastAsia"/>
              </w:rPr>
              <w:t>（D</w:t>
            </w:r>
            <w:r>
              <w:t>B32/4041-2021</w:t>
            </w:r>
            <w:r>
              <w:rPr>
                <w:rFonts w:hint="eastAsia"/>
              </w:rPr>
              <w:t>）表1大气污染物有组织排放限值</w:t>
            </w:r>
            <w:r>
              <w:rPr>
                <w:rFonts w:hint="eastAsia"/>
                <w:lang w:eastAsia="zh-CN"/>
              </w:rPr>
              <w:t>。</w:t>
            </w:r>
          </w:p>
          <w:p w14:paraId="2A7B2DD2">
            <w:pPr>
              <w:pStyle w:val="1111"/>
              <w:bidi w:val="0"/>
            </w:pPr>
            <w:r>
              <w:t>表4-</w:t>
            </w:r>
            <w:r>
              <w:rPr>
                <w:rFonts w:hint="eastAsia"/>
                <w:lang w:val="en-US" w:eastAsia="zh-CN"/>
              </w:rPr>
              <w:t>3</w:t>
            </w:r>
            <w:r>
              <w:t xml:space="preserve"> 项目</w:t>
            </w:r>
            <w:r>
              <w:rPr>
                <w:rFonts w:hint="eastAsia"/>
                <w:lang w:eastAsia="zh-CN"/>
              </w:rPr>
              <w:t>等效排气筒源强</w:t>
            </w:r>
            <w:r>
              <w:t>一览表</w:t>
            </w:r>
          </w:p>
          <w:tbl>
            <w:tblPr>
              <w:tblStyle w:val="78"/>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43"/>
              <w:gridCol w:w="2547"/>
              <w:gridCol w:w="2547"/>
            </w:tblGrid>
            <w:tr w14:paraId="0F072F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vAlign w:val="center"/>
                </w:tcPr>
                <w:p w14:paraId="48518FA0">
                  <w:pPr>
                    <w:pStyle w:val="1111"/>
                    <w:bidi w:val="0"/>
                    <w:jc w:val="center"/>
                    <w:rPr>
                      <w:rFonts w:hint="eastAsia" w:eastAsia="宋体"/>
                      <w:vertAlign w:val="baseline"/>
                      <w:lang w:eastAsia="zh-CN"/>
                    </w:rPr>
                  </w:pPr>
                  <w:r>
                    <w:rPr>
                      <w:rFonts w:hint="eastAsia"/>
                      <w:vertAlign w:val="baseline"/>
                      <w:lang w:eastAsia="zh-CN"/>
                    </w:rPr>
                    <w:t>排气筒名称</w:t>
                  </w:r>
                </w:p>
              </w:tc>
              <w:tc>
                <w:tcPr>
                  <w:tcW w:w="1667" w:type="pct"/>
                  <w:vAlign w:val="center"/>
                </w:tcPr>
                <w:p w14:paraId="7FD8756B">
                  <w:pPr>
                    <w:pStyle w:val="1111"/>
                    <w:bidi w:val="0"/>
                    <w:jc w:val="center"/>
                    <w:rPr>
                      <w:rFonts w:hint="eastAsia" w:eastAsia="宋体"/>
                      <w:vertAlign w:val="baseline"/>
                      <w:lang w:eastAsia="zh-CN"/>
                    </w:rPr>
                  </w:pPr>
                  <w:r>
                    <w:rPr>
                      <w:rFonts w:hint="eastAsia"/>
                      <w:vertAlign w:val="baseline"/>
                      <w:lang w:eastAsia="zh-CN"/>
                    </w:rPr>
                    <w:t>非甲烷总烃排放速率（</w:t>
                  </w:r>
                  <w:r>
                    <w:rPr>
                      <w:rFonts w:hint="eastAsia"/>
                      <w:vertAlign w:val="baseline"/>
                      <w:lang w:val="en-US" w:eastAsia="zh-CN"/>
                    </w:rPr>
                    <w:t>kg/h</w:t>
                  </w:r>
                  <w:r>
                    <w:rPr>
                      <w:rFonts w:hint="eastAsia"/>
                      <w:vertAlign w:val="baseline"/>
                      <w:lang w:eastAsia="zh-CN"/>
                    </w:rPr>
                    <w:t>）</w:t>
                  </w:r>
                </w:p>
              </w:tc>
              <w:tc>
                <w:tcPr>
                  <w:tcW w:w="1667" w:type="pct"/>
                  <w:vAlign w:val="center"/>
                </w:tcPr>
                <w:p w14:paraId="587BE522">
                  <w:pPr>
                    <w:pStyle w:val="1111"/>
                    <w:bidi w:val="0"/>
                    <w:jc w:val="center"/>
                    <w:rPr>
                      <w:rFonts w:hint="eastAsia" w:eastAsia="宋体"/>
                      <w:vertAlign w:val="baseline"/>
                      <w:lang w:eastAsia="zh-CN"/>
                    </w:rPr>
                  </w:pPr>
                  <w:r>
                    <w:rPr>
                      <w:rFonts w:hint="eastAsia"/>
                      <w:vertAlign w:val="baseline"/>
                      <w:lang w:eastAsia="zh-CN"/>
                    </w:rPr>
                    <w:t>高度（</w:t>
                  </w:r>
                  <w:r>
                    <w:rPr>
                      <w:rFonts w:hint="eastAsia"/>
                      <w:vertAlign w:val="baseline"/>
                      <w:lang w:val="en-US" w:eastAsia="zh-CN"/>
                    </w:rPr>
                    <w:t>m</w:t>
                  </w:r>
                  <w:r>
                    <w:rPr>
                      <w:rFonts w:hint="eastAsia"/>
                      <w:vertAlign w:val="baseline"/>
                      <w:lang w:eastAsia="zh-CN"/>
                    </w:rPr>
                    <w:t>）</w:t>
                  </w:r>
                </w:p>
              </w:tc>
            </w:tr>
            <w:tr w14:paraId="6697DD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vAlign w:val="center"/>
                </w:tcPr>
                <w:p w14:paraId="4FECE6C0">
                  <w:pPr>
                    <w:pStyle w:val="1111"/>
                    <w:bidi w:val="0"/>
                    <w:jc w:val="center"/>
                    <w:rPr>
                      <w:rFonts w:hint="default" w:eastAsia="宋体"/>
                      <w:vertAlign w:val="baseline"/>
                      <w:lang w:val="en-US" w:eastAsia="zh-CN"/>
                    </w:rPr>
                  </w:pPr>
                  <w:r>
                    <w:rPr>
                      <w:rFonts w:hint="eastAsia"/>
                      <w:vertAlign w:val="baseline"/>
                      <w:lang w:val="en-US" w:eastAsia="zh-CN"/>
                    </w:rPr>
                    <w:t>DA001</w:t>
                  </w:r>
                </w:p>
              </w:tc>
              <w:tc>
                <w:tcPr>
                  <w:tcW w:w="1667" w:type="pct"/>
                  <w:vAlign w:val="center"/>
                </w:tcPr>
                <w:p w14:paraId="77419BEE">
                  <w:pPr>
                    <w:pStyle w:val="1111"/>
                    <w:bidi w:val="0"/>
                    <w:jc w:val="center"/>
                    <w:rPr>
                      <w:vertAlign w:val="baseline"/>
                    </w:rPr>
                  </w:pPr>
                  <w:r>
                    <w:rPr>
                      <w:rFonts w:hint="eastAsia"/>
                      <w:lang w:val="en-US" w:eastAsia="zh-CN"/>
                    </w:rPr>
                    <w:t>0.00914</w:t>
                  </w:r>
                </w:p>
              </w:tc>
              <w:tc>
                <w:tcPr>
                  <w:tcW w:w="1667" w:type="pct"/>
                  <w:vAlign w:val="center"/>
                </w:tcPr>
                <w:p w14:paraId="1F34ADBE">
                  <w:pPr>
                    <w:pStyle w:val="1111"/>
                    <w:bidi w:val="0"/>
                    <w:jc w:val="center"/>
                    <w:rPr>
                      <w:rFonts w:hint="default" w:eastAsia="宋体"/>
                      <w:vertAlign w:val="baseline"/>
                      <w:lang w:val="en-US" w:eastAsia="zh-CN"/>
                    </w:rPr>
                  </w:pPr>
                  <w:r>
                    <w:rPr>
                      <w:rFonts w:hint="eastAsia"/>
                      <w:vertAlign w:val="baseline"/>
                      <w:lang w:val="en-US" w:eastAsia="zh-CN"/>
                    </w:rPr>
                    <w:t>15</w:t>
                  </w:r>
                </w:p>
              </w:tc>
            </w:tr>
            <w:tr w14:paraId="4442B2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vAlign w:val="center"/>
                </w:tcPr>
                <w:p w14:paraId="14C6C274">
                  <w:pPr>
                    <w:pStyle w:val="1111"/>
                    <w:bidi w:val="0"/>
                    <w:jc w:val="center"/>
                    <w:rPr>
                      <w:rFonts w:hint="default" w:eastAsia="宋体"/>
                      <w:vertAlign w:val="baseline"/>
                      <w:lang w:val="en-US" w:eastAsia="zh-CN"/>
                    </w:rPr>
                  </w:pPr>
                  <w:r>
                    <w:rPr>
                      <w:rFonts w:hint="eastAsia"/>
                      <w:vertAlign w:val="baseline"/>
                      <w:lang w:val="en-US" w:eastAsia="zh-CN"/>
                    </w:rPr>
                    <w:t>DA002</w:t>
                  </w:r>
                </w:p>
              </w:tc>
              <w:tc>
                <w:tcPr>
                  <w:tcW w:w="1667" w:type="pct"/>
                  <w:vAlign w:val="center"/>
                </w:tcPr>
                <w:p w14:paraId="41E2F3EB">
                  <w:pPr>
                    <w:bidi w:val="0"/>
                    <w:jc w:val="center"/>
                    <w:rPr>
                      <w:vertAlign w:val="baseline"/>
                    </w:rPr>
                  </w:pPr>
                  <w:r>
                    <w:rPr>
                      <w:rFonts w:hint="eastAsia"/>
                      <w:lang w:val="en-US" w:eastAsia="zh-CN"/>
                    </w:rPr>
                    <w:t>0.00914</w:t>
                  </w:r>
                </w:p>
              </w:tc>
              <w:tc>
                <w:tcPr>
                  <w:tcW w:w="1667" w:type="pct"/>
                  <w:vAlign w:val="center"/>
                </w:tcPr>
                <w:p w14:paraId="4A742099">
                  <w:pPr>
                    <w:pStyle w:val="1111"/>
                    <w:bidi w:val="0"/>
                    <w:jc w:val="center"/>
                    <w:rPr>
                      <w:rFonts w:hint="default" w:eastAsia="宋体"/>
                      <w:vertAlign w:val="baseline"/>
                      <w:lang w:val="en-US" w:eastAsia="zh-CN"/>
                    </w:rPr>
                  </w:pPr>
                  <w:r>
                    <w:rPr>
                      <w:rFonts w:hint="eastAsia"/>
                      <w:vertAlign w:val="baseline"/>
                      <w:lang w:val="en-US" w:eastAsia="zh-CN"/>
                    </w:rPr>
                    <w:t>15</w:t>
                  </w:r>
                </w:p>
              </w:tc>
            </w:tr>
            <w:tr w14:paraId="56FD67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vAlign w:val="center"/>
                </w:tcPr>
                <w:p w14:paraId="233B3FAE">
                  <w:pPr>
                    <w:pStyle w:val="1111"/>
                    <w:bidi w:val="0"/>
                    <w:jc w:val="center"/>
                    <w:rPr>
                      <w:rFonts w:hint="default" w:eastAsia="宋体"/>
                      <w:vertAlign w:val="baseline"/>
                      <w:lang w:val="en-US" w:eastAsia="zh-CN"/>
                    </w:rPr>
                  </w:pPr>
                  <w:r>
                    <w:rPr>
                      <w:rFonts w:hint="eastAsia"/>
                      <w:vertAlign w:val="baseline"/>
                      <w:lang w:val="en-US" w:eastAsia="zh-CN"/>
                    </w:rPr>
                    <w:t>DA003</w:t>
                  </w:r>
                </w:p>
              </w:tc>
              <w:tc>
                <w:tcPr>
                  <w:tcW w:w="1667" w:type="pct"/>
                  <w:vAlign w:val="center"/>
                </w:tcPr>
                <w:p w14:paraId="521D7E6D">
                  <w:pPr>
                    <w:bidi w:val="0"/>
                    <w:jc w:val="center"/>
                    <w:rPr>
                      <w:vertAlign w:val="baseline"/>
                    </w:rPr>
                  </w:pPr>
                  <w:r>
                    <w:rPr>
                      <w:rFonts w:hint="eastAsia"/>
                      <w:lang w:val="en-US" w:eastAsia="zh-CN"/>
                    </w:rPr>
                    <w:t>0.00914</w:t>
                  </w:r>
                </w:p>
              </w:tc>
              <w:tc>
                <w:tcPr>
                  <w:tcW w:w="1667" w:type="pct"/>
                  <w:vAlign w:val="center"/>
                </w:tcPr>
                <w:p w14:paraId="137B4ED0">
                  <w:pPr>
                    <w:pStyle w:val="1111"/>
                    <w:bidi w:val="0"/>
                    <w:jc w:val="center"/>
                    <w:rPr>
                      <w:rFonts w:hint="default" w:eastAsia="宋体"/>
                      <w:vertAlign w:val="baseline"/>
                      <w:lang w:val="en-US" w:eastAsia="zh-CN"/>
                    </w:rPr>
                  </w:pPr>
                  <w:r>
                    <w:rPr>
                      <w:rFonts w:hint="eastAsia"/>
                      <w:vertAlign w:val="baseline"/>
                      <w:lang w:val="en-US" w:eastAsia="zh-CN"/>
                    </w:rPr>
                    <w:t>15</w:t>
                  </w:r>
                </w:p>
              </w:tc>
            </w:tr>
            <w:tr w14:paraId="49CB44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vAlign w:val="center"/>
                </w:tcPr>
                <w:p w14:paraId="61C67249">
                  <w:pPr>
                    <w:pStyle w:val="1111"/>
                    <w:bidi w:val="0"/>
                    <w:jc w:val="center"/>
                    <w:rPr>
                      <w:rFonts w:hint="eastAsia" w:eastAsia="宋体"/>
                      <w:vertAlign w:val="baseline"/>
                      <w:lang w:eastAsia="zh-CN"/>
                    </w:rPr>
                  </w:pPr>
                  <w:r>
                    <w:rPr>
                      <w:rFonts w:hint="eastAsia"/>
                      <w:vertAlign w:val="baseline"/>
                      <w:lang w:eastAsia="zh-CN"/>
                    </w:rPr>
                    <w:t>等效排气筒</w:t>
                  </w:r>
                </w:p>
              </w:tc>
              <w:tc>
                <w:tcPr>
                  <w:tcW w:w="1667" w:type="pct"/>
                  <w:vAlign w:val="center"/>
                </w:tcPr>
                <w:p w14:paraId="2E072EC4">
                  <w:pPr>
                    <w:pStyle w:val="1111"/>
                    <w:bidi w:val="0"/>
                    <w:jc w:val="center"/>
                    <w:rPr>
                      <w:rFonts w:hint="default" w:eastAsia="宋体"/>
                      <w:vertAlign w:val="baseline"/>
                      <w:lang w:val="en-US" w:eastAsia="zh-CN"/>
                    </w:rPr>
                  </w:pPr>
                  <w:r>
                    <w:rPr>
                      <w:rFonts w:hint="eastAsia"/>
                      <w:vertAlign w:val="baseline"/>
                      <w:lang w:val="en-US" w:eastAsia="zh-CN"/>
                    </w:rPr>
                    <w:t>0.0274</w:t>
                  </w:r>
                </w:p>
              </w:tc>
              <w:tc>
                <w:tcPr>
                  <w:tcW w:w="1667" w:type="pct"/>
                  <w:vAlign w:val="center"/>
                </w:tcPr>
                <w:p w14:paraId="28E6E228">
                  <w:pPr>
                    <w:pStyle w:val="1111"/>
                    <w:bidi w:val="0"/>
                    <w:jc w:val="center"/>
                    <w:rPr>
                      <w:rFonts w:hint="default" w:eastAsia="宋体"/>
                      <w:vertAlign w:val="baseline"/>
                      <w:lang w:val="en-US" w:eastAsia="zh-CN"/>
                    </w:rPr>
                  </w:pPr>
                  <w:r>
                    <w:rPr>
                      <w:rFonts w:hint="eastAsia"/>
                      <w:vertAlign w:val="baseline"/>
                      <w:lang w:val="en-US" w:eastAsia="zh-CN"/>
                    </w:rPr>
                    <w:t>15</w:t>
                  </w:r>
                </w:p>
              </w:tc>
            </w:tr>
          </w:tbl>
          <w:p w14:paraId="49727B27">
            <w:pPr>
              <w:pStyle w:val="512"/>
              <w:bidi w:val="0"/>
              <w:rPr>
                <w:rFonts w:hint="eastAsia" w:eastAsia="宋体"/>
                <w:lang w:eastAsia="zh-CN"/>
              </w:rPr>
            </w:pPr>
            <w:r>
              <w:rPr>
                <w:rFonts w:hint="eastAsia"/>
                <w:lang w:eastAsia="zh-CN"/>
              </w:rPr>
              <w:t>（</w:t>
            </w:r>
            <w:r>
              <w:rPr>
                <w:rFonts w:hint="eastAsia"/>
                <w:lang w:val="en-US" w:eastAsia="zh-CN"/>
              </w:rPr>
              <w:t>2</w:t>
            </w:r>
            <w:r>
              <w:rPr>
                <w:rFonts w:hint="eastAsia"/>
                <w:lang w:eastAsia="zh-CN"/>
              </w:rPr>
              <w:t>）</w:t>
            </w:r>
            <w:r>
              <w:t>废气治理设施</w:t>
            </w:r>
            <w:r>
              <w:rPr>
                <w:rFonts w:hint="eastAsia"/>
                <w:lang w:eastAsia="zh-CN"/>
              </w:rPr>
              <w:t>可行性分析</w:t>
            </w:r>
          </w:p>
          <w:p w14:paraId="6DBAF3F3">
            <w:pPr>
              <w:pStyle w:val="512"/>
              <w:bidi w:val="0"/>
              <w:rPr>
                <w:rFonts w:hint="eastAsia"/>
              </w:rPr>
            </w:pPr>
            <w:r>
              <w:rPr>
                <w:color w:val="000000"/>
              </w:rPr>
              <w:t>本项目为危险废物集中收集、贮存</w:t>
            </w:r>
            <w:r>
              <w:rPr>
                <w:rFonts w:hint="eastAsia"/>
                <w:color w:val="000000"/>
              </w:rPr>
              <w:t>、委托处置</w:t>
            </w:r>
            <w:r>
              <w:rPr>
                <w:color w:val="000000"/>
              </w:rPr>
              <w:t>项目</w:t>
            </w:r>
            <w:r>
              <w:rPr>
                <w:rFonts w:hint="eastAsia"/>
                <w:color w:val="000000"/>
                <w:lang w:eastAsia="zh-CN"/>
              </w:rPr>
              <w:t>。</w:t>
            </w:r>
            <w:r>
              <w:rPr>
                <w:color w:val="000000"/>
              </w:rPr>
              <w:t xml:space="preserve">《排污许可证申请与核发技术规范 </w:t>
            </w:r>
            <w:r>
              <w:rPr>
                <w:rFonts w:hint="eastAsia"/>
                <w:color w:val="000000"/>
                <w:lang w:eastAsia="zh-CN"/>
              </w:rPr>
              <w:t>工业固体废物和危险废物治理</w:t>
            </w:r>
            <w:r>
              <w:rPr>
                <w:color w:val="000000"/>
              </w:rPr>
              <w:t>》（HJ103</w:t>
            </w:r>
            <w:r>
              <w:rPr>
                <w:rFonts w:hint="eastAsia"/>
                <w:color w:val="000000"/>
                <w:lang w:val="en-US" w:eastAsia="zh-CN"/>
              </w:rPr>
              <w:t>3</w:t>
            </w:r>
            <w:r>
              <w:rPr>
                <w:color w:val="000000"/>
              </w:rPr>
              <w:t>-2019）</w:t>
            </w:r>
            <w:r>
              <w:rPr>
                <w:rFonts w:hint="eastAsia"/>
                <w:color w:val="000000"/>
                <w:lang w:eastAsia="zh-CN"/>
              </w:rPr>
              <w:t>可知，</w:t>
            </w:r>
            <w:r>
              <w:rPr>
                <w:rFonts w:ascii="宋体" w:hAnsi="宋体" w:eastAsia="宋体" w:cs="宋体"/>
                <w:sz w:val="24"/>
                <w:szCs w:val="24"/>
              </w:rPr>
              <w:t>废气污染治理设施工艺包括除尘设施（袋式除尘器、电除尘器、电袋复合除尘器、其他）、脱硫设施（干法、半干法、湿法、其他）、有机废气收集治理设施（焚烧、吸附、催化氧化、其他）、恶臭治理设施（生物过滤、化学洗涤、活性炭吸附、其他），</w:t>
            </w:r>
            <w:r>
              <w:rPr>
                <w:rFonts w:hint="eastAsia" w:eastAsia="宋体"/>
                <w:color w:val="000000"/>
                <w:lang w:eastAsia="zh-CN"/>
              </w:rPr>
              <w:t>故</w:t>
            </w:r>
            <w:r>
              <w:rPr>
                <w:rFonts w:hint="eastAsia"/>
              </w:rPr>
              <w:t>本项目采用</w:t>
            </w:r>
            <w:r>
              <w:rPr>
                <w:rFonts w:hint="eastAsia"/>
                <w:lang w:eastAsia="zh-CN"/>
              </w:rPr>
              <w:t>“</w:t>
            </w:r>
            <w:r>
              <w:rPr>
                <w:rFonts w:hint="eastAsia"/>
              </w:rPr>
              <w:t>一级</w:t>
            </w:r>
            <w:r>
              <w:rPr>
                <w:rFonts w:hint="eastAsia"/>
                <w:lang w:eastAsia="zh-CN"/>
              </w:rPr>
              <w:t>碱吸收</w:t>
            </w:r>
            <w:r>
              <w:rPr>
                <w:rFonts w:hint="eastAsia"/>
              </w:rPr>
              <w:t>+一</w:t>
            </w:r>
            <w:r>
              <w:t>级活性炭</w:t>
            </w:r>
            <w:r>
              <w:rPr>
                <w:rFonts w:hint="eastAsia"/>
                <w:lang w:eastAsia="zh-CN"/>
              </w:rPr>
              <w:t>吸</w:t>
            </w:r>
            <w:r>
              <w:t>附</w:t>
            </w:r>
            <w:r>
              <w:rPr>
                <w:rFonts w:hint="eastAsia"/>
                <w:lang w:eastAsia="zh-CN"/>
              </w:rPr>
              <w:t>”处理</w:t>
            </w:r>
            <w:r>
              <w:rPr>
                <w:rFonts w:hint="eastAsia"/>
              </w:rPr>
              <w:t>工艺，</w:t>
            </w:r>
            <w:r>
              <w:t>属于危废贮存废气处理的可行技术。</w:t>
            </w:r>
            <w:r>
              <w:rPr>
                <w:rFonts w:hint="eastAsia"/>
              </w:rPr>
              <w:t>针对本项目正常工况下贮存和应急情况下贮存可能产生的废气中的挥发性有机物、恶臭等，</w:t>
            </w:r>
            <w:r>
              <w:rPr>
                <w:rFonts w:hint="eastAsia"/>
                <w:lang w:eastAsia="zh-CN"/>
              </w:rPr>
              <w:t>“</w:t>
            </w:r>
            <w:r>
              <w:rPr>
                <w:rFonts w:hint="eastAsia"/>
              </w:rPr>
              <w:t>一级</w:t>
            </w:r>
            <w:r>
              <w:rPr>
                <w:rFonts w:hint="eastAsia"/>
                <w:lang w:eastAsia="zh-CN"/>
              </w:rPr>
              <w:t>碱吸收</w:t>
            </w:r>
            <w:r>
              <w:rPr>
                <w:rFonts w:hint="eastAsia"/>
              </w:rPr>
              <w:t>+一</w:t>
            </w:r>
            <w:r>
              <w:t>级活性炭</w:t>
            </w:r>
            <w:r>
              <w:rPr>
                <w:rFonts w:hint="eastAsia"/>
                <w:lang w:eastAsia="zh-CN"/>
              </w:rPr>
              <w:t>吸</w:t>
            </w:r>
            <w:r>
              <w:t>附</w:t>
            </w:r>
            <w:r>
              <w:rPr>
                <w:rFonts w:hint="eastAsia"/>
                <w:lang w:eastAsia="zh-CN"/>
              </w:rPr>
              <w:t>”</w:t>
            </w:r>
            <w:r>
              <w:rPr>
                <w:rFonts w:hint="eastAsia"/>
              </w:rPr>
              <w:t>有较好的净化作用。</w:t>
            </w:r>
          </w:p>
          <w:p w14:paraId="31512963">
            <w:pPr>
              <w:pStyle w:val="512"/>
              <w:bidi w:val="0"/>
              <w:rPr>
                <w:rFonts w:hint="eastAsia" w:eastAsia="宋体"/>
                <w:lang w:eastAsia="zh-CN"/>
              </w:rPr>
            </w:pPr>
            <w:r>
              <w:rPr>
                <w:rFonts w:hint="eastAsia"/>
                <w:lang w:eastAsia="zh-CN"/>
              </w:rPr>
              <w:t>活性炭吸附工作原理：</w:t>
            </w:r>
          </w:p>
          <w:p w14:paraId="711244E4">
            <w:pPr>
              <w:pStyle w:val="512"/>
              <w:bidi w:val="0"/>
            </w:pPr>
            <w:r>
              <w:t>活性炭吸附法是利用活性炭作为吸附剂，把气体中的有害物质成分在活性炭庞大的固相表面进行吸附浓缩，从而达到净化废气目的的方法。它拥有处理效率高，投资较小等优点，尤其适用于间隙式小批量生产。活性炭净化箱分进风、活性炭过滤段和出风段组成，有机废气从进风口进入箱体，净化。</w:t>
            </w:r>
          </w:p>
          <w:p w14:paraId="4097FDA3">
            <w:pPr>
              <w:pStyle w:val="512"/>
              <w:bidi w:val="0"/>
            </w:pPr>
            <w:r>
              <w:t>本项目采用</w:t>
            </w:r>
            <w:r>
              <w:rPr>
                <w:rFonts w:hint="eastAsia"/>
              </w:rPr>
              <w:t>“一级</w:t>
            </w:r>
            <w:r>
              <w:rPr>
                <w:rFonts w:hint="eastAsia"/>
                <w:lang w:eastAsia="zh-CN"/>
              </w:rPr>
              <w:t>碱吸收</w:t>
            </w:r>
            <w:r>
              <w:t>+</w:t>
            </w:r>
            <w:r>
              <w:rPr>
                <w:rFonts w:hint="eastAsia"/>
              </w:rPr>
              <w:t>一级活性炭吸附”</w:t>
            </w:r>
            <w:r>
              <w:t>，填充蜂窝状活性炭，</w:t>
            </w:r>
            <w:r>
              <w:rPr>
                <w:rFonts w:hint="eastAsia"/>
                <w:lang w:eastAsia="zh-CN"/>
              </w:rPr>
              <w:t>炭填充量为</w:t>
            </w:r>
            <w:r>
              <w:rPr>
                <w:rFonts w:hint="eastAsia"/>
                <w:lang w:val="en-US" w:eastAsia="zh-CN"/>
              </w:rPr>
              <w:t>150kg，活性炭过滤箱</w:t>
            </w:r>
            <w:r>
              <w:rPr>
                <w:rStyle w:val="511"/>
                <w:rFonts w:hint="eastAsia"/>
                <w:lang w:val="en-US" w:eastAsia="zh-CN"/>
              </w:rPr>
              <w:t>尺寸为1150×1000×1100mm。废气</w:t>
            </w:r>
            <w:r>
              <w:rPr>
                <w:rStyle w:val="511"/>
              </w:rPr>
              <w:t>气流</w:t>
            </w:r>
            <w:r>
              <w:t>流速应低于1.2m/s，活性炭碘值不低于800毫克/克，确保有机废气</w:t>
            </w:r>
            <w:r>
              <w:rPr>
                <w:rFonts w:hint="eastAsia"/>
              </w:rPr>
              <w:t>总</w:t>
            </w:r>
            <w:r>
              <w:t>处理效率不低于90%。</w:t>
            </w:r>
          </w:p>
          <w:p w14:paraId="56C139C8">
            <w:pPr>
              <w:pStyle w:val="512"/>
              <w:bidi w:val="0"/>
              <w:rPr>
                <w:rStyle w:val="511"/>
                <w:rFonts w:hint="eastAsia"/>
                <w:lang w:val="en-US" w:eastAsia="zh-CN"/>
              </w:rPr>
            </w:pPr>
            <w:r>
              <w:rPr>
                <w:rFonts w:hint="eastAsia"/>
                <w:lang w:eastAsia="zh-CN"/>
              </w:rPr>
              <w:t>工程实例：根据济宁宇宸环保科技有限公司危险废物收集、储存及转运中心建设项目竣工环境保护验收监测报告，</w:t>
            </w:r>
            <w:r>
              <w:rPr>
                <w:rStyle w:val="511"/>
                <w:rFonts w:hint="eastAsia"/>
                <w:lang w:val="en-US" w:eastAsia="zh-CN"/>
              </w:rPr>
              <w:t>企业建有“碱液喷淋装置+活性炭吸附装置”处理危废暂存厂房库区挥发的有机废气和废酸罐大小呼吸废气。根据该企业项目的验收报告，排气筒出口VOCs排放浓度均值为1.02mg/m</w:t>
            </w:r>
            <w:r>
              <w:rPr>
                <w:rStyle w:val="511"/>
                <w:rFonts w:hint="eastAsia"/>
                <w:vertAlign w:val="superscript"/>
                <w:lang w:val="en-US" w:eastAsia="zh-CN"/>
              </w:rPr>
              <w:t>3</w:t>
            </w:r>
            <w:r>
              <w:rPr>
                <w:rStyle w:val="511"/>
                <w:rFonts w:hint="eastAsia"/>
                <w:lang w:val="en-US" w:eastAsia="zh-CN"/>
              </w:rPr>
              <w:t>，臭气浓度均值为895，“碱液喷淋装置+活性炭吸附装置”的处理效率可达到92%。本项目类比该企业废气处理措施，“碱液喷淋装置+活性炭吸附装置”的对非甲烷总烃和臭气的处理效率取90%。</w:t>
            </w:r>
          </w:p>
          <w:p w14:paraId="1590D773">
            <w:pPr>
              <w:pStyle w:val="512"/>
              <w:bidi w:val="0"/>
            </w:pPr>
            <w:r>
              <w:rPr>
                <w:rFonts w:hint="eastAsia"/>
                <w:lang w:eastAsia="zh-CN"/>
              </w:rPr>
              <w:t>（</w:t>
            </w:r>
            <w:r>
              <w:rPr>
                <w:rFonts w:hint="eastAsia"/>
                <w:lang w:val="en-US" w:eastAsia="zh-CN"/>
              </w:rPr>
              <w:t>3</w:t>
            </w:r>
            <w:r>
              <w:rPr>
                <w:rFonts w:hint="eastAsia"/>
                <w:lang w:eastAsia="zh-CN"/>
              </w:rPr>
              <w:t>）</w:t>
            </w:r>
            <w:r>
              <w:t>非正常工况</w:t>
            </w:r>
          </w:p>
          <w:p w14:paraId="1C2AE270">
            <w:pPr>
              <w:pStyle w:val="512"/>
              <w:bidi w:val="0"/>
            </w:pPr>
            <w:r>
              <w:t>根据环评技术导则要求，非正常污染物排放是指生产过程中开停车、设备检修、工艺设备运转异常等非正常工况下的污染物排放，以及污染物排放控制措施达不到应有效率等情况下的排放。</w:t>
            </w:r>
          </w:p>
          <w:p w14:paraId="092F7C8A">
            <w:pPr>
              <w:pStyle w:val="512"/>
              <w:bidi w:val="0"/>
            </w:pPr>
            <w:r>
              <w:rPr>
                <w:rFonts w:hint="eastAsia"/>
              </w:rPr>
              <w:t>本项目非正常工况考虑</w:t>
            </w:r>
            <w:r>
              <w:rPr>
                <w:rFonts w:hint="eastAsia"/>
                <w:lang w:val="en-US" w:eastAsia="zh-CN"/>
              </w:rPr>
              <w:t>1#存储间</w:t>
            </w:r>
            <w:r>
              <w:rPr>
                <w:rFonts w:hint="eastAsia"/>
              </w:rPr>
              <w:t>配套的</w:t>
            </w:r>
            <w:r>
              <w:rPr>
                <w:rFonts w:hint="eastAsia"/>
                <w:lang w:eastAsia="zh-CN"/>
              </w:rPr>
              <w:t>“</w:t>
            </w:r>
            <w:r>
              <w:rPr>
                <w:rFonts w:hint="eastAsia"/>
                <w:lang w:val="en-US" w:eastAsia="zh-CN"/>
              </w:rPr>
              <w:t>一级碱吸收</w:t>
            </w:r>
            <w:r>
              <w:rPr>
                <w:rFonts w:hint="default"/>
                <w:lang w:val="en-US" w:eastAsia="zh-CN"/>
              </w:rPr>
              <w:t>+</w:t>
            </w:r>
            <w:r>
              <w:rPr>
                <w:rFonts w:hint="eastAsia"/>
                <w:lang w:val="en-US" w:eastAsia="zh-CN"/>
              </w:rPr>
              <w:t>一级活性炭附</w:t>
            </w:r>
            <w:r>
              <w:rPr>
                <w:rFonts w:hint="eastAsia"/>
                <w:lang w:eastAsia="zh-CN"/>
              </w:rPr>
              <w:t>”</w:t>
            </w:r>
            <w:r>
              <w:rPr>
                <w:rFonts w:hint="eastAsia"/>
              </w:rPr>
              <w:t>装置故障，去除率降低至</w:t>
            </w:r>
            <w:r>
              <w:t>0%</w:t>
            </w:r>
            <w:r>
              <w:rPr>
                <w:rFonts w:hint="eastAsia"/>
              </w:rPr>
              <w:t>，具体排放源强见表</w:t>
            </w:r>
            <w:r>
              <w:t>4-</w:t>
            </w:r>
            <w:r>
              <w:rPr>
                <w:rFonts w:hint="eastAsia"/>
                <w:lang w:val="en-US" w:eastAsia="zh-CN"/>
              </w:rPr>
              <w:t>4</w:t>
            </w:r>
            <w:r>
              <w:rPr>
                <w:rFonts w:hint="eastAsia"/>
              </w:rPr>
              <w:t>：</w:t>
            </w:r>
          </w:p>
          <w:p w14:paraId="5DE7C487">
            <w:pPr>
              <w:pStyle w:val="1111"/>
              <w:rPr>
                <w:rFonts w:hint="eastAsia"/>
              </w:rPr>
            </w:pPr>
            <w:r>
              <w:rPr>
                <w:rFonts w:hint="eastAsia"/>
              </w:rPr>
              <w:t>表4</w:t>
            </w:r>
            <w:r>
              <w:t>-</w:t>
            </w:r>
            <w:r>
              <w:rPr>
                <w:rFonts w:hint="eastAsia"/>
                <w:lang w:val="en-US" w:eastAsia="zh-CN"/>
              </w:rPr>
              <w:t>4</w:t>
            </w:r>
            <w:r>
              <w:t xml:space="preserve"> </w:t>
            </w:r>
            <w:r>
              <w:rPr>
                <w:rFonts w:hint="eastAsia"/>
              </w:rPr>
              <w:t>非正常或事故状况下废气污染物排放源强表</w:t>
            </w:r>
          </w:p>
          <w:tbl>
            <w:tblPr>
              <w:tblStyle w:val="78"/>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7"/>
              <w:gridCol w:w="1491"/>
              <w:gridCol w:w="689"/>
              <w:gridCol w:w="777"/>
              <w:gridCol w:w="1402"/>
              <w:gridCol w:w="1092"/>
              <w:gridCol w:w="1095"/>
            </w:tblGrid>
            <w:tr w14:paraId="736E63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2" w:type="pct"/>
                  <w:vMerge w:val="restart"/>
                  <w:vAlign w:val="center"/>
                </w:tcPr>
                <w:p w14:paraId="1ACFF23B">
                  <w:pPr>
                    <w:pStyle w:val="1111"/>
                    <w:rPr>
                      <w:rFonts w:hint="eastAsia" w:eastAsia="宋体"/>
                      <w:vertAlign w:val="baseline"/>
                      <w:lang w:eastAsia="zh-CN"/>
                    </w:rPr>
                  </w:pPr>
                  <w:r>
                    <w:rPr>
                      <w:rFonts w:hint="eastAsia"/>
                      <w:vertAlign w:val="baseline"/>
                      <w:lang w:eastAsia="zh-CN"/>
                    </w:rPr>
                    <w:t>排放源</w:t>
                  </w:r>
                </w:p>
              </w:tc>
              <w:tc>
                <w:tcPr>
                  <w:tcW w:w="976" w:type="pct"/>
                  <w:vMerge w:val="restart"/>
                  <w:vAlign w:val="center"/>
                </w:tcPr>
                <w:p w14:paraId="6B7F9E49">
                  <w:pPr>
                    <w:pStyle w:val="1111"/>
                    <w:rPr>
                      <w:rFonts w:hint="eastAsia" w:eastAsia="宋体"/>
                      <w:vertAlign w:val="baseline"/>
                      <w:lang w:eastAsia="zh-CN"/>
                    </w:rPr>
                  </w:pPr>
                  <w:r>
                    <w:rPr>
                      <w:rFonts w:hint="eastAsia"/>
                      <w:vertAlign w:val="baseline"/>
                      <w:lang w:eastAsia="zh-CN"/>
                    </w:rPr>
                    <w:t>非正常原因</w:t>
                  </w:r>
                </w:p>
              </w:tc>
              <w:tc>
                <w:tcPr>
                  <w:tcW w:w="451" w:type="pct"/>
                  <w:vMerge w:val="restart"/>
                  <w:vAlign w:val="center"/>
                </w:tcPr>
                <w:p w14:paraId="19CB892C">
                  <w:pPr>
                    <w:pStyle w:val="1111"/>
                    <w:rPr>
                      <w:rFonts w:hint="eastAsia" w:eastAsia="宋体"/>
                      <w:vertAlign w:val="baseline"/>
                      <w:lang w:eastAsia="zh-CN"/>
                    </w:rPr>
                  </w:pPr>
                  <w:r>
                    <w:rPr>
                      <w:rFonts w:hint="eastAsia"/>
                      <w:vertAlign w:val="baseline"/>
                      <w:lang w:eastAsia="zh-CN"/>
                    </w:rPr>
                    <w:t>年发生频次</w:t>
                  </w:r>
                </w:p>
              </w:tc>
              <w:tc>
                <w:tcPr>
                  <w:tcW w:w="509" w:type="pct"/>
                  <w:vMerge w:val="restart"/>
                  <w:vAlign w:val="center"/>
                </w:tcPr>
                <w:p w14:paraId="652BA9FA">
                  <w:pPr>
                    <w:pStyle w:val="1111"/>
                    <w:rPr>
                      <w:rFonts w:hint="eastAsia" w:eastAsia="宋体"/>
                      <w:vertAlign w:val="baseline"/>
                      <w:lang w:eastAsia="zh-CN"/>
                    </w:rPr>
                  </w:pPr>
                  <w:r>
                    <w:rPr>
                      <w:rFonts w:hint="eastAsia"/>
                      <w:vertAlign w:val="baseline"/>
                      <w:lang w:eastAsia="zh-CN"/>
                    </w:rPr>
                    <w:t>单次持续时间</w:t>
                  </w:r>
                </w:p>
              </w:tc>
              <w:tc>
                <w:tcPr>
                  <w:tcW w:w="918" w:type="pct"/>
                  <w:vMerge w:val="restart"/>
                  <w:vAlign w:val="center"/>
                </w:tcPr>
                <w:p w14:paraId="660E0808">
                  <w:pPr>
                    <w:pStyle w:val="1111"/>
                    <w:rPr>
                      <w:rFonts w:hint="eastAsia" w:eastAsia="宋体"/>
                      <w:vertAlign w:val="baseline"/>
                      <w:lang w:eastAsia="zh-CN"/>
                    </w:rPr>
                  </w:pPr>
                  <w:r>
                    <w:rPr>
                      <w:rFonts w:hint="eastAsia"/>
                      <w:vertAlign w:val="baseline"/>
                      <w:lang w:eastAsia="zh-CN"/>
                    </w:rPr>
                    <w:t>污染物</w:t>
                  </w:r>
                </w:p>
              </w:tc>
              <w:tc>
                <w:tcPr>
                  <w:tcW w:w="1432" w:type="pct"/>
                  <w:gridSpan w:val="2"/>
                  <w:vAlign w:val="center"/>
                </w:tcPr>
                <w:p w14:paraId="5B15316B">
                  <w:pPr>
                    <w:pStyle w:val="1111"/>
                    <w:rPr>
                      <w:rFonts w:hint="eastAsia" w:eastAsia="宋体"/>
                      <w:vertAlign w:val="baseline"/>
                      <w:lang w:eastAsia="zh-CN"/>
                    </w:rPr>
                  </w:pPr>
                  <w:r>
                    <w:rPr>
                      <w:rFonts w:hint="eastAsia"/>
                      <w:vertAlign w:val="baseline"/>
                      <w:lang w:eastAsia="zh-CN"/>
                    </w:rPr>
                    <w:t>排放源强</w:t>
                  </w:r>
                </w:p>
              </w:tc>
            </w:tr>
            <w:tr w14:paraId="45D9EB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2" w:type="pct"/>
                  <w:vMerge w:val="continue"/>
                  <w:vAlign w:val="center"/>
                </w:tcPr>
                <w:p w14:paraId="5400E288">
                  <w:pPr>
                    <w:pStyle w:val="1111"/>
                    <w:rPr>
                      <w:rFonts w:hint="eastAsia"/>
                      <w:vertAlign w:val="baseline"/>
                    </w:rPr>
                  </w:pPr>
                </w:p>
              </w:tc>
              <w:tc>
                <w:tcPr>
                  <w:tcW w:w="976" w:type="pct"/>
                  <w:vMerge w:val="continue"/>
                  <w:vAlign w:val="center"/>
                </w:tcPr>
                <w:p w14:paraId="3CB0D8D8">
                  <w:pPr>
                    <w:pStyle w:val="1111"/>
                    <w:rPr>
                      <w:rFonts w:hint="eastAsia"/>
                      <w:vertAlign w:val="baseline"/>
                    </w:rPr>
                  </w:pPr>
                </w:p>
              </w:tc>
              <w:tc>
                <w:tcPr>
                  <w:tcW w:w="451" w:type="pct"/>
                  <w:vMerge w:val="continue"/>
                  <w:vAlign w:val="center"/>
                </w:tcPr>
                <w:p w14:paraId="5D53BE62">
                  <w:pPr>
                    <w:pStyle w:val="1111"/>
                    <w:rPr>
                      <w:rFonts w:hint="eastAsia"/>
                      <w:vertAlign w:val="baseline"/>
                    </w:rPr>
                  </w:pPr>
                </w:p>
              </w:tc>
              <w:tc>
                <w:tcPr>
                  <w:tcW w:w="509" w:type="pct"/>
                  <w:vMerge w:val="continue"/>
                  <w:vAlign w:val="center"/>
                </w:tcPr>
                <w:p w14:paraId="36EDC0E7">
                  <w:pPr>
                    <w:pStyle w:val="1111"/>
                    <w:rPr>
                      <w:rFonts w:hint="eastAsia"/>
                      <w:vertAlign w:val="baseline"/>
                    </w:rPr>
                  </w:pPr>
                </w:p>
              </w:tc>
              <w:tc>
                <w:tcPr>
                  <w:tcW w:w="918" w:type="pct"/>
                  <w:vMerge w:val="continue"/>
                  <w:vAlign w:val="center"/>
                </w:tcPr>
                <w:p w14:paraId="35D155A5">
                  <w:pPr>
                    <w:pStyle w:val="1111"/>
                    <w:rPr>
                      <w:rFonts w:hint="eastAsia"/>
                      <w:vertAlign w:val="baseline"/>
                    </w:rPr>
                  </w:pPr>
                </w:p>
              </w:tc>
              <w:tc>
                <w:tcPr>
                  <w:tcW w:w="715" w:type="pct"/>
                  <w:vAlign w:val="center"/>
                </w:tcPr>
                <w:p w14:paraId="660A6D86">
                  <w:pPr>
                    <w:pStyle w:val="1111"/>
                    <w:rPr>
                      <w:rFonts w:hint="eastAsia" w:ascii="Times New Roman" w:hAnsi="Times New Roman" w:eastAsia="宋体" w:cs="Times New Roman"/>
                      <w:kern w:val="0"/>
                      <w:sz w:val="21"/>
                      <w:szCs w:val="20"/>
                      <w:lang w:val="en-US" w:eastAsia="zh-CN" w:bidi="ar-SA"/>
                    </w:rPr>
                  </w:pPr>
                  <w:r>
                    <w:rPr>
                      <w:rFonts w:hint="eastAsia"/>
                    </w:rPr>
                    <w:t>浓度mg/m</w:t>
                  </w:r>
                  <w:r>
                    <w:rPr>
                      <w:rFonts w:hint="eastAsia"/>
                      <w:vertAlign w:val="superscript"/>
                    </w:rPr>
                    <w:t>3</w:t>
                  </w:r>
                </w:p>
              </w:tc>
              <w:tc>
                <w:tcPr>
                  <w:tcW w:w="716" w:type="pct"/>
                  <w:vAlign w:val="center"/>
                </w:tcPr>
                <w:p w14:paraId="20703F3E">
                  <w:pPr>
                    <w:pStyle w:val="1111"/>
                    <w:rPr>
                      <w:rFonts w:hint="eastAsia" w:ascii="Times New Roman" w:hAnsi="Times New Roman" w:eastAsia="宋体" w:cs="Times New Roman"/>
                      <w:kern w:val="0"/>
                      <w:sz w:val="21"/>
                      <w:szCs w:val="20"/>
                      <w:lang w:val="en-US" w:eastAsia="zh-CN" w:bidi="ar-SA"/>
                    </w:rPr>
                  </w:pPr>
                  <w:r>
                    <w:rPr>
                      <w:rFonts w:hint="eastAsia"/>
                    </w:rPr>
                    <w:t>速率kg/h</w:t>
                  </w:r>
                </w:p>
              </w:tc>
            </w:tr>
            <w:tr w14:paraId="43EA7D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2" w:type="pct"/>
                  <w:vMerge w:val="restart"/>
                  <w:vAlign w:val="center"/>
                </w:tcPr>
                <w:p w14:paraId="485755C2">
                  <w:pPr>
                    <w:pStyle w:val="1111"/>
                    <w:rPr>
                      <w:rFonts w:hint="default" w:eastAsia="宋体"/>
                      <w:vertAlign w:val="baseline"/>
                      <w:lang w:val="en-US" w:eastAsia="zh-CN"/>
                    </w:rPr>
                  </w:pPr>
                  <w:r>
                    <w:rPr>
                      <w:rFonts w:hint="eastAsia"/>
                      <w:vertAlign w:val="baseline"/>
                      <w:lang w:val="en-US" w:eastAsia="zh-CN"/>
                    </w:rPr>
                    <w:t>排气筒DA001</w:t>
                  </w:r>
                </w:p>
              </w:tc>
              <w:tc>
                <w:tcPr>
                  <w:tcW w:w="976" w:type="pct"/>
                  <w:vMerge w:val="restart"/>
                  <w:vAlign w:val="center"/>
                </w:tcPr>
                <w:p w14:paraId="5CE2FF87">
                  <w:pPr>
                    <w:pStyle w:val="1111"/>
                    <w:rPr>
                      <w:rFonts w:hint="eastAsia"/>
                      <w:vertAlign w:val="baseline"/>
                    </w:rPr>
                  </w:pPr>
                  <w:r>
                    <w:rPr>
                      <w:rFonts w:hint="eastAsia"/>
                      <w:lang w:eastAsia="zh-CN"/>
                    </w:rPr>
                    <w:t>“</w:t>
                  </w:r>
                  <w:r>
                    <w:rPr>
                      <w:rFonts w:hint="eastAsia"/>
                      <w:lang w:val="en-US" w:eastAsia="zh-CN"/>
                    </w:rPr>
                    <w:t>一级碱吸收</w:t>
                  </w:r>
                  <w:r>
                    <w:rPr>
                      <w:rFonts w:hint="default"/>
                      <w:lang w:val="en-US" w:eastAsia="zh-CN"/>
                    </w:rPr>
                    <w:t>+</w:t>
                  </w:r>
                  <w:r>
                    <w:rPr>
                      <w:rFonts w:hint="eastAsia"/>
                      <w:lang w:val="en-US" w:eastAsia="zh-CN"/>
                    </w:rPr>
                    <w:t>一级活性炭附</w:t>
                  </w:r>
                  <w:r>
                    <w:rPr>
                      <w:rFonts w:hint="eastAsia"/>
                      <w:lang w:eastAsia="zh-CN"/>
                    </w:rPr>
                    <w:t>”</w:t>
                  </w:r>
                  <w:r>
                    <w:rPr>
                      <w:rFonts w:hint="eastAsia"/>
                    </w:rPr>
                    <w:t>装置故障</w:t>
                  </w:r>
                </w:p>
              </w:tc>
              <w:tc>
                <w:tcPr>
                  <w:tcW w:w="451" w:type="pct"/>
                  <w:vMerge w:val="restart"/>
                  <w:vAlign w:val="center"/>
                </w:tcPr>
                <w:p w14:paraId="25F65DEF">
                  <w:pPr>
                    <w:pStyle w:val="1111"/>
                    <w:rPr>
                      <w:rFonts w:hint="eastAsia" w:eastAsia="宋体"/>
                      <w:vertAlign w:val="baseline"/>
                      <w:lang w:val="en-US" w:eastAsia="zh-CN"/>
                    </w:rPr>
                  </w:pPr>
                  <w:r>
                    <w:rPr>
                      <w:rFonts w:hint="eastAsia"/>
                      <w:vertAlign w:val="baseline"/>
                      <w:lang w:val="en-US" w:eastAsia="zh-CN"/>
                    </w:rPr>
                    <w:t>1</w:t>
                  </w:r>
                </w:p>
              </w:tc>
              <w:tc>
                <w:tcPr>
                  <w:tcW w:w="509" w:type="pct"/>
                  <w:vMerge w:val="restart"/>
                  <w:vAlign w:val="center"/>
                </w:tcPr>
                <w:p w14:paraId="4E5F6761">
                  <w:pPr>
                    <w:pStyle w:val="1111"/>
                    <w:rPr>
                      <w:rFonts w:hint="default" w:eastAsia="宋体"/>
                      <w:vertAlign w:val="baseline"/>
                      <w:lang w:val="en-US" w:eastAsia="zh-CN"/>
                    </w:rPr>
                  </w:pPr>
                  <w:r>
                    <w:rPr>
                      <w:rFonts w:hint="eastAsia"/>
                      <w:vertAlign w:val="baseline"/>
                      <w:lang w:val="en-US" w:eastAsia="zh-CN"/>
                    </w:rPr>
                    <w:t>0.5h</w:t>
                  </w:r>
                </w:p>
              </w:tc>
              <w:tc>
                <w:tcPr>
                  <w:tcW w:w="918" w:type="pct"/>
                  <w:vAlign w:val="center"/>
                </w:tcPr>
                <w:p w14:paraId="2A9C3541">
                  <w:pPr>
                    <w:keepNext w:val="0"/>
                    <w:keepLines w:val="0"/>
                    <w:widowControl/>
                    <w:suppressLineNumbers w:val="0"/>
                    <w:jc w:val="center"/>
                    <w:textAlignment w:val="center"/>
                    <w:rPr>
                      <w:rFonts w:hint="eastAsia"/>
                      <w:vertAlign w:val="baseline"/>
                    </w:rPr>
                  </w:pPr>
                  <w:r>
                    <w:rPr>
                      <w:rFonts w:hint="eastAsia" w:ascii="宋体" w:hAnsi="宋体" w:eastAsia="宋体" w:cs="宋体"/>
                      <w:i w:val="0"/>
                      <w:iCs w:val="0"/>
                      <w:color w:val="000000"/>
                      <w:kern w:val="0"/>
                      <w:sz w:val="21"/>
                      <w:szCs w:val="21"/>
                      <w:u w:val="none"/>
                      <w:lang w:val="en-US" w:eastAsia="zh-CN" w:bidi="ar"/>
                    </w:rPr>
                    <w:t>非甲烷总烃</w:t>
                  </w:r>
                </w:p>
              </w:tc>
              <w:tc>
                <w:tcPr>
                  <w:tcW w:w="715" w:type="pct"/>
                  <w:vAlign w:val="center"/>
                </w:tcPr>
                <w:p w14:paraId="22F94E34">
                  <w:pPr>
                    <w:pStyle w:val="1111"/>
                    <w:bidi w:val="0"/>
                    <w:rPr>
                      <w:rFonts w:hint="default"/>
                      <w:lang w:val="en-US" w:eastAsia="zh-CN"/>
                    </w:rPr>
                  </w:pPr>
                  <w:r>
                    <w:rPr>
                      <w:rFonts w:hint="eastAsia"/>
                      <w:lang w:val="en-US" w:eastAsia="zh-CN"/>
                    </w:rPr>
                    <w:t>18.27</w:t>
                  </w:r>
                </w:p>
              </w:tc>
              <w:tc>
                <w:tcPr>
                  <w:tcW w:w="716" w:type="pct"/>
                  <w:vAlign w:val="center"/>
                </w:tcPr>
                <w:p w14:paraId="51083024">
                  <w:pPr>
                    <w:pStyle w:val="1111"/>
                    <w:bidi w:val="0"/>
                    <w:rPr>
                      <w:rFonts w:hint="default"/>
                      <w:lang w:val="en-US" w:eastAsia="zh-CN"/>
                    </w:rPr>
                  </w:pPr>
                  <w:r>
                    <w:rPr>
                      <w:rFonts w:hint="eastAsia"/>
                      <w:lang w:val="en-US" w:eastAsia="zh-CN"/>
                    </w:rPr>
                    <w:t>0.0914</w:t>
                  </w:r>
                </w:p>
              </w:tc>
            </w:tr>
            <w:tr w14:paraId="5062B9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2" w:type="pct"/>
                  <w:vMerge w:val="continue"/>
                  <w:vAlign w:val="center"/>
                </w:tcPr>
                <w:p w14:paraId="2B5498D9">
                  <w:pPr>
                    <w:pStyle w:val="1111"/>
                    <w:rPr>
                      <w:rFonts w:hint="eastAsia"/>
                      <w:vertAlign w:val="baseline"/>
                    </w:rPr>
                  </w:pPr>
                </w:p>
              </w:tc>
              <w:tc>
                <w:tcPr>
                  <w:tcW w:w="976" w:type="pct"/>
                  <w:vMerge w:val="continue"/>
                  <w:vAlign w:val="center"/>
                </w:tcPr>
                <w:p w14:paraId="12BF0970">
                  <w:pPr>
                    <w:pStyle w:val="1111"/>
                    <w:rPr>
                      <w:rFonts w:hint="eastAsia"/>
                      <w:vertAlign w:val="baseline"/>
                    </w:rPr>
                  </w:pPr>
                </w:p>
              </w:tc>
              <w:tc>
                <w:tcPr>
                  <w:tcW w:w="451" w:type="pct"/>
                  <w:vMerge w:val="continue"/>
                  <w:vAlign w:val="center"/>
                </w:tcPr>
                <w:p w14:paraId="536A0570">
                  <w:pPr>
                    <w:pStyle w:val="1111"/>
                    <w:rPr>
                      <w:rFonts w:hint="eastAsia"/>
                      <w:vertAlign w:val="baseline"/>
                    </w:rPr>
                  </w:pPr>
                </w:p>
              </w:tc>
              <w:tc>
                <w:tcPr>
                  <w:tcW w:w="509" w:type="pct"/>
                  <w:vMerge w:val="continue"/>
                  <w:vAlign w:val="center"/>
                </w:tcPr>
                <w:p w14:paraId="3C0E6119">
                  <w:pPr>
                    <w:pStyle w:val="1111"/>
                    <w:rPr>
                      <w:rFonts w:hint="eastAsia"/>
                      <w:vertAlign w:val="baseline"/>
                    </w:rPr>
                  </w:pPr>
                </w:p>
              </w:tc>
              <w:tc>
                <w:tcPr>
                  <w:tcW w:w="918" w:type="pct"/>
                  <w:vAlign w:val="center"/>
                </w:tcPr>
                <w:p w14:paraId="5018585E">
                  <w:pPr>
                    <w:keepNext w:val="0"/>
                    <w:keepLines w:val="0"/>
                    <w:widowControl/>
                    <w:suppressLineNumbers w:val="0"/>
                    <w:jc w:val="center"/>
                    <w:textAlignment w:val="center"/>
                    <w:rPr>
                      <w:rFonts w:hint="eastAsia"/>
                      <w:vertAlign w:val="baseline"/>
                    </w:rPr>
                  </w:pPr>
                  <w:r>
                    <w:rPr>
                      <w:rFonts w:hint="eastAsia" w:ascii="宋体" w:hAnsi="宋体" w:eastAsia="宋体" w:cs="宋体"/>
                      <w:i w:val="0"/>
                      <w:iCs w:val="0"/>
                      <w:color w:val="000000"/>
                      <w:kern w:val="0"/>
                      <w:sz w:val="21"/>
                      <w:szCs w:val="21"/>
                      <w:u w:val="none"/>
                      <w:lang w:val="en-US" w:eastAsia="zh-CN" w:bidi="ar"/>
                    </w:rPr>
                    <w:t>臭气浓度</w:t>
                  </w:r>
                </w:p>
              </w:tc>
              <w:tc>
                <w:tcPr>
                  <w:tcW w:w="1432" w:type="pct"/>
                  <w:gridSpan w:val="2"/>
                  <w:vAlign w:val="center"/>
                </w:tcPr>
                <w:p w14:paraId="02309045">
                  <w:pPr>
                    <w:pStyle w:val="1111"/>
                    <w:rPr>
                      <w:rFonts w:hint="default" w:eastAsia="宋体"/>
                      <w:vertAlign w:val="baseline"/>
                      <w:lang w:val="en-US" w:eastAsia="zh-CN"/>
                    </w:rPr>
                  </w:pPr>
                  <w:r>
                    <w:rPr>
                      <w:rFonts w:hint="eastAsia"/>
                      <w:vertAlign w:val="baseline"/>
                      <w:lang w:val="en-US" w:eastAsia="zh-CN"/>
                    </w:rPr>
                    <w:t>49.329（无量纲）</w:t>
                  </w:r>
                </w:p>
              </w:tc>
            </w:tr>
          </w:tbl>
          <w:p w14:paraId="397E11E1">
            <w:pPr>
              <w:pStyle w:val="512"/>
              <w:bidi w:val="0"/>
              <w:rPr>
                <w:rFonts w:hint="eastAsia"/>
              </w:rPr>
            </w:pPr>
            <w:r>
              <w:rPr>
                <w:rFonts w:hint="eastAsia"/>
              </w:rPr>
              <w:t>非正常工况时，项目排放污染物对周边大气环境将产生一定程度的不良影响。为避免上述非正常排放情况的发生，</w:t>
            </w:r>
            <w:r>
              <w:rPr>
                <w:rFonts w:hint="eastAsia"/>
                <w:lang w:eastAsia="zh-CN"/>
              </w:rPr>
              <w:t>企业</w:t>
            </w:r>
            <w:r>
              <w:rPr>
                <w:rFonts w:hint="eastAsia"/>
              </w:rPr>
              <w:t>在生产过程中应加强管理，定期更换活性炭吸附装置内的活性炭，发生活性炭吸附装置故障等非正常工况时应立刻停止作业，待异常事故处理完成后方可投入生产。</w:t>
            </w:r>
          </w:p>
          <w:p w14:paraId="6579666B">
            <w:pPr>
              <w:pStyle w:val="512"/>
              <w:bidi w:val="0"/>
            </w:pPr>
            <w:r>
              <w:rPr>
                <w:rFonts w:hint="eastAsia"/>
                <w:lang w:eastAsia="zh-CN"/>
              </w:rPr>
              <w:t>（</w:t>
            </w:r>
            <w:r>
              <w:rPr>
                <w:rFonts w:hint="eastAsia"/>
                <w:lang w:val="en-US" w:eastAsia="zh-CN"/>
              </w:rPr>
              <w:t>4</w:t>
            </w:r>
            <w:r>
              <w:rPr>
                <w:rFonts w:hint="eastAsia"/>
                <w:lang w:eastAsia="zh-CN"/>
              </w:rPr>
              <w:t>）</w:t>
            </w:r>
            <w:r>
              <w:t>防护距离计算</w:t>
            </w:r>
          </w:p>
          <w:p w14:paraId="0450AF95">
            <w:pPr>
              <w:pStyle w:val="512"/>
              <w:bidi w:val="0"/>
            </w:pPr>
            <w:r>
              <w:rPr>
                <w:rFonts w:hint="eastAsia"/>
              </w:rPr>
              <w:t>①</w:t>
            </w:r>
            <w:r>
              <w:t>大气环境防护距离计算</w:t>
            </w:r>
          </w:p>
          <w:p w14:paraId="014C8290">
            <w:pPr>
              <w:pStyle w:val="512"/>
            </w:pPr>
            <w:r>
              <w:rPr>
                <w:rFonts w:hint="eastAsia"/>
              </w:rPr>
              <w:t>本报告采用《环境影响评价技术导则大气环境》（H</w:t>
            </w:r>
            <w:r>
              <w:t>J2.2-2018</w:t>
            </w:r>
            <w:r>
              <w:rPr>
                <w:rFonts w:hint="eastAsia"/>
              </w:rPr>
              <w:t>）推荐的估算模式（A</w:t>
            </w:r>
            <w:r>
              <w:t>ERSCREEN</w:t>
            </w:r>
            <w:r>
              <w:rPr>
                <w:rFonts w:hint="eastAsia"/>
              </w:rPr>
              <w:t>）对本项目建成后，正常排放情况下，厂界有组织和无组织废气浓度进行预测。</w:t>
            </w:r>
          </w:p>
          <w:p w14:paraId="03C2A316">
            <w:pPr>
              <w:pStyle w:val="512"/>
            </w:pPr>
            <w:r>
              <w:rPr>
                <w:rFonts w:hint="eastAsia"/>
              </w:rPr>
              <w:t>1）预测因子及评价标准</w:t>
            </w:r>
          </w:p>
          <w:p w14:paraId="0C607C39">
            <w:pPr>
              <w:pStyle w:val="512"/>
            </w:pPr>
            <w:r>
              <w:rPr>
                <w:rFonts w:hint="eastAsia"/>
              </w:rPr>
              <w:t>本次评价选取相应质量标准的评价因子，进行环境影响预测，具体评价因子及评价标准详见表4</w:t>
            </w:r>
            <w:r>
              <w:t>-</w:t>
            </w:r>
            <w:r>
              <w:rPr>
                <w:rFonts w:hint="eastAsia"/>
                <w:lang w:val="en-US" w:eastAsia="zh-CN"/>
              </w:rPr>
              <w:t>5</w:t>
            </w:r>
            <w:r>
              <w:rPr>
                <w:rFonts w:hint="eastAsia"/>
              </w:rPr>
              <w:t>：</w:t>
            </w:r>
          </w:p>
          <w:p w14:paraId="7CFFFC48">
            <w:pPr>
              <w:pStyle w:val="1111"/>
            </w:pPr>
            <w:r>
              <w:rPr>
                <w:rFonts w:hint="eastAsia"/>
              </w:rPr>
              <w:t>表4</w:t>
            </w:r>
            <w:r>
              <w:t>-</w:t>
            </w:r>
            <w:r>
              <w:rPr>
                <w:rFonts w:hint="eastAsia"/>
                <w:lang w:val="en-US" w:eastAsia="zh-CN"/>
              </w:rPr>
              <w:t>5</w:t>
            </w:r>
            <w:r>
              <w:t xml:space="preserve"> </w:t>
            </w:r>
            <w:r>
              <w:rPr>
                <w:rFonts w:hint="eastAsia"/>
              </w:rPr>
              <w:t>项目评价因子及评价标准（单位：mg/m</w:t>
            </w:r>
            <w:r>
              <w:rPr>
                <w:rFonts w:hint="eastAsia"/>
                <w:vertAlign w:val="superscript"/>
              </w:rPr>
              <w:t>3</w:t>
            </w:r>
            <w:r>
              <w:rPr>
                <w:rFonts w:hint="eastAsia"/>
              </w:rPr>
              <w:t>）</w:t>
            </w:r>
          </w:p>
          <w:tbl>
            <w:tblPr>
              <w:tblStyle w:val="7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10"/>
              <w:gridCol w:w="2062"/>
              <w:gridCol w:w="3967"/>
            </w:tblGrid>
            <w:tr w14:paraId="61CA3F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4" w:type="pct"/>
                  <w:vAlign w:val="center"/>
                </w:tcPr>
                <w:p w14:paraId="269F8FBF">
                  <w:pPr>
                    <w:pStyle w:val="1111"/>
                  </w:pPr>
                  <w:r>
                    <w:rPr>
                      <w:rFonts w:hint="eastAsia"/>
                    </w:rPr>
                    <w:t>评价因子</w:t>
                  </w:r>
                </w:p>
              </w:tc>
              <w:tc>
                <w:tcPr>
                  <w:tcW w:w="1349" w:type="pct"/>
                  <w:vAlign w:val="center"/>
                </w:tcPr>
                <w:p w14:paraId="41786E27">
                  <w:pPr>
                    <w:pStyle w:val="1111"/>
                  </w:pPr>
                  <w:r>
                    <w:rPr>
                      <w:rFonts w:hint="eastAsia"/>
                    </w:rPr>
                    <w:t>评价标准（小时值）</w:t>
                  </w:r>
                </w:p>
              </w:tc>
              <w:tc>
                <w:tcPr>
                  <w:tcW w:w="2596" w:type="pct"/>
                  <w:vAlign w:val="center"/>
                </w:tcPr>
                <w:p w14:paraId="7B6FAE19">
                  <w:pPr>
                    <w:pStyle w:val="1111"/>
                  </w:pPr>
                  <w:r>
                    <w:rPr>
                      <w:rFonts w:hint="eastAsia"/>
                    </w:rPr>
                    <w:t>标准来源</w:t>
                  </w:r>
                </w:p>
              </w:tc>
            </w:tr>
            <w:tr w14:paraId="52E3F9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4" w:type="pct"/>
                  <w:vAlign w:val="center"/>
                </w:tcPr>
                <w:p w14:paraId="44048D04">
                  <w:pPr>
                    <w:pStyle w:val="1111"/>
                  </w:pPr>
                  <w:r>
                    <w:rPr>
                      <w:rFonts w:hint="eastAsia"/>
                    </w:rPr>
                    <w:t>非甲烷总烃</w:t>
                  </w:r>
                </w:p>
              </w:tc>
              <w:tc>
                <w:tcPr>
                  <w:tcW w:w="1349" w:type="pct"/>
                  <w:vAlign w:val="center"/>
                </w:tcPr>
                <w:p w14:paraId="74262597">
                  <w:pPr>
                    <w:pStyle w:val="1111"/>
                  </w:pPr>
                  <w:r>
                    <w:t>2.00</w:t>
                  </w:r>
                </w:p>
              </w:tc>
              <w:tc>
                <w:tcPr>
                  <w:tcW w:w="2596" w:type="pct"/>
                  <w:vAlign w:val="center"/>
                </w:tcPr>
                <w:p w14:paraId="75C3F475">
                  <w:pPr>
                    <w:pStyle w:val="1111"/>
                  </w:pPr>
                  <w:r>
                    <w:rPr>
                      <w:rFonts w:hint="eastAsia"/>
                    </w:rPr>
                    <w:t>《大气污染物综合排放标准详解》</w:t>
                  </w:r>
                </w:p>
              </w:tc>
            </w:tr>
          </w:tbl>
          <w:p w14:paraId="431FF208">
            <w:pPr>
              <w:pStyle w:val="512"/>
            </w:pPr>
            <w:r>
              <w:rPr>
                <w:rFonts w:hint="eastAsia"/>
              </w:rPr>
              <w:t>2）预测源强及相关参数</w:t>
            </w:r>
          </w:p>
          <w:p w14:paraId="43D6A1F3">
            <w:pPr>
              <w:pStyle w:val="512"/>
            </w:pPr>
            <w:r>
              <w:rPr>
                <w:rFonts w:hint="eastAsia"/>
              </w:rPr>
              <w:t>本项目采用估算模式A</w:t>
            </w:r>
            <w:r>
              <w:t>ERSCREEN</w:t>
            </w:r>
            <w:r>
              <w:rPr>
                <w:rFonts w:hint="eastAsia"/>
              </w:rPr>
              <w:t>进行判定时，采用的参数见表4</w:t>
            </w:r>
            <w:r>
              <w:t>-</w:t>
            </w:r>
            <w:r>
              <w:rPr>
                <w:rFonts w:hint="eastAsia"/>
                <w:lang w:val="en-US" w:eastAsia="zh-CN"/>
              </w:rPr>
              <w:t>6</w:t>
            </w:r>
            <w:r>
              <w:rPr>
                <w:rFonts w:hint="eastAsia"/>
              </w:rPr>
              <w:t>。项目正常工况下有组织、无组织排放源强及相关参数见表4</w:t>
            </w:r>
            <w:r>
              <w:t>-</w:t>
            </w:r>
            <w:r>
              <w:rPr>
                <w:rFonts w:hint="eastAsia"/>
                <w:lang w:val="en-US" w:eastAsia="zh-CN"/>
              </w:rPr>
              <w:t>7</w:t>
            </w:r>
            <w:r>
              <w:rPr>
                <w:rFonts w:hint="eastAsia"/>
              </w:rPr>
              <w:t>、表4</w:t>
            </w:r>
            <w:r>
              <w:t>-</w:t>
            </w:r>
            <w:r>
              <w:rPr>
                <w:rFonts w:hint="eastAsia"/>
                <w:lang w:val="en-US" w:eastAsia="zh-CN"/>
              </w:rPr>
              <w:t>8</w:t>
            </w:r>
            <w:r>
              <w:rPr>
                <w:rFonts w:hint="eastAsia"/>
              </w:rPr>
              <w:t>：</w:t>
            </w:r>
          </w:p>
          <w:p w14:paraId="2A348F0C">
            <w:pPr>
              <w:pStyle w:val="1111"/>
            </w:pPr>
            <w:r>
              <w:rPr>
                <w:rFonts w:hint="eastAsia"/>
              </w:rPr>
              <w:t>表4</w:t>
            </w:r>
            <w:r>
              <w:t>-</w:t>
            </w:r>
            <w:r>
              <w:rPr>
                <w:rFonts w:hint="eastAsia"/>
                <w:lang w:val="en-US" w:eastAsia="zh-CN"/>
              </w:rPr>
              <w:t>6</w:t>
            </w:r>
            <w:r>
              <w:t xml:space="preserve"> </w:t>
            </w:r>
            <w:r>
              <w:rPr>
                <w:rFonts w:hint="eastAsia"/>
              </w:rPr>
              <w:t>废气估算模型参数表</w:t>
            </w:r>
          </w:p>
          <w:tbl>
            <w:tblPr>
              <w:tblStyle w:val="7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77"/>
              <w:gridCol w:w="2117"/>
              <w:gridCol w:w="1200"/>
              <w:gridCol w:w="3145"/>
            </w:tblGrid>
            <w:tr w14:paraId="017BCA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55" w:type="pct"/>
                  <w:gridSpan w:val="2"/>
                  <w:vAlign w:val="center"/>
                </w:tcPr>
                <w:p w14:paraId="21155D29">
                  <w:pPr>
                    <w:pStyle w:val="1111"/>
                  </w:pPr>
                  <w:r>
                    <w:t>参数</w:t>
                  </w:r>
                </w:p>
              </w:tc>
              <w:tc>
                <w:tcPr>
                  <w:tcW w:w="785" w:type="pct"/>
                  <w:vAlign w:val="center"/>
                </w:tcPr>
                <w:p w14:paraId="77A8452F">
                  <w:pPr>
                    <w:pStyle w:val="1111"/>
                  </w:pPr>
                  <w:r>
                    <w:t>取值</w:t>
                  </w:r>
                </w:p>
              </w:tc>
              <w:tc>
                <w:tcPr>
                  <w:tcW w:w="2058" w:type="pct"/>
                  <w:vAlign w:val="center"/>
                </w:tcPr>
                <w:p w14:paraId="1AC1A4B7">
                  <w:pPr>
                    <w:pStyle w:val="1111"/>
                  </w:pPr>
                  <w:r>
                    <w:t>取值依据</w:t>
                  </w:r>
                </w:p>
              </w:tc>
            </w:tr>
            <w:tr w14:paraId="6F8915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0" w:type="pct"/>
                  <w:vMerge w:val="restart"/>
                  <w:vAlign w:val="center"/>
                </w:tcPr>
                <w:p w14:paraId="32C3EED0">
                  <w:pPr>
                    <w:pStyle w:val="1111"/>
                  </w:pPr>
                  <w:r>
                    <w:t>城市/农村选项</w:t>
                  </w:r>
                </w:p>
              </w:tc>
              <w:tc>
                <w:tcPr>
                  <w:tcW w:w="1385" w:type="pct"/>
                  <w:vAlign w:val="center"/>
                </w:tcPr>
                <w:p w14:paraId="661CB779">
                  <w:pPr>
                    <w:pStyle w:val="1111"/>
                  </w:pPr>
                  <w:r>
                    <w:t>城市/农村</w:t>
                  </w:r>
                </w:p>
              </w:tc>
              <w:tc>
                <w:tcPr>
                  <w:tcW w:w="785" w:type="pct"/>
                  <w:vAlign w:val="center"/>
                </w:tcPr>
                <w:p w14:paraId="1E090E62">
                  <w:pPr>
                    <w:pStyle w:val="1111"/>
                  </w:pPr>
                  <w:r>
                    <w:rPr>
                      <w:rFonts w:hint="eastAsia"/>
                    </w:rPr>
                    <w:t>城市</w:t>
                  </w:r>
                </w:p>
              </w:tc>
              <w:tc>
                <w:tcPr>
                  <w:tcW w:w="2058" w:type="pct"/>
                  <w:vAlign w:val="center"/>
                </w:tcPr>
                <w:p w14:paraId="614C2BC0">
                  <w:pPr>
                    <w:pStyle w:val="1111"/>
                  </w:pPr>
                  <w:r>
                    <w:t>周边3km半径范围一半以上面积属于城市建成区或规划区</w:t>
                  </w:r>
                </w:p>
              </w:tc>
            </w:tr>
            <w:tr w14:paraId="0B8092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0" w:type="pct"/>
                  <w:vMerge w:val="continue"/>
                  <w:vAlign w:val="center"/>
                </w:tcPr>
                <w:p w14:paraId="35A6FFAC">
                  <w:pPr>
                    <w:pStyle w:val="1111"/>
                  </w:pPr>
                </w:p>
              </w:tc>
              <w:tc>
                <w:tcPr>
                  <w:tcW w:w="1385" w:type="pct"/>
                  <w:vAlign w:val="center"/>
                </w:tcPr>
                <w:p w14:paraId="398BA413">
                  <w:pPr>
                    <w:pStyle w:val="1111"/>
                  </w:pPr>
                  <w:r>
                    <w:t>人口数（城市选项时）</w:t>
                  </w:r>
                </w:p>
              </w:tc>
              <w:tc>
                <w:tcPr>
                  <w:tcW w:w="785" w:type="pct"/>
                  <w:vAlign w:val="center"/>
                </w:tcPr>
                <w:p w14:paraId="5534785A">
                  <w:pPr>
                    <w:pStyle w:val="1111"/>
                  </w:pPr>
                  <w:r>
                    <w:t>/</w:t>
                  </w:r>
                </w:p>
              </w:tc>
              <w:tc>
                <w:tcPr>
                  <w:tcW w:w="2058" w:type="pct"/>
                  <w:vAlign w:val="center"/>
                </w:tcPr>
                <w:p w14:paraId="47FB3C62">
                  <w:pPr>
                    <w:pStyle w:val="1111"/>
                  </w:pPr>
                  <w:r>
                    <w:t>/</w:t>
                  </w:r>
                </w:p>
              </w:tc>
            </w:tr>
            <w:tr w14:paraId="6E068B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55" w:type="pct"/>
                  <w:gridSpan w:val="2"/>
                  <w:vAlign w:val="center"/>
                </w:tcPr>
                <w:p w14:paraId="6C892B4F">
                  <w:pPr>
                    <w:pStyle w:val="1111"/>
                  </w:pPr>
                  <w:r>
                    <w:t>最高环境温度/</w:t>
                  </w:r>
                  <w:r>
                    <w:rPr>
                      <w:rFonts w:hint="eastAsia" w:ascii="宋体" w:hAnsi="宋体" w:cs="宋体"/>
                    </w:rPr>
                    <w:t>℃</w:t>
                  </w:r>
                </w:p>
              </w:tc>
              <w:tc>
                <w:tcPr>
                  <w:tcW w:w="785" w:type="pct"/>
                  <w:vAlign w:val="center"/>
                </w:tcPr>
                <w:p w14:paraId="5C5D1B79">
                  <w:pPr>
                    <w:pStyle w:val="1111"/>
                  </w:pPr>
                  <w:r>
                    <w:t>39.7</w:t>
                  </w:r>
                </w:p>
              </w:tc>
              <w:tc>
                <w:tcPr>
                  <w:tcW w:w="2058" w:type="pct"/>
                  <w:vMerge w:val="restart"/>
                  <w:vAlign w:val="center"/>
                </w:tcPr>
                <w:p w14:paraId="75D810B1">
                  <w:pPr>
                    <w:pStyle w:val="1111"/>
                  </w:pPr>
                  <w:r>
                    <w:t>近20年气象统计数据</w:t>
                  </w:r>
                </w:p>
              </w:tc>
            </w:tr>
            <w:tr w14:paraId="248E82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55" w:type="pct"/>
                  <w:gridSpan w:val="2"/>
                  <w:vAlign w:val="center"/>
                </w:tcPr>
                <w:p w14:paraId="6AF7DA45">
                  <w:pPr>
                    <w:pStyle w:val="1111"/>
                  </w:pPr>
                  <w:r>
                    <w:t>最低环境温度/</w:t>
                  </w:r>
                  <w:r>
                    <w:rPr>
                      <w:rFonts w:hint="eastAsia" w:ascii="宋体" w:hAnsi="宋体" w:cs="宋体"/>
                    </w:rPr>
                    <w:t>℃</w:t>
                  </w:r>
                </w:p>
              </w:tc>
              <w:tc>
                <w:tcPr>
                  <w:tcW w:w="785" w:type="pct"/>
                  <w:vAlign w:val="center"/>
                </w:tcPr>
                <w:p w14:paraId="6331B8BF">
                  <w:pPr>
                    <w:pStyle w:val="1111"/>
                  </w:pPr>
                  <w:r>
                    <w:t>-18.1</w:t>
                  </w:r>
                </w:p>
              </w:tc>
              <w:tc>
                <w:tcPr>
                  <w:tcW w:w="2058" w:type="pct"/>
                  <w:vMerge w:val="continue"/>
                  <w:vAlign w:val="center"/>
                </w:tcPr>
                <w:p w14:paraId="6FFCCFA3">
                  <w:pPr>
                    <w:pStyle w:val="1111"/>
                  </w:pPr>
                </w:p>
              </w:tc>
            </w:tr>
            <w:tr w14:paraId="575F22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55" w:type="pct"/>
                  <w:gridSpan w:val="2"/>
                  <w:vAlign w:val="center"/>
                </w:tcPr>
                <w:p w14:paraId="730484D0">
                  <w:pPr>
                    <w:pStyle w:val="1111"/>
                  </w:pPr>
                  <w:r>
                    <w:t>土地利用类型</w:t>
                  </w:r>
                </w:p>
              </w:tc>
              <w:tc>
                <w:tcPr>
                  <w:tcW w:w="785" w:type="pct"/>
                  <w:vAlign w:val="center"/>
                </w:tcPr>
                <w:p w14:paraId="408FA673">
                  <w:pPr>
                    <w:pStyle w:val="1111"/>
                  </w:pPr>
                  <w:r>
                    <w:rPr>
                      <w:rFonts w:hint="eastAsia"/>
                    </w:rPr>
                    <w:t>工业用地</w:t>
                  </w:r>
                </w:p>
              </w:tc>
              <w:tc>
                <w:tcPr>
                  <w:tcW w:w="2058" w:type="pct"/>
                  <w:vAlign w:val="center"/>
                </w:tcPr>
                <w:p w14:paraId="4678DA85">
                  <w:pPr>
                    <w:pStyle w:val="1111"/>
                  </w:pPr>
                  <w:r>
                    <w:t>周围3km范围内占地面积最大的土地为</w:t>
                  </w:r>
                  <w:r>
                    <w:rPr>
                      <w:rFonts w:hint="eastAsia"/>
                    </w:rPr>
                    <w:t>工业</w:t>
                  </w:r>
                  <w:r>
                    <w:t>用地</w:t>
                  </w:r>
                </w:p>
              </w:tc>
            </w:tr>
            <w:tr w14:paraId="4BB839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55" w:type="pct"/>
                  <w:gridSpan w:val="2"/>
                  <w:vAlign w:val="center"/>
                </w:tcPr>
                <w:p w14:paraId="5B164F49">
                  <w:pPr>
                    <w:pStyle w:val="1111"/>
                  </w:pPr>
                  <w:r>
                    <w:t>区域湿度条件</w:t>
                  </w:r>
                </w:p>
              </w:tc>
              <w:tc>
                <w:tcPr>
                  <w:tcW w:w="785" w:type="pct"/>
                  <w:vAlign w:val="center"/>
                </w:tcPr>
                <w:p w14:paraId="156C6642">
                  <w:pPr>
                    <w:pStyle w:val="1111"/>
                  </w:pPr>
                  <w:r>
                    <w:t>半湿润区</w:t>
                  </w:r>
                </w:p>
              </w:tc>
              <w:tc>
                <w:tcPr>
                  <w:tcW w:w="2058" w:type="pct"/>
                  <w:vAlign w:val="center"/>
                </w:tcPr>
                <w:p w14:paraId="5F005184">
                  <w:pPr>
                    <w:pStyle w:val="1111"/>
                  </w:pPr>
                  <w:r>
                    <w:t>中国干湿分区图</w:t>
                  </w:r>
                </w:p>
              </w:tc>
            </w:tr>
            <w:tr w14:paraId="311573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0" w:type="pct"/>
                  <w:vMerge w:val="restart"/>
                  <w:vAlign w:val="center"/>
                </w:tcPr>
                <w:p w14:paraId="6B63AFA3">
                  <w:pPr>
                    <w:pStyle w:val="1111"/>
                  </w:pPr>
                  <w:r>
                    <w:t>是否考虑地形</w:t>
                  </w:r>
                </w:p>
              </w:tc>
              <w:tc>
                <w:tcPr>
                  <w:tcW w:w="1385" w:type="pct"/>
                  <w:vAlign w:val="center"/>
                </w:tcPr>
                <w:p w14:paraId="5716E318">
                  <w:pPr>
                    <w:pStyle w:val="1111"/>
                  </w:pPr>
                  <w:r>
                    <w:t>考虑地形</w:t>
                  </w:r>
                </w:p>
              </w:tc>
              <w:tc>
                <w:tcPr>
                  <w:tcW w:w="785" w:type="pct"/>
                  <w:vAlign w:val="center"/>
                </w:tcPr>
                <w:p w14:paraId="2F768ABA">
                  <w:pPr>
                    <w:pStyle w:val="1111"/>
                  </w:pPr>
                  <w:r>
                    <w:t>是</w:t>
                  </w:r>
                </w:p>
              </w:tc>
              <w:tc>
                <w:tcPr>
                  <w:tcW w:w="2058" w:type="pct"/>
                  <w:vAlign w:val="center"/>
                </w:tcPr>
                <w:p w14:paraId="761A45AC">
                  <w:pPr>
                    <w:pStyle w:val="1111"/>
                  </w:pPr>
                  <w:r>
                    <w:t>/</w:t>
                  </w:r>
                </w:p>
              </w:tc>
            </w:tr>
            <w:tr w14:paraId="0FAE69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0" w:type="pct"/>
                  <w:vMerge w:val="continue"/>
                  <w:vAlign w:val="center"/>
                </w:tcPr>
                <w:p w14:paraId="02C3D8AB">
                  <w:pPr>
                    <w:pStyle w:val="1111"/>
                  </w:pPr>
                </w:p>
              </w:tc>
              <w:tc>
                <w:tcPr>
                  <w:tcW w:w="1385" w:type="pct"/>
                  <w:vAlign w:val="center"/>
                </w:tcPr>
                <w:p w14:paraId="7E596DAC">
                  <w:pPr>
                    <w:pStyle w:val="1111"/>
                  </w:pPr>
                  <w:r>
                    <w:t>地形数据分辨率/m</w:t>
                  </w:r>
                </w:p>
              </w:tc>
              <w:tc>
                <w:tcPr>
                  <w:tcW w:w="785" w:type="pct"/>
                  <w:vAlign w:val="center"/>
                </w:tcPr>
                <w:p w14:paraId="69415DE9">
                  <w:pPr>
                    <w:pStyle w:val="1111"/>
                  </w:pPr>
                  <w:r>
                    <w:t>/</w:t>
                  </w:r>
                </w:p>
              </w:tc>
              <w:tc>
                <w:tcPr>
                  <w:tcW w:w="2058" w:type="pct"/>
                  <w:vAlign w:val="center"/>
                </w:tcPr>
                <w:p w14:paraId="5A88993A">
                  <w:pPr>
                    <w:pStyle w:val="1111"/>
                  </w:pPr>
                  <w:r>
                    <w:t>/</w:t>
                  </w:r>
                </w:p>
              </w:tc>
            </w:tr>
            <w:tr w14:paraId="2A4592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0" w:type="pct"/>
                  <w:vMerge w:val="restart"/>
                  <w:vAlign w:val="center"/>
                </w:tcPr>
                <w:p w14:paraId="5E10AEC8">
                  <w:pPr>
                    <w:pStyle w:val="1111"/>
                  </w:pPr>
                  <w:r>
                    <w:t>是否考虑岸线熏烟</w:t>
                  </w:r>
                </w:p>
              </w:tc>
              <w:tc>
                <w:tcPr>
                  <w:tcW w:w="1385" w:type="pct"/>
                  <w:vAlign w:val="center"/>
                </w:tcPr>
                <w:p w14:paraId="4AF5AB53">
                  <w:pPr>
                    <w:pStyle w:val="1111"/>
                  </w:pPr>
                  <w:r>
                    <w:t>考虑岸线熏烟</w:t>
                  </w:r>
                </w:p>
              </w:tc>
              <w:tc>
                <w:tcPr>
                  <w:tcW w:w="785" w:type="pct"/>
                  <w:vAlign w:val="center"/>
                </w:tcPr>
                <w:p w14:paraId="40337BA9">
                  <w:pPr>
                    <w:pStyle w:val="1111"/>
                  </w:pPr>
                  <w:r>
                    <w:t>□是√否</w:t>
                  </w:r>
                </w:p>
              </w:tc>
              <w:tc>
                <w:tcPr>
                  <w:tcW w:w="2058" w:type="pct"/>
                  <w:vAlign w:val="center"/>
                </w:tcPr>
                <w:p w14:paraId="2644F9FB">
                  <w:pPr>
                    <w:pStyle w:val="1111"/>
                  </w:pPr>
                  <w:r>
                    <w:t>/</w:t>
                  </w:r>
                </w:p>
              </w:tc>
            </w:tr>
            <w:tr w14:paraId="42C129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0" w:type="pct"/>
                  <w:vMerge w:val="continue"/>
                  <w:vAlign w:val="center"/>
                </w:tcPr>
                <w:p w14:paraId="66E791AF">
                  <w:pPr>
                    <w:pStyle w:val="1111"/>
                  </w:pPr>
                </w:p>
              </w:tc>
              <w:tc>
                <w:tcPr>
                  <w:tcW w:w="1385" w:type="pct"/>
                  <w:vAlign w:val="center"/>
                </w:tcPr>
                <w:p w14:paraId="7D681464">
                  <w:pPr>
                    <w:pStyle w:val="1111"/>
                  </w:pPr>
                  <w:r>
                    <w:t>岸线距离/km</w:t>
                  </w:r>
                </w:p>
              </w:tc>
              <w:tc>
                <w:tcPr>
                  <w:tcW w:w="785" w:type="pct"/>
                  <w:vAlign w:val="center"/>
                </w:tcPr>
                <w:p w14:paraId="7585CC1B">
                  <w:pPr>
                    <w:pStyle w:val="1111"/>
                  </w:pPr>
                  <w:r>
                    <w:t>/</w:t>
                  </w:r>
                </w:p>
              </w:tc>
              <w:tc>
                <w:tcPr>
                  <w:tcW w:w="2058" w:type="pct"/>
                  <w:vAlign w:val="center"/>
                </w:tcPr>
                <w:p w14:paraId="0A0C79DD">
                  <w:pPr>
                    <w:pStyle w:val="1111"/>
                  </w:pPr>
                  <w:r>
                    <w:t>/</w:t>
                  </w:r>
                </w:p>
              </w:tc>
            </w:tr>
            <w:tr w14:paraId="25305F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0" w:type="pct"/>
                  <w:vMerge w:val="continue"/>
                  <w:vAlign w:val="center"/>
                </w:tcPr>
                <w:p w14:paraId="4160C9D1">
                  <w:pPr>
                    <w:pStyle w:val="1111"/>
                  </w:pPr>
                </w:p>
              </w:tc>
              <w:tc>
                <w:tcPr>
                  <w:tcW w:w="1385" w:type="pct"/>
                  <w:vAlign w:val="center"/>
                </w:tcPr>
                <w:p w14:paraId="48278351">
                  <w:pPr>
                    <w:pStyle w:val="1111"/>
                  </w:pPr>
                  <w:r>
                    <w:t>岸线方向/°</w:t>
                  </w:r>
                </w:p>
              </w:tc>
              <w:tc>
                <w:tcPr>
                  <w:tcW w:w="785" w:type="pct"/>
                  <w:vAlign w:val="center"/>
                </w:tcPr>
                <w:p w14:paraId="4BA4C6B5">
                  <w:pPr>
                    <w:pStyle w:val="1111"/>
                  </w:pPr>
                  <w:r>
                    <w:t>/</w:t>
                  </w:r>
                </w:p>
              </w:tc>
              <w:tc>
                <w:tcPr>
                  <w:tcW w:w="2058" w:type="pct"/>
                  <w:vAlign w:val="center"/>
                </w:tcPr>
                <w:p w14:paraId="7B6A3951">
                  <w:pPr>
                    <w:pStyle w:val="1111"/>
                  </w:pPr>
                  <w:r>
                    <w:t>/</w:t>
                  </w:r>
                </w:p>
              </w:tc>
            </w:tr>
          </w:tbl>
          <w:p w14:paraId="741C3DB7">
            <w:pPr>
              <w:pStyle w:val="1111"/>
            </w:pPr>
            <w:r>
              <w:rPr>
                <w:rFonts w:hint="eastAsia"/>
              </w:rPr>
              <w:t>表4</w:t>
            </w:r>
            <w:r>
              <w:t>-</w:t>
            </w:r>
            <w:r>
              <w:rPr>
                <w:rFonts w:hint="eastAsia"/>
                <w:lang w:val="en-US" w:eastAsia="zh-CN"/>
              </w:rPr>
              <w:t xml:space="preserve">7 </w:t>
            </w:r>
            <w:r>
              <w:rPr>
                <w:rFonts w:hint="eastAsia"/>
              </w:rPr>
              <w:t>点源参数表</w:t>
            </w:r>
          </w:p>
          <w:tbl>
            <w:tblPr>
              <w:tblStyle w:val="78"/>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
              <w:gridCol w:w="799"/>
              <w:gridCol w:w="895"/>
              <w:gridCol w:w="1029"/>
              <w:gridCol w:w="854"/>
              <w:gridCol w:w="3128"/>
            </w:tblGrid>
            <w:tr w14:paraId="1E9AD3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608" w:type="pct"/>
                  <w:vMerge w:val="restart"/>
                  <w:vAlign w:val="center"/>
                </w:tcPr>
                <w:p w14:paraId="19E09BF0">
                  <w:pPr>
                    <w:pStyle w:val="1111"/>
                  </w:pPr>
                  <w:r>
                    <w:rPr>
                      <w:rFonts w:hint="eastAsia"/>
                    </w:rPr>
                    <w:t>名称</w:t>
                  </w:r>
                </w:p>
              </w:tc>
              <w:tc>
                <w:tcPr>
                  <w:tcW w:w="523" w:type="pct"/>
                  <w:vMerge w:val="restart"/>
                  <w:vAlign w:val="center"/>
                </w:tcPr>
                <w:p w14:paraId="66268017">
                  <w:pPr>
                    <w:pStyle w:val="1111"/>
                  </w:pPr>
                  <w:r>
                    <w:rPr>
                      <w:rFonts w:hint="eastAsia"/>
                    </w:rPr>
                    <w:t>排气筒高度（m）</w:t>
                  </w:r>
                </w:p>
              </w:tc>
              <w:tc>
                <w:tcPr>
                  <w:tcW w:w="586" w:type="pct"/>
                  <w:vMerge w:val="restart"/>
                  <w:vAlign w:val="center"/>
                </w:tcPr>
                <w:p w14:paraId="28322AA8">
                  <w:pPr>
                    <w:pStyle w:val="1111"/>
                  </w:pPr>
                  <w:r>
                    <w:rPr>
                      <w:rFonts w:hint="eastAsia"/>
                    </w:rPr>
                    <w:t>排气筒出口内径（m）</w:t>
                  </w:r>
                </w:p>
              </w:tc>
              <w:tc>
                <w:tcPr>
                  <w:tcW w:w="674" w:type="pct"/>
                  <w:vMerge w:val="restart"/>
                  <w:vAlign w:val="center"/>
                </w:tcPr>
                <w:p w14:paraId="7D19DCE1">
                  <w:pPr>
                    <w:pStyle w:val="1111"/>
                  </w:pPr>
                  <w:r>
                    <w:rPr>
                      <w:rFonts w:hint="eastAsia"/>
                    </w:rPr>
                    <w:t>烟气量（m</w:t>
                  </w:r>
                  <w:r>
                    <w:rPr>
                      <w:rFonts w:hint="eastAsia"/>
                      <w:vertAlign w:val="superscript"/>
                    </w:rPr>
                    <w:t>3</w:t>
                  </w:r>
                  <w:r>
                    <w:rPr>
                      <w:rFonts w:hint="eastAsia"/>
                    </w:rPr>
                    <w:t>/h）</w:t>
                  </w:r>
                </w:p>
              </w:tc>
              <w:tc>
                <w:tcPr>
                  <w:tcW w:w="559" w:type="pct"/>
                  <w:vMerge w:val="restart"/>
                  <w:vAlign w:val="center"/>
                </w:tcPr>
                <w:p w14:paraId="67C52C94">
                  <w:pPr>
                    <w:pStyle w:val="1111"/>
                  </w:pPr>
                  <w:r>
                    <w:rPr>
                      <w:rFonts w:hint="eastAsia"/>
                    </w:rPr>
                    <w:t>排放工况</w:t>
                  </w:r>
                </w:p>
              </w:tc>
              <w:tc>
                <w:tcPr>
                  <w:tcW w:w="2048" w:type="pct"/>
                  <w:vAlign w:val="center"/>
                </w:tcPr>
                <w:p w14:paraId="3F89B1D0">
                  <w:pPr>
                    <w:pStyle w:val="1111"/>
                    <w:rPr>
                      <w:rFonts w:hint="eastAsia"/>
                    </w:rPr>
                  </w:pPr>
                  <w:r>
                    <w:rPr>
                      <w:rFonts w:hint="eastAsia"/>
                    </w:rPr>
                    <w:t>污染物最大排放速率（kg/h）</w:t>
                  </w:r>
                </w:p>
              </w:tc>
            </w:tr>
            <w:tr w14:paraId="7F8FB9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trPr>
              <w:tc>
                <w:tcPr>
                  <w:tcW w:w="608" w:type="pct"/>
                  <w:vMerge w:val="continue"/>
                  <w:vAlign w:val="center"/>
                </w:tcPr>
                <w:p w14:paraId="5F02319F">
                  <w:pPr>
                    <w:pStyle w:val="1111"/>
                  </w:pPr>
                </w:p>
              </w:tc>
              <w:tc>
                <w:tcPr>
                  <w:tcW w:w="523" w:type="pct"/>
                  <w:vMerge w:val="continue"/>
                  <w:vAlign w:val="center"/>
                </w:tcPr>
                <w:p w14:paraId="720D33A8">
                  <w:pPr>
                    <w:pStyle w:val="1111"/>
                  </w:pPr>
                </w:p>
              </w:tc>
              <w:tc>
                <w:tcPr>
                  <w:tcW w:w="586" w:type="pct"/>
                  <w:vMerge w:val="continue"/>
                  <w:vAlign w:val="center"/>
                </w:tcPr>
                <w:p w14:paraId="4A4D04D0">
                  <w:pPr>
                    <w:pStyle w:val="1111"/>
                  </w:pPr>
                </w:p>
              </w:tc>
              <w:tc>
                <w:tcPr>
                  <w:tcW w:w="674" w:type="pct"/>
                  <w:vMerge w:val="continue"/>
                  <w:vAlign w:val="center"/>
                </w:tcPr>
                <w:p w14:paraId="17338C43">
                  <w:pPr>
                    <w:pStyle w:val="1111"/>
                  </w:pPr>
                </w:p>
              </w:tc>
              <w:tc>
                <w:tcPr>
                  <w:tcW w:w="559" w:type="pct"/>
                  <w:vMerge w:val="continue"/>
                  <w:vAlign w:val="center"/>
                </w:tcPr>
                <w:p w14:paraId="0F68C870">
                  <w:pPr>
                    <w:pStyle w:val="1111"/>
                  </w:pPr>
                </w:p>
              </w:tc>
              <w:tc>
                <w:tcPr>
                  <w:tcW w:w="2048" w:type="pct"/>
                  <w:vAlign w:val="center"/>
                </w:tcPr>
                <w:p w14:paraId="78AA37EA">
                  <w:pPr>
                    <w:pStyle w:val="1111"/>
                    <w:rPr>
                      <w:rFonts w:hint="default" w:eastAsia="宋体"/>
                      <w:lang w:val="en-US" w:eastAsia="zh-CN"/>
                    </w:rPr>
                  </w:pPr>
                  <w:r>
                    <w:rPr>
                      <w:rFonts w:hint="eastAsia"/>
                    </w:rPr>
                    <w:t>非甲烷总烃</w:t>
                  </w:r>
                </w:p>
              </w:tc>
            </w:tr>
            <w:tr w14:paraId="0F3B00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608" w:type="pct"/>
                  <w:vAlign w:val="center"/>
                </w:tcPr>
                <w:p w14:paraId="682A736F">
                  <w:pPr>
                    <w:pStyle w:val="1111"/>
                  </w:pPr>
                  <w:r>
                    <w:rPr>
                      <w:rFonts w:hint="eastAsia"/>
                      <w:lang w:val="en-US" w:eastAsia="zh-CN"/>
                    </w:rPr>
                    <w:t>DA00</w:t>
                  </w:r>
                  <w:r>
                    <w:t>1</w:t>
                  </w:r>
                </w:p>
              </w:tc>
              <w:tc>
                <w:tcPr>
                  <w:tcW w:w="523" w:type="pct"/>
                  <w:vAlign w:val="center"/>
                </w:tcPr>
                <w:p w14:paraId="2DF6287C">
                  <w:pPr>
                    <w:pStyle w:val="1111"/>
                    <w:rPr>
                      <w:rFonts w:hint="default" w:eastAsia="宋体"/>
                      <w:lang w:val="en-US" w:eastAsia="zh-CN"/>
                    </w:rPr>
                  </w:pPr>
                  <w:r>
                    <w:rPr>
                      <w:rFonts w:hint="eastAsia"/>
                      <w:lang w:val="en-US" w:eastAsia="zh-CN"/>
                    </w:rPr>
                    <w:t>15</w:t>
                  </w:r>
                </w:p>
              </w:tc>
              <w:tc>
                <w:tcPr>
                  <w:tcW w:w="586" w:type="pct"/>
                  <w:vAlign w:val="center"/>
                </w:tcPr>
                <w:p w14:paraId="6CE1B67F">
                  <w:pPr>
                    <w:pStyle w:val="1111"/>
                    <w:rPr>
                      <w:rFonts w:hint="default" w:eastAsia="宋体"/>
                      <w:lang w:val="en-US" w:eastAsia="zh-CN"/>
                    </w:rPr>
                  </w:pPr>
                  <w:r>
                    <w:rPr>
                      <w:rFonts w:hint="eastAsia"/>
                      <w:lang w:val="en-US" w:eastAsia="zh-CN"/>
                    </w:rPr>
                    <w:t>0.5</w:t>
                  </w:r>
                </w:p>
              </w:tc>
              <w:tc>
                <w:tcPr>
                  <w:tcW w:w="674" w:type="pct"/>
                  <w:vAlign w:val="center"/>
                </w:tcPr>
                <w:p w14:paraId="04AEE6CF">
                  <w:pPr>
                    <w:pStyle w:val="1111"/>
                    <w:rPr>
                      <w:rFonts w:hint="default" w:eastAsia="宋体"/>
                      <w:lang w:val="en-US" w:eastAsia="zh-CN"/>
                    </w:rPr>
                  </w:pPr>
                  <w:r>
                    <w:rPr>
                      <w:rFonts w:hint="eastAsia"/>
                      <w:lang w:val="en-US" w:eastAsia="zh-CN"/>
                    </w:rPr>
                    <w:t>5000</w:t>
                  </w:r>
                </w:p>
              </w:tc>
              <w:tc>
                <w:tcPr>
                  <w:tcW w:w="559" w:type="pct"/>
                  <w:vAlign w:val="center"/>
                </w:tcPr>
                <w:p w14:paraId="5EFA89E0">
                  <w:pPr>
                    <w:pStyle w:val="1111"/>
                  </w:pPr>
                  <w:r>
                    <w:rPr>
                      <w:rFonts w:hint="eastAsia"/>
                    </w:rPr>
                    <w:t>正常</w:t>
                  </w:r>
                </w:p>
              </w:tc>
              <w:tc>
                <w:tcPr>
                  <w:tcW w:w="2048" w:type="pct"/>
                  <w:vAlign w:val="center"/>
                </w:tcPr>
                <w:p w14:paraId="7C8FE6BC">
                  <w:pPr>
                    <w:keepNext w:val="0"/>
                    <w:keepLines w:val="0"/>
                    <w:widowControl/>
                    <w:suppressLineNumbers w:val="0"/>
                    <w:jc w:val="center"/>
                    <w:textAlignment w:val="center"/>
                    <w:rPr>
                      <w:rFonts w:hint="default" w:ascii="Times New Roman" w:hAnsi="Times New Roman" w:eastAsia="宋体" w:cs="Times New Roman"/>
                      <w:kern w:val="2"/>
                      <w:sz w:val="21"/>
                      <w:szCs w:val="24"/>
                      <w:lang w:val="en-US" w:eastAsia="zh-CN" w:bidi="ar-SA"/>
                    </w:rPr>
                  </w:pPr>
                  <w:r>
                    <w:rPr>
                      <w:rFonts w:hint="eastAsia"/>
                      <w:lang w:val="en-US" w:eastAsia="zh-CN"/>
                    </w:rPr>
                    <w:t>0.00914</w:t>
                  </w:r>
                </w:p>
              </w:tc>
            </w:tr>
            <w:tr w14:paraId="2839FB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608" w:type="pct"/>
                  <w:vAlign w:val="center"/>
                </w:tcPr>
                <w:p w14:paraId="27DB28CD">
                  <w:pPr>
                    <w:pStyle w:val="1111"/>
                    <w:rPr>
                      <w:rFonts w:hint="eastAsia" w:eastAsia="宋体"/>
                      <w:lang w:val="en-US" w:eastAsia="zh-CN"/>
                    </w:rPr>
                  </w:pPr>
                  <w:r>
                    <w:rPr>
                      <w:rFonts w:hint="eastAsia"/>
                      <w:lang w:val="en-US" w:eastAsia="zh-CN"/>
                    </w:rPr>
                    <w:t>DA002</w:t>
                  </w:r>
                </w:p>
              </w:tc>
              <w:tc>
                <w:tcPr>
                  <w:tcW w:w="523" w:type="pct"/>
                  <w:vAlign w:val="center"/>
                </w:tcPr>
                <w:p w14:paraId="42FA81EE">
                  <w:pPr>
                    <w:pStyle w:val="1111"/>
                    <w:rPr>
                      <w:rFonts w:hint="eastAsia"/>
                      <w:lang w:val="en-US" w:eastAsia="zh-CN"/>
                    </w:rPr>
                  </w:pPr>
                  <w:r>
                    <w:rPr>
                      <w:rFonts w:hint="eastAsia"/>
                      <w:lang w:val="en-US" w:eastAsia="zh-CN"/>
                    </w:rPr>
                    <w:t>15</w:t>
                  </w:r>
                </w:p>
              </w:tc>
              <w:tc>
                <w:tcPr>
                  <w:tcW w:w="586" w:type="pct"/>
                  <w:vAlign w:val="center"/>
                </w:tcPr>
                <w:p w14:paraId="5DC6D55A">
                  <w:pPr>
                    <w:pStyle w:val="1111"/>
                    <w:bidi w:val="0"/>
                    <w:rPr>
                      <w:rFonts w:hint="default"/>
                      <w:lang w:val="en-US" w:eastAsia="zh-CN"/>
                    </w:rPr>
                  </w:pPr>
                  <w:r>
                    <w:rPr>
                      <w:rFonts w:hint="eastAsia"/>
                      <w:lang w:val="en-US" w:eastAsia="zh-CN"/>
                    </w:rPr>
                    <w:t>0.5</w:t>
                  </w:r>
                </w:p>
              </w:tc>
              <w:tc>
                <w:tcPr>
                  <w:tcW w:w="674" w:type="pct"/>
                  <w:vAlign w:val="center"/>
                </w:tcPr>
                <w:p w14:paraId="425C3D65">
                  <w:pPr>
                    <w:pStyle w:val="1111"/>
                    <w:rPr>
                      <w:rFonts w:hint="default"/>
                      <w:lang w:val="en-US" w:eastAsia="zh-CN"/>
                    </w:rPr>
                  </w:pPr>
                  <w:r>
                    <w:rPr>
                      <w:rFonts w:hint="eastAsia"/>
                      <w:lang w:val="en-US" w:eastAsia="zh-CN"/>
                    </w:rPr>
                    <w:t>5000</w:t>
                  </w:r>
                </w:p>
              </w:tc>
              <w:tc>
                <w:tcPr>
                  <w:tcW w:w="559" w:type="pct"/>
                  <w:vAlign w:val="center"/>
                </w:tcPr>
                <w:p w14:paraId="4D115D11">
                  <w:pPr>
                    <w:pStyle w:val="1111"/>
                    <w:rPr>
                      <w:rFonts w:hint="eastAsia"/>
                    </w:rPr>
                  </w:pPr>
                  <w:r>
                    <w:rPr>
                      <w:rFonts w:hint="eastAsia"/>
                    </w:rPr>
                    <w:t>正常</w:t>
                  </w:r>
                </w:p>
              </w:tc>
              <w:tc>
                <w:tcPr>
                  <w:tcW w:w="2048" w:type="pct"/>
                  <w:vAlign w:val="center"/>
                </w:tcPr>
                <w:p w14:paraId="51A36F7A">
                  <w:pPr>
                    <w:keepNext w:val="0"/>
                    <w:keepLines w:val="0"/>
                    <w:widowControl/>
                    <w:suppressLineNumbers w:val="0"/>
                    <w:jc w:val="center"/>
                    <w:textAlignment w:val="center"/>
                    <w:rPr>
                      <w:rFonts w:hint="default"/>
                      <w:lang w:val="en-US" w:eastAsia="zh-CN"/>
                    </w:rPr>
                  </w:pPr>
                  <w:r>
                    <w:rPr>
                      <w:rFonts w:hint="eastAsia"/>
                      <w:lang w:val="en-US" w:eastAsia="zh-CN"/>
                    </w:rPr>
                    <w:t>0.00914</w:t>
                  </w:r>
                </w:p>
              </w:tc>
            </w:tr>
            <w:tr w14:paraId="062C5E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608" w:type="pct"/>
                  <w:vAlign w:val="center"/>
                </w:tcPr>
                <w:p w14:paraId="40C776A2">
                  <w:pPr>
                    <w:pStyle w:val="1111"/>
                    <w:rPr>
                      <w:rFonts w:hint="eastAsia" w:eastAsia="宋体"/>
                      <w:lang w:val="en-US" w:eastAsia="zh-CN"/>
                    </w:rPr>
                  </w:pPr>
                  <w:r>
                    <w:rPr>
                      <w:rFonts w:hint="eastAsia"/>
                      <w:lang w:val="en-US" w:eastAsia="zh-CN"/>
                    </w:rPr>
                    <w:t>DA003</w:t>
                  </w:r>
                </w:p>
              </w:tc>
              <w:tc>
                <w:tcPr>
                  <w:tcW w:w="523" w:type="pct"/>
                  <w:vAlign w:val="center"/>
                </w:tcPr>
                <w:p w14:paraId="26B1D192">
                  <w:pPr>
                    <w:pStyle w:val="1111"/>
                    <w:rPr>
                      <w:rFonts w:hint="eastAsia"/>
                      <w:lang w:val="en-US" w:eastAsia="zh-CN"/>
                    </w:rPr>
                  </w:pPr>
                  <w:r>
                    <w:rPr>
                      <w:rFonts w:hint="eastAsia"/>
                      <w:lang w:val="en-US" w:eastAsia="zh-CN"/>
                    </w:rPr>
                    <w:t>15</w:t>
                  </w:r>
                </w:p>
              </w:tc>
              <w:tc>
                <w:tcPr>
                  <w:tcW w:w="586" w:type="pct"/>
                  <w:vAlign w:val="center"/>
                </w:tcPr>
                <w:p w14:paraId="65E8A504">
                  <w:pPr>
                    <w:pStyle w:val="1111"/>
                    <w:bidi w:val="0"/>
                    <w:rPr>
                      <w:rFonts w:hint="default"/>
                      <w:lang w:val="en-US" w:eastAsia="zh-CN"/>
                    </w:rPr>
                  </w:pPr>
                  <w:r>
                    <w:rPr>
                      <w:rFonts w:hint="eastAsia"/>
                      <w:lang w:val="en-US" w:eastAsia="zh-CN"/>
                    </w:rPr>
                    <w:t>0.5</w:t>
                  </w:r>
                </w:p>
              </w:tc>
              <w:tc>
                <w:tcPr>
                  <w:tcW w:w="674" w:type="pct"/>
                  <w:vAlign w:val="center"/>
                </w:tcPr>
                <w:p w14:paraId="3E8372BC">
                  <w:pPr>
                    <w:pStyle w:val="1111"/>
                    <w:rPr>
                      <w:rFonts w:hint="default"/>
                      <w:lang w:val="en-US" w:eastAsia="zh-CN"/>
                    </w:rPr>
                  </w:pPr>
                  <w:r>
                    <w:rPr>
                      <w:rFonts w:hint="eastAsia"/>
                      <w:lang w:val="en-US" w:eastAsia="zh-CN"/>
                    </w:rPr>
                    <w:t>5000</w:t>
                  </w:r>
                </w:p>
              </w:tc>
              <w:tc>
                <w:tcPr>
                  <w:tcW w:w="559" w:type="pct"/>
                  <w:vAlign w:val="center"/>
                </w:tcPr>
                <w:p w14:paraId="3B72D1B1">
                  <w:pPr>
                    <w:pStyle w:val="1111"/>
                    <w:rPr>
                      <w:rFonts w:hint="eastAsia"/>
                    </w:rPr>
                  </w:pPr>
                  <w:r>
                    <w:rPr>
                      <w:rFonts w:hint="eastAsia"/>
                    </w:rPr>
                    <w:t>正常</w:t>
                  </w:r>
                </w:p>
              </w:tc>
              <w:tc>
                <w:tcPr>
                  <w:tcW w:w="2048" w:type="pct"/>
                  <w:vAlign w:val="center"/>
                </w:tcPr>
                <w:p w14:paraId="4E3E5823">
                  <w:pPr>
                    <w:keepNext w:val="0"/>
                    <w:keepLines w:val="0"/>
                    <w:widowControl/>
                    <w:suppressLineNumbers w:val="0"/>
                    <w:jc w:val="center"/>
                    <w:textAlignment w:val="center"/>
                    <w:rPr>
                      <w:rFonts w:hint="default"/>
                      <w:lang w:val="en-US" w:eastAsia="zh-CN"/>
                    </w:rPr>
                  </w:pPr>
                  <w:r>
                    <w:rPr>
                      <w:rFonts w:hint="eastAsia"/>
                      <w:lang w:val="en-US" w:eastAsia="zh-CN"/>
                    </w:rPr>
                    <w:t>0.00914</w:t>
                  </w:r>
                </w:p>
              </w:tc>
            </w:tr>
          </w:tbl>
          <w:p w14:paraId="0ADC59AA">
            <w:pPr>
              <w:pStyle w:val="1111"/>
            </w:pPr>
            <w:r>
              <w:rPr>
                <w:rFonts w:hint="eastAsia"/>
              </w:rPr>
              <w:t>表4</w:t>
            </w:r>
            <w:r>
              <w:t>-</w:t>
            </w:r>
            <w:r>
              <w:rPr>
                <w:rFonts w:hint="eastAsia"/>
                <w:lang w:val="en-US" w:eastAsia="zh-CN"/>
              </w:rPr>
              <w:t>8</w:t>
            </w:r>
            <w:r>
              <w:t xml:space="preserve"> </w:t>
            </w:r>
            <w:r>
              <w:rPr>
                <w:rFonts w:hint="eastAsia"/>
              </w:rPr>
              <w:t>面源参数表</w:t>
            </w:r>
          </w:p>
          <w:tbl>
            <w:tblPr>
              <w:tblStyle w:val="7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6"/>
              <w:gridCol w:w="926"/>
              <w:gridCol w:w="912"/>
              <w:gridCol w:w="1063"/>
              <w:gridCol w:w="816"/>
              <w:gridCol w:w="2823"/>
            </w:tblGrid>
            <w:tr w14:paraId="0F536B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18" w:type="pct"/>
                  <w:vMerge w:val="restart"/>
                  <w:vAlign w:val="center"/>
                </w:tcPr>
                <w:p w14:paraId="61FC619A">
                  <w:pPr>
                    <w:pStyle w:val="1111"/>
                  </w:pPr>
                  <w:r>
                    <w:rPr>
                      <w:rFonts w:hint="eastAsia"/>
                    </w:rPr>
                    <w:t>名称</w:t>
                  </w:r>
                </w:p>
              </w:tc>
              <w:tc>
                <w:tcPr>
                  <w:tcW w:w="606" w:type="pct"/>
                  <w:vMerge w:val="restart"/>
                  <w:vAlign w:val="center"/>
                </w:tcPr>
                <w:p w14:paraId="616D7673">
                  <w:pPr>
                    <w:pStyle w:val="1111"/>
                  </w:pPr>
                  <w:r>
                    <w:rPr>
                      <w:rFonts w:hint="eastAsia"/>
                    </w:rPr>
                    <w:t>面源</w:t>
                  </w:r>
                  <w:r>
                    <w:rPr>
                      <w:rFonts w:hint="eastAsia"/>
                      <w:lang w:eastAsia="zh-CN"/>
                    </w:rPr>
                    <w:t>长度</w:t>
                  </w:r>
                  <w:r>
                    <w:rPr>
                      <w:rFonts w:hint="eastAsia"/>
                    </w:rPr>
                    <w:t>（m）</w:t>
                  </w:r>
                </w:p>
              </w:tc>
              <w:tc>
                <w:tcPr>
                  <w:tcW w:w="597" w:type="pct"/>
                  <w:vMerge w:val="restart"/>
                  <w:vAlign w:val="center"/>
                </w:tcPr>
                <w:p w14:paraId="5384F58C">
                  <w:pPr>
                    <w:pStyle w:val="1111"/>
                    <w:rPr>
                      <w:rFonts w:hint="eastAsia" w:eastAsia="宋体"/>
                      <w:lang w:eastAsia="zh-CN"/>
                    </w:rPr>
                  </w:pPr>
                  <w:r>
                    <w:rPr>
                      <w:rFonts w:hint="eastAsia"/>
                      <w:lang w:eastAsia="zh-CN"/>
                    </w:rPr>
                    <w:t>面源宽度（</w:t>
                  </w:r>
                  <w:r>
                    <w:rPr>
                      <w:rFonts w:hint="eastAsia"/>
                      <w:lang w:val="en-US" w:eastAsia="zh-CN"/>
                    </w:rPr>
                    <w:t>m</w:t>
                  </w:r>
                  <w:r>
                    <w:rPr>
                      <w:rFonts w:hint="eastAsia"/>
                      <w:lang w:eastAsia="zh-CN"/>
                    </w:rPr>
                    <w:t>）</w:t>
                  </w:r>
                </w:p>
              </w:tc>
              <w:tc>
                <w:tcPr>
                  <w:tcW w:w="696" w:type="pct"/>
                  <w:vMerge w:val="restart"/>
                  <w:vAlign w:val="center"/>
                </w:tcPr>
                <w:p w14:paraId="2B2B9E97">
                  <w:pPr>
                    <w:pStyle w:val="1111"/>
                  </w:pPr>
                  <w:r>
                    <w:rPr>
                      <w:rFonts w:hint="eastAsia"/>
                    </w:rPr>
                    <w:t>面源有效高度（m）</w:t>
                  </w:r>
                </w:p>
              </w:tc>
              <w:tc>
                <w:tcPr>
                  <w:tcW w:w="534" w:type="pct"/>
                  <w:vMerge w:val="restart"/>
                  <w:vAlign w:val="center"/>
                </w:tcPr>
                <w:p w14:paraId="208F4637">
                  <w:pPr>
                    <w:pStyle w:val="1111"/>
                  </w:pPr>
                  <w:r>
                    <w:rPr>
                      <w:rFonts w:hint="eastAsia"/>
                    </w:rPr>
                    <w:t>排放工况</w:t>
                  </w:r>
                </w:p>
              </w:tc>
              <w:tc>
                <w:tcPr>
                  <w:tcW w:w="1848" w:type="pct"/>
                  <w:vAlign w:val="center"/>
                </w:tcPr>
                <w:p w14:paraId="1C63A460">
                  <w:pPr>
                    <w:pStyle w:val="1111"/>
                    <w:rPr>
                      <w:rFonts w:hint="eastAsia"/>
                    </w:rPr>
                  </w:pPr>
                  <w:r>
                    <w:rPr>
                      <w:rFonts w:hint="eastAsia"/>
                    </w:rPr>
                    <w:t>污染物最大排放速率（kg/h）</w:t>
                  </w:r>
                </w:p>
              </w:tc>
            </w:tr>
            <w:tr w14:paraId="151E6D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18" w:type="pct"/>
                  <w:vMerge w:val="continue"/>
                  <w:vAlign w:val="center"/>
                </w:tcPr>
                <w:p w14:paraId="00CC9DF8">
                  <w:pPr>
                    <w:pStyle w:val="1111"/>
                  </w:pPr>
                </w:p>
              </w:tc>
              <w:tc>
                <w:tcPr>
                  <w:tcW w:w="606" w:type="pct"/>
                  <w:vMerge w:val="continue"/>
                  <w:vAlign w:val="center"/>
                </w:tcPr>
                <w:p w14:paraId="77F0A6FF">
                  <w:pPr>
                    <w:pStyle w:val="1111"/>
                  </w:pPr>
                </w:p>
              </w:tc>
              <w:tc>
                <w:tcPr>
                  <w:tcW w:w="597" w:type="pct"/>
                  <w:vMerge w:val="continue"/>
                  <w:vAlign w:val="center"/>
                </w:tcPr>
                <w:p w14:paraId="4618D85C">
                  <w:pPr>
                    <w:pStyle w:val="1111"/>
                  </w:pPr>
                </w:p>
              </w:tc>
              <w:tc>
                <w:tcPr>
                  <w:tcW w:w="696" w:type="pct"/>
                  <w:vMerge w:val="continue"/>
                  <w:vAlign w:val="center"/>
                </w:tcPr>
                <w:p w14:paraId="5E4B1947">
                  <w:pPr>
                    <w:pStyle w:val="1111"/>
                  </w:pPr>
                </w:p>
              </w:tc>
              <w:tc>
                <w:tcPr>
                  <w:tcW w:w="534" w:type="pct"/>
                  <w:vMerge w:val="continue"/>
                  <w:vAlign w:val="center"/>
                </w:tcPr>
                <w:p w14:paraId="53768D51">
                  <w:pPr>
                    <w:pStyle w:val="1111"/>
                  </w:pPr>
                </w:p>
              </w:tc>
              <w:tc>
                <w:tcPr>
                  <w:tcW w:w="1848" w:type="pct"/>
                  <w:vAlign w:val="center"/>
                </w:tcPr>
                <w:p w14:paraId="6DEED07F">
                  <w:pPr>
                    <w:pStyle w:val="1111"/>
                    <w:rPr>
                      <w:rFonts w:hint="eastAsia"/>
                    </w:rPr>
                  </w:pPr>
                  <w:r>
                    <w:rPr>
                      <w:rFonts w:hint="eastAsia"/>
                    </w:rPr>
                    <w:t>非甲烷总烃</w:t>
                  </w:r>
                </w:p>
              </w:tc>
            </w:tr>
            <w:tr w14:paraId="321BD7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8" w:type="pct"/>
                  <w:vAlign w:val="center"/>
                </w:tcPr>
                <w:p w14:paraId="0B84FF2C">
                  <w:pPr>
                    <w:pStyle w:val="1111"/>
                    <w:rPr>
                      <w:rFonts w:hint="default" w:eastAsia="宋体"/>
                      <w:lang w:val="en-US" w:eastAsia="zh-CN"/>
                    </w:rPr>
                  </w:pPr>
                  <w:r>
                    <w:rPr>
                      <w:rFonts w:hint="eastAsia"/>
                      <w:lang w:val="en-US" w:eastAsia="zh-CN"/>
                    </w:rPr>
                    <w:t>1#存储间</w:t>
                  </w:r>
                </w:p>
              </w:tc>
              <w:tc>
                <w:tcPr>
                  <w:tcW w:w="606" w:type="pct"/>
                  <w:vAlign w:val="center"/>
                </w:tcPr>
                <w:p w14:paraId="60E957F9">
                  <w:pPr>
                    <w:pStyle w:val="1111"/>
                    <w:rPr>
                      <w:rFonts w:hint="default" w:eastAsia="宋体"/>
                      <w:lang w:val="en-US" w:eastAsia="zh-CN"/>
                    </w:rPr>
                  </w:pPr>
                  <w:r>
                    <w:rPr>
                      <w:rFonts w:hint="eastAsia"/>
                      <w:lang w:val="en-US" w:eastAsia="zh-CN"/>
                    </w:rPr>
                    <w:t>8.9</w:t>
                  </w:r>
                </w:p>
              </w:tc>
              <w:tc>
                <w:tcPr>
                  <w:tcW w:w="597" w:type="pct"/>
                  <w:vAlign w:val="center"/>
                </w:tcPr>
                <w:p w14:paraId="01976C7B">
                  <w:pPr>
                    <w:pStyle w:val="1111"/>
                    <w:rPr>
                      <w:rFonts w:hint="default"/>
                      <w:lang w:val="en-US" w:eastAsia="zh-CN"/>
                    </w:rPr>
                  </w:pPr>
                  <w:r>
                    <w:rPr>
                      <w:rFonts w:hint="eastAsia"/>
                      <w:lang w:val="en-US" w:eastAsia="zh-CN"/>
                    </w:rPr>
                    <w:t>6.6</w:t>
                  </w:r>
                </w:p>
              </w:tc>
              <w:tc>
                <w:tcPr>
                  <w:tcW w:w="696" w:type="pct"/>
                  <w:vAlign w:val="center"/>
                </w:tcPr>
                <w:p w14:paraId="280FC6D3">
                  <w:pPr>
                    <w:pStyle w:val="1111"/>
                    <w:rPr>
                      <w:rFonts w:hint="eastAsia" w:eastAsia="宋体"/>
                      <w:lang w:eastAsia="zh-CN"/>
                    </w:rPr>
                  </w:pPr>
                  <w:r>
                    <w:rPr>
                      <w:rFonts w:hint="eastAsia"/>
                      <w:lang w:val="en-US" w:eastAsia="zh-CN"/>
                    </w:rPr>
                    <w:t>6</w:t>
                  </w:r>
                </w:p>
              </w:tc>
              <w:tc>
                <w:tcPr>
                  <w:tcW w:w="534" w:type="pct"/>
                  <w:vAlign w:val="center"/>
                </w:tcPr>
                <w:p w14:paraId="6A76D1F3">
                  <w:pPr>
                    <w:pStyle w:val="1111"/>
                  </w:pPr>
                  <w:r>
                    <w:rPr>
                      <w:rFonts w:hint="eastAsia"/>
                    </w:rPr>
                    <w:t>正常</w:t>
                  </w:r>
                </w:p>
              </w:tc>
              <w:tc>
                <w:tcPr>
                  <w:tcW w:w="1848" w:type="pct"/>
                  <w:vAlign w:val="center"/>
                </w:tcPr>
                <w:p w14:paraId="10E04E0D">
                  <w:pPr>
                    <w:pStyle w:val="1111"/>
                    <w:rPr>
                      <w:rFonts w:hint="default" w:eastAsia="宋体"/>
                      <w:lang w:val="en-US" w:eastAsia="zh-CN"/>
                    </w:rPr>
                  </w:pPr>
                  <w:r>
                    <w:rPr>
                      <w:rFonts w:hint="eastAsia"/>
                      <w:lang w:val="en-US" w:eastAsia="zh-CN"/>
                    </w:rPr>
                    <w:t>0.0102</w:t>
                  </w:r>
                </w:p>
              </w:tc>
            </w:tr>
            <w:tr w14:paraId="12762C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8" w:type="pct"/>
                  <w:vAlign w:val="center"/>
                </w:tcPr>
                <w:p w14:paraId="057BD579">
                  <w:pPr>
                    <w:pStyle w:val="1111"/>
                    <w:rPr>
                      <w:rFonts w:hint="eastAsia"/>
                      <w:lang w:eastAsia="zh-CN"/>
                    </w:rPr>
                  </w:pPr>
                  <w:r>
                    <w:rPr>
                      <w:rFonts w:hint="eastAsia"/>
                      <w:lang w:val="en-US" w:eastAsia="zh-CN"/>
                    </w:rPr>
                    <w:t>2#存储间</w:t>
                  </w:r>
                </w:p>
              </w:tc>
              <w:tc>
                <w:tcPr>
                  <w:tcW w:w="606" w:type="pct"/>
                  <w:vAlign w:val="center"/>
                </w:tcPr>
                <w:p w14:paraId="0CF0FD37">
                  <w:pPr>
                    <w:pStyle w:val="1111"/>
                    <w:rPr>
                      <w:rFonts w:hint="eastAsia"/>
                      <w:lang w:val="en-US" w:eastAsia="zh-CN"/>
                    </w:rPr>
                  </w:pPr>
                  <w:r>
                    <w:rPr>
                      <w:rFonts w:hint="eastAsia"/>
                      <w:lang w:val="en-US" w:eastAsia="zh-CN"/>
                    </w:rPr>
                    <w:t>8.9</w:t>
                  </w:r>
                </w:p>
              </w:tc>
              <w:tc>
                <w:tcPr>
                  <w:tcW w:w="597" w:type="pct"/>
                  <w:vAlign w:val="center"/>
                </w:tcPr>
                <w:p w14:paraId="622A3062">
                  <w:pPr>
                    <w:pStyle w:val="1111"/>
                    <w:rPr>
                      <w:rFonts w:hint="eastAsia"/>
                      <w:lang w:val="en-US" w:eastAsia="zh-CN"/>
                    </w:rPr>
                  </w:pPr>
                  <w:r>
                    <w:rPr>
                      <w:rFonts w:hint="eastAsia"/>
                      <w:lang w:val="en-US" w:eastAsia="zh-CN"/>
                    </w:rPr>
                    <w:t>6.6</w:t>
                  </w:r>
                </w:p>
              </w:tc>
              <w:tc>
                <w:tcPr>
                  <w:tcW w:w="696" w:type="pct"/>
                  <w:vAlign w:val="center"/>
                </w:tcPr>
                <w:p w14:paraId="075268AD">
                  <w:pPr>
                    <w:pStyle w:val="1111"/>
                    <w:rPr>
                      <w:rFonts w:hint="eastAsia"/>
                      <w:lang w:val="en-US" w:eastAsia="zh-CN"/>
                    </w:rPr>
                  </w:pPr>
                  <w:r>
                    <w:rPr>
                      <w:rFonts w:hint="eastAsia"/>
                      <w:lang w:val="en-US" w:eastAsia="zh-CN"/>
                    </w:rPr>
                    <w:t>6</w:t>
                  </w:r>
                </w:p>
              </w:tc>
              <w:tc>
                <w:tcPr>
                  <w:tcW w:w="534" w:type="pct"/>
                  <w:vAlign w:val="center"/>
                </w:tcPr>
                <w:p w14:paraId="42D37B20">
                  <w:pPr>
                    <w:pStyle w:val="1111"/>
                    <w:rPr>
                      <w:rFonts w:hint="eastAsia"/>
                    </w:rPr>
                  </w:pPr>
                  <w:r>
                    <w:rPr>
                      <w:rFonts w:hint="eastAsia"/>
                    </w:rPr>
                    <w:t>正常</w:t>
                  </w:r>
                </w:p>
              </w:tc>
              <w:tc>
                <w:tcPr>
                  <w:tcW w:w="1848" w:type="pct"/>
                  <w:vAlign w:val="center"/>
                </w:tcPr>
                <w:p w14:paraId="71C7847A">
                  <w:pPr>
                    <w:pStyle w:val="1111"/>
                    <w:rPr>
                      <w:rFonts w:hint="eastAsia"/>
                      <w:lang w:val="en-US" w:eastAsia="zh-CN"/>
                    </w:rPr>
                  </w:pPr>
                  <w:r>
                    <w:rPr>
                      <w:rFonts w:hint="eastAsia"/>
                      <w:lang w:val="en-US" w:eastAsia="zh-CN"/>
                    </w:rPr>
                    <w:t>0.0102</w:t>
                  </w:r>
                </w:p>
              </w:tc>
            </w:tr>
            <w:tr w14:paraId="5B36AC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8" w:type="pct"/>
                  <w:vAlign w:val="center"/>
                </w:tcPr>
                <w:p w14:paraId="2B61C1A3">
                  <w:pPr>
                    <w:pStyle w:val="1111"/>
                    <w:rPr>
                      <w:rFonts w:hint="eastAsia"/>
                      <w:lang w:eastAsia="zh-CN"/>
                    </w:rPr>
                  </w:pPr>
                  <w:r>
                    <w:rPr>
                      <w:rFonts w:hint="eastAsia"/>
                      <w:lang w:val="en-US" w:eastAsia="zh-CN"/>
                    </w:rPr>
                    <w:t>3#存储间</w:t>
                  </w:r>
                </w:p>
              </w:tc>
              <w:tc>
                <w:tcPr>
                  <w:tcW w:w="606" w:type="pct"/>
                  <w:vAlign w:val="center"/>
                </w:tcPr>
                <w:p w14:paraId="3C6A13CA">
                  <w:pPr>
                    <w:pStyle w:val="1111"/>
                    <w:rPr>
                      <w:rFonts w:hint="eastAsia"/>
                      <w:lang w:val="en-US" w:eastAsia="zh-CN"/>
                    </w:rPr>
                  </w:pPr>
                  <w:r>
                    <w:rPr>
                      <w:rFonts w:hint="eastAsia"/>
                      <w:lang w:val="en-US" w:eastAsia="zh-CN"/>
                    </w:rPr>
                    <w:t>8.9</w:t>
                  </w:r>
                </w:p>
              </w:tc>
              <w:tc>
                <w:tcPr>
                  <w:tcW w:w="597" w:type="pct"/>
                  <w:vAlign w:val="center"/>
                </w:tcPr>
                <w:p w14:paraId="1B9FFF31">
                  <w:pPr>
                    <w:pStyle w:val="1111"/>
                    <w:rPr>
                      <w:rFonts w:hint="eastAsia"/>
                      <w:lang w:val="en-US" w:eastAsia="zh-CN"/>
                    </w:rPr>
                  </w:pPr>
                  <w:r>
                    <w:rPr>
                      <w:rFonts w:hint="eastAsia"/>
                      <w:lang w:val="en-US" w:eastAsia="zh-CN"/>
                    </w:rPr>
                    <w:t>6.6</w:t>
                  </w:r>
                </w:p>
              </w:tc>
              <w:tc>
                <w:tcPr>
                  <w:tcW w:w="696" w:type="pct"/>
                  <w:vAlign w:val="center"/>
                </w:tcPr>
                <w:p w14:paraId="193A9BA3">
                  <w:pPr>
                    <w:pStyle w:val="1111"/>
                    <w:rPr>
                      <w:rFonts w:hint="eastAsia"/>
                      <w:lang w:val="en-US" w:eastAsia="zh-CN"/>
                    </w:rPr>
                  </w:pPr>
                  <w:r>
                    <w:rPr>
                      <w:rFonts w:hint="eastAsia"/>
                      <w:lang w:val="en-US" w:eastAsia="zh-CN"/>
                    </w:rPr>
                    <w:t>6</w:t>
                  </w:r>
                </w:p>
              </w:tc>
              <w:tc>
                <w:tcPr>
                  <w:tcW w:w="534" w:type="pct"/>
                  <w:vAlign w:val="center"/>
                </w:tcPr>
                <w:p w14:paraId="1BC68030">
                  <w:pPr>
                    <w:pStyle w:val="1111"/>
                    <w:rPr>
                      <w:rFonts w:hint="eastAsia"/>
                    </w:rPr>
                  </w:pPr>
                  <w:r>
                    <w:rPr>
                      <w:rFonts w:hint="eastAsia"/>
                    </w:rPr>
                    <w:t>正常</w:t>
                  </w:r>
                </w:p>
              </w:tc>
              <w:tc>
                <w:tcPr>
                  <w:tcW w:w="1848" w:type="pct"/>
                  <w:vAlign w:val="center"/>
                </w:tcPr>
                <w:p w14:paraId="25F82BDC">
                  <w:pPr>
                    <w:pStyle w:val="1111"/>
                    <w:rPr>
                      <w:rFonts w:hint="eastAsia"/>
                      <w:lang w:val="en-US" w:eastAsia="zh-CN"/>
                    </w:rPr>
                  </w:pPr>
                  <w:r>
                    <w:rPr>
                      <w:rFonts w:hint="eastAsia"/>
                      <w:lang w:val="en-US" w:eastAsia="zh-CN"/>
                    </w:rPr>
                    <w:t>0.0102</w:t>
                  </w:r>
                </w:p>
              </w:tc>
            </w:tr>
          </w:tbl>
          <w:p w14:paraId="04ED9684">
            <w:pPr>
              <w:pStyle w:val="512"/>
            </w:pPr>
            <w:r>
              <w:rPr>
                <w:rFonts w:hint="eastAsia"/>
              </w:rPr>
              <w:t>3）判定结果</w:t>
            </w:r>
          </w:p>
          <w:p w14:paraId="47CF7D66">
            <w:pPr>
              <w:pStyle w:val="512"/>
            </w:pPr>
            <w:r>
              <w:rPr>
                <w:rFonts w:hint="eastAsia"/>
              </w:rPr>
              <w:t>根据估算模式A</w:t>
            </w:r>
            <w:r>
              <w:t>ERSCREEN</w:t>
            </w:r>
            <w:r>
              <w:rPr>
                <w:rFonts w:hint="eastAsia"/>
              </w:rPr>
              <w:t>对本项目正常排放的污染源进行计算判定，本项目废气排放对周边环境影响结果详见表4</w:t>
            </w:r>
            <w:r>
              <w:t>-</w:t>
            </w:r>
            <w:r>
              <w:rPr>
                <w:rFonts w:hint="eastAsia"/>
                <w:lang w:val="en-US" w:eastAsia="zh-CN"/>
              </w:rPr>
              <w:t>9</w:t>
            </w:r>
            <w:r>
              <w:rPr>
                <w:rFonts w:hint="eastAsia"/>
              </w:rPr>
              <w:t>。</w:t>
            </w:r>
          </w:p>
          <w:p w14:paraId="6493F3D8">
            <w:pPr>
              <w:pStyle w:val="1111"/>
            </w:pPr>
            <w:r>
              <w:rPr>
                <w:rFonts w:hint="eastAsia"/>
              </w:rPr>
              <w:t>表4</w:t>
            </w:r>
            <w:r>
              <w:t>-</w:t>
            </w:r>
            <w:r>
              <w:rPr>
                <w:rFonts w:hint="eastAsia"/>
                <w:lang w:val="en-US" w:eastAsia="zh-CN"/>
              </w:rPr>
              <w:t>9</w:t>
            </w:r>
            <w:r>
              <w:t xml:space="preserve"> </w:t>
            </w:r>
            <w:r>
              <w:rPr>
                <w:rFonts w:hint="eastAsia"/>
              </w:rPr>
              <w:t>估算模式计算结果表</w:t>
            </w:r>
          </w:p>
          <w:tbl>
            <w:tblPr>
              <w:tblStyle w:val="78"/>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6"/>
              <w:gridCol w:w="836"/>
              <w:gridCol w:w="1277"/>
              <w:gridCol w:w="1344"/>
              <w:gridCol w:w="1344"/>
              <w:gridCol w:w="1152"/>
              <w:gridCol w:w="1184"/>
            </w:tblGrid>
            <w:tr w14:paraId="3FE142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2" w:type="pct"/>
                  <w:gridSpan w:val="2"/>
                  <w:vAlign w:val="center"/>
                </w:tcPr>
                <w:p w14:paraId="45E2186D">
                  <w:pPr>
                    <w:pStyle w:val="1111"/>
                  </w:pPr>
                  <w:r>
                    <w:rPr>
                      <w:rFonts w:hint="eastAsia"/>
                    </w:rPr>
                    <w:t>污染源</w:t>
                  </w:r>
                </w:p>
              </w:tc>
              <w:tc>
                <w:tcPr>
                  <w:tcW w:w="836" w:type="pct"/>
                  <w:vAlign w:val="center"/>
                </w:tcPr>
                <w:p w14:paraId="1AF60D0D">
                  <w:pPr>
                    <w:pStyle w:val="1111"/>
                  </w:pPr>
                  <w:r>
                    <w:rPr>
                      <w:rFonts w:hint="eastAsia"/>
                    </w:rPr>
                    <w:t>污染物</w:t>
                  </w:r>
                </w:p>
              </w:tc>
              <w:tc>
                <w:tcPr>
                  <w:tcW w:w="880" w:type="pct"/>
                  <w:vAlign w:val="center"/>
                </w:tcPr>
                <w:p w14:paraId="6FC45065">
                  <w:pPr>
                    <w:pStyle w:val="1111"/>
                  </w:pPr>
                  <w:r>
                    <w:rPr>
                      <w:rFonts w:hint="eastAsia"/>
                    </w:rPr>
                    <w:t>小时空气质量标准（mg/Nm</w:t>
                  </w:r>
                  <w:r>
                    <w:rPr>
                      <w:rFonts w:hint="eastAsia"/>
                      <w:vertAlign w:val="superscript"/>
                    </w:rPr>
                    <w:t>3</w:t>
                  </w:r>
                  <w:r>
                    <w:rPr>
                      <w:rFonts w:hint="eastAsia"/>
                    </w:rPr>
                    <w:t>）</w:t>
                  </w:r>
                </w:p>
              </w:tc>
              <w:tc>
                <w:tcPr>
                  <w:tcW w:w="880" w:type="pct"/>
                  <w:vAlign w:val="center"/>
                </w:tcPr>
                <w:p w14:paraId="3BFD30F7">
                  <w:pPr>
                    <w:pStyle w:val="1111"/>
                  </w:pPr>
                  <w:r>
                    <w:rPr>
                      <w:rFonts w:hint="eastAsia"/>
                    </w:rPr>
                    <w:t>最大落地点浓度（mg/Nm</w:t>
                  </w:r>
                  <w:r>
                    <w:rPr>
                      <w:rFonts w:hint="eastAsia"/>
                      <w:vertAlign w:val="superscript"/>
                    </w:rPr>
                    <w:t>3</w:t>
                  </w:r>
                  <w:r>
                    <w:rPr>
                      <w:rFonts w:hint="eastAsia"/>
                    </w:rPr>
                    <w:t>）</w:t>
                  </w:r>
                </w:p>
              </w:tc>
              <w:tc>
                <w:tcPr>
                  <w:tcW w:w="754" w:type="pct"/>
                  <w:vAlign w:val="center"/>
                </w:tcPr>
                <w:p w14:paraId="6754E05B">
                  <w:pPr>
                    <w:pStyle w:val="1111"/>
                    <w:rPr>
                      <w:rFonts w:hint="default" w:eastAsia="宋体"/>
                      <w:lang w:val="en-US" w:eastAsia="zh-CN"/>
                    </w:rPr>
                  </w:pPr>
                  <w:r>
                    <w:rPr>
                      <w:rFonts w:hint="eastAsia"/>
                      <w:lang w:val="en-US" w:eastAsia="zh-CN"/>
                    </w:rPr>
                    <w:t>1小时浓度占标率%</w:t>
                  </w:r>
                </w:p>
              </w:tc>
              <w:tc>
                <w:tcPr>
                  <w:tcW w:w="775" w:type="pct"/>
                  <w:vAlign w:val="center"/>
                </w:tcPr>
                <w:p w14:paraId="5D619AD3">
                  <w:pPr>
                    <w:pStyle w:val="1111"/>
                  </w:pPr>
                  <w:r>
                    <w:rPr>
                      <w:rFonts w:hint="eastAsia"/>
                    </w:rPr>
                    <w:t>最大落地浓度距源距离（m）</w:t>
                  </w:r>
                </w:p>
              </w:tc>
            </w:tr>
            <w:tr w14:paraId="21B938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 w:type="pct"/>
                  <w:vMerge w:val="restart"/>
                  <w:vAlign w:val="center"/>
                </w:tcPr>
                <w:p w14:paraId="47CECF22">
                  <w:pPr>
                    <w:pStyle w:val="1111"/>
                    <w:jc w:val="center"/>
                  </w:pPr>
                  <w:r>
                    <w:rPr>
                      <w:rFonts w:hint="eastAsia"/>
                    </w:rPr>
                    <w:t>点源</w:t>
                  </w:r>
                </w:p>
              </w:tc>
              <w:tc>
                <w:tcPr>
                  <w:tcW w:w="547" w:type="pct"/>
                  <w:vAlign w:val="center"/>
                </w:tcPr>
                <w:p w14:paraId="3F336DC6">
                  <w:pPr>
                    <w:pStyle w:val="1111"/>
                    <w:jc w:val="center"/>
                    <w:rPr>
                      <w:rFonts w:hint="default" w:eastAsia="宋体"/>
                      <w:lang w:val="en-US" w:eastAsia="zh-CN"/>
                    </w:rPr>
                  </w:pPr>
                  <w:r>
                    <w:rPr>
                      <w:rFonts w:hint="eastAsia"/>
                      <w:lang w:val="en-US" w:eastAsia="zh-CN"/>
                    </w:rPr>
                    <w:t>DA00</w:t>
                  </w:r>
                  <w:r>
                    <w:t>1</w:t>
                  </w:r>
                </w:p>
              </w:tc>
              <w:tc>
                <w:tcPr>
                  <w:tcW w:w="836" w:type="pct"/>
                  <w:vAlign w:val="center"/>
                </w:tcPr>
                <w:p w14:paraId="5A8F9B68">
                  <w:pPr>
                    <w:pStyle w:val="1111"/>
                    <w:jc w:val="center"/>
                  </w:pPr>
                  <w:r>
                    <w:rPr>
                      <w:rFonts w:hint="eastAsia"/>
                    </w:rPr>
                    <w:t>非甲烷总烃</w:t>
                  </w:r>
                </w:p>
              </w:tc>
              <w:tc>
                <w:tcPr>
                  <w:tcW w:w="880" w:type="pct"/>
                  <w:vAlign w:val="center"/>
                </w:tcPr>
                <w:p w14:paraId="757BC4D3">
                  <w:pPr>
                    <w:pStyle w:val="1111"/>
                    <w:jc w:val="center"/>
                  </w:pPr>
                  <w:r>
                    <w:rPr>
                      <w:rFonts w:hint="eastAsia"/>
                    </w:rPr>
                    <w:t>2</w:t>
                  </w:r>
                </w:p>
              </w:tc>
              <w:tc>
                <w:tcPr>
                  <w:tcW w:w="880" w:type="pct"/>
                  <w:shd w:val="clear" w:color="auto" w:fill="auto"/>
                  <w:vAlign w:val="center"/>
                </w:tcPr>
                <w:p w14:paraId="4387BD5A">
                  <w:pPr>
                    <w:pStyle w:val="1111"/>
                    <w:jc w:val="center"/>
                    <w:rPr>
                      <w:rFonts w:hint="default" w:ascii="Times New Roman" w:hAnsi="Times New Roman" w:eastAsia="宋体" w:cs="Times New Roman"/>
                      <w:kern w:val="0"/>
                      <w:sz w:val="21"/>
                      <w:szCs w:val="20"/>
                      <w:lang w:val="en-US" w:eastAsia="zh-CN" w:bidi="ar-SA"/>
                    </w:rPr>
                  </w:pPr>
                  <w:r>
                    <w:rPr>
                      <w:rFonts w:hint="eastAsia"/>
                    </w:rPr>
                    <w:t>0.00</w:t>
                  </w:r>
                  <w:r>
                    <w:rPr>
                      <w:rFonts w:hint="eastAsia"/>
                      <w:lang w:val="en-US" w:eastAsia="zh-CN"/>
                    </w:rPr>
                    <w:t>109</w:t>
                  </w:r>
                </w:p>
              </w:tc>
              <w:tc>
                <w:tcPr>
                  <w:tcW w:w="754" w:type="pct"/>
                  <w:shd w:val="clear" w:color="auto" w:fill="auto"/>
                  <w:vAlign w:val="center"/>
                </w:tcPr>
                <w:p w14:paraId="6B7C24B9">
                  <w:pPr>
                    <w:pStyle w:val="1111"/>
                    <w:jc w:val="center"/>
                    <w:rPr>
                      <w:rFonts w:hint="default" w:ascii="Times New Roman" w:hAnsi="Times New Roman" w:eastAsia="宋体" w:cs="Times New Roman"/>
                      <w:kern w:val="0"/>
                      <w:sz w:val="21"/>
                      <w:szCs w:val="20"/>
                      <w:lang w:val="en-US" w:eastAsia="zh-CN" w:bidi="ar-SA"/>
                    </w:rPr>
                  </w:pPr>
                  <w:r>
                    <w:rPr>
                      <w:rFonts w:hint="eastAsia"/>
                      <w:lang w:val="en-US" w:eastAsia="zh-CN"/>
                    </w:rPr>
                    <w:t>0.05</w:t>
                  </w:r>
                </w:p>
              </w:tc>
              <w:tc>
                <w:tcPr>
                  <w:tcW w:w="775" w:type="pct"/>
                  <w:shd w:val="clear" w:color="auto" w:fill="auto"/>
                  <w:vAlign w:val="center"/>
                </w:tcPr>
                <w:p w14:paraId="00EF6484">
                  <w:pPr>
                    <w:pStyle w:val="1111"/>
                    <w:jc w:val="center"/>
                    <w:rPr>
                      <w:rFonts w:hint="default" w:ascii="Times New Roman" w:hAnsi="Times New Roman" w:eastAsia="宋体" w:cs="Times New Roman"/>
                      <w:kern w:val="0"/>
                      <w:sz w:val="21"/>
                      <w:szCs w:val="20"/>
                      <w:lang w:val="en-US" w:eastAsia="zh-CN" w:bidi="ar-SA"/>
                    </w:rPr>
                  </w:pPr>
                  <w:r>
                    <w:rPr>
                      <w:rFonts w:hint="eastAsia"/>
                      <w:lang w:val="en-US" w:eastAsia="zh-CN"/>
                    </w:rPr>
                    <w:t>70</w:t>
                  </w:r>
                </w:p>
              </w:tc>
            </w:tr>
            <w:tr w14:paraId="51A559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 w:type="pct"/>
                  <w:vMerge w:val="continue"/>
                  <w:vAlign w:val="center"/>
                </w:tcPr>
                <w:p w14:paraId="70AD369B">
                  <w:pPr>
                    <w:pStyle w:val="1111"/>
                    <w:jc w:val="center"/>
                    <w:rPr>
                      <w:rFonts w:hint="eastAsia"/>
                    </w:rPr>
                  </w:pPr>
                </w:p>
              </w:tc>
              <w:tc>
                <w:tcPr>
                  <w:tcW w:w="547" w:type="pct"/>
                  <w:vAlign w:val="center"/>
                </w:tcPr>
                <w:p w14:paraId="64D57E01">
                  <w:pPr>
                    <w:pStyle w:val="1111"/>
                    <w:jc w:val="center"/>
                  </w:pPr>
                  <w:r>
                    <w:rPr>
                      <w:rFonts w:hint="eastAsia"/>
                      <w:lang w:val="en-US" w:eastAsia="zh-CN"/>
                    </w:rPr>
                    <w:t>DA002</w:t>
                  </w:r>
                </w:p>
              </w:tc>
              <w:tc>
                <w:tcPr>
                  <w:tcW w:w="836" w:type="pct"/>
                  <w:vAlign w:val="center"/>
                </w:tcPr>
                <w:p w14:paraId="629CEE92">
                  <w:pPr>
                    <w:pStyle w:val="1111"/>
                    <w:jc w:val="center"/>
                    <w:rPr>
                      <w:rFonts w:hint="eastAsia"/>
                      <w:lang w:val="en-US" w:eastAsia="zh-CN"/>
                    </w:rPr>
                  </w:pPr>
                  <w:r>
                    <w:rPr>
                      <w:rFonts w:hint="eastAsia"/>
                    </w:rPr>
                    <w:t>非甲烷总烃</w:t>
                  </w:r>
                </w:p>
              </w:tc>
              <w:tc>
                <w:tcPr>
                  <w:tcW w:w="880" w:type="pct"/>
                  <w:vAlign w:val="center"/>
                </w:tcPr>
                <w:p w14:paraId="2E44BA9E">
                  <w:pPr>
                    <w:pStyle w:val="1111"/>
                    <w:jc w:val="center"/>
                    <w:rPr>
                      <w:rFonts w:hint="eastAsia"/>
                      <w:lang w:val="en-US" w:eastAsia="zh-CN"/>
                    </w:rPr>
                  </w:pPr>
                  <w:r>
                    <w:rPr>
                      <w:rFonts w:hint="eastAsia"/>
                    </w:rPr>
                    <w:t>2</w:t>
                  </w:r>
                </w:p>
              </w:tc>
              <w:tc>
                <w:tcPr>
                  <w:tcW w:w="1346" w:type="dxa"/>
                  <w:shd w:val="clear" w:color="auto" w:fill="auto"/>
                  <w:vAlign w:val="center"/>
                </w:tcPr>
                <w:p w14:paraId="699BEB04">
                  <w:pPr>
                    <w:pStyle w:val="1111"/>
                    <w:jc w:val="center"/>
                    <w:rPr>
                      <w:rFonts w:hint="eastAsia" w:ascii="Times New Roman" w:hAnsi="Times New Roman" w:eastAsia="宋体" w:cs="Times New Roman"/>
                      <w:kern w:val="0"/>
                      <w:sz w:val="21"/>
                      <w:szCs w:val="20"/>
                      <w:lang w:val="en-US" w:eastAsia="zh-CN" w:bidi="ar-SA"/>
                    </w:rPr>
                  </w:pPr>
                  <w:r>
                    <w:rPr>
                      <w:rFonts w:hint="eastAsia"/>
                    </w:rPr>
                    <w:t>0.00</w:t>
                  </w:r>
                  <w:r>
                    <w:rPr>
                      <w:rFonts w:hint="eastAsia"/>
                      <w:lang w:val="en-US" w:eastAsia="zh-CN"/>
                    </w:rPr>
                    <w:t>109</w:t>
                  </w:r>
                </w:p>
              </w:tc>
              <w:tc>
                <w:tcPr>
                  <w:tcW w:w="1153" w:type="dxa"/>
                  <w:shd w:val="clear" w:color="auto" w:fill="auto"/>
                  <w:vAlign w:val="center"/>
                </w:tcPr>
                <w:p w14:paraId="3ADC01E3">
                  <w:pPr>
                    <w:pStyle w:val="1111"/>
                    <w:jc w:val="center"/>
                    <w:rPr>
                      <w:rFonts w:hint="eastAsia" w:ascii="Times New Roman" w:hAnsi="Times New Roman" w:eastAsia="宋体" w:cs="Times New Roman"/>
                      <w:kern w:val="0"/>
                      <w:sz w:val="21"/>
                      <w:szCs w:val="20"/>
                      <w:lang w:val="en-US" w:eastAsia="zh-CN" w:bidi="ar-SA"/>
                    </w:rPr>
                  </w:pPr>
                  <w:r>
                    <w:rPr>
                      <w:rFonts w:hint="eastAsia"/>
                      <w:lang w:val="en-US" w:eastAsia="zh-CN"/>
                    </w:rPr>
                    <w:t>0.05</w:t>
                  </w:r>
                </w:p>
              </w:tc>
              <w:tc>
                <w:tcPr>
                  <w:tcW w:w="775" w:type="pct"/>
                  <w:shd w:val="clear" w:color="auto" w:fill="auto"/>
                  <w:vAlign w:val="center"/>
                </w:tcPr>
                <w:p w14:paraId="2FEBF813">
                  <w:pPr>
                    <w:pStyle w:val="1111"/>
                    <w:jc w:val="center"/>
                    <w:rPr>
                      <w:rFonts w:hint="eastAsia" w:ascii="Times New Roman" w:hAnsi="Times New Roman" w:eastAsia="宋体" w:cs="Times New Roman"/>
                      <w:kern w:val="0"/>
                      <w:sz w:val="21"/>
                      <w:szCs w:val="20"/>
                      <w:lang w:val="en-US" w:eastAsia="zh-CN" w:bidi="ar-SA"/>
                    </w:rPr>
                  </w:pPr>
                  <w:r>
                    <w:rPr>
                      <w:rFonts w:hint="eastAsia"/>
                      <w:lang w:val="en-US" w:eastAsia="zh-CN"/>
                    </w:rPr>
                    <w:t>70</w:t>
                  </w:r>
                </w:p>
              </w:tc>
            </w:tr>
            <w:tr w14:paraId="3D56F6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 w:type="pct"/>
                  <w:vMerge w:val="continue"/>
                  <w:vAlign w:val="center"/>
                </w:tcPr>
                <w:p w14:paraId="71FE2A4D">
                  <w:pPr>
                    <w:pStyle w:val="1111"/>
                    <w:jc w:val="center"/>
                    <w:rPr>
                      <w:rFonts w:hint="eastAsia"/>
                    </w:rPr>
                  </w:pPr>
                </w:p>
              </w:tc>
              <w:tc>
                <w:tcPr>
                  <w:tcW w:w="547" w:type="pct"/>
                  <w:vAlign w:val="center"/>
                </w:tcPr>
                <w:p w14:paraId="315BCF53">
                  <w:pPr>
                    <w:pStyle w:val="1111"/>
                    <w:jc w:val="center"/>
                  </w:pPr>
                  <w:r>
                    <w:rPr>
                      <w:rFonts w:hint="eastAsia"/>
                      <w:lang w:val="en-US" w:eastAsia="zh-CN"/>
                    </w:rPr>
                    <w:t>DA003</w:t>
                  </w:r>
                </w:p>
              </w:tc>
              <w:tc>
                <w:tcPr>
                  <w:tcW w:w="836" w:type="pct"/>
                  <w:vAlign w:val="center"/>
                </w:tcPr>
                <w:p w14:paraId="00F80A3B">
                  <w:pPr>
                    <w:pStyle w:val="1111"/>
                    <w:jc w:val="center"/>
                    <w:rPr>
                      <w:rFonts w:hint="eastAsia"/>
                      <w:lang w:val="en-US" w:eastAsia="zh-CN"/>
                    </w:rPr>
                  </w:pPr>
                  <w:r>
                    <w:rPr>
                      <w:rFonts w:hint="eastAsia"/>
                    </w:rPr>
                    <w:t>非甲烷总烃</w:t>
                  </w:r>
                </w:p>
              </w:tc>
              <w:tc>
                <w:tcPr>
                  <w:tcW w:w="880" w:type="pct"/>
                  <w:vAlign w:val="center"/>
                </w:tcPr>
                <w:p w14:paraId="402BEE09">
                  <w:pPr>
                    <w:pStyle w:val="1111"/>
                    <w:jc w:val="center"/>
                    <w:rPr>
                      <w:rFonts w:hint="eastAsia"/>
                      <w:lang w:val="en-US" w:eastAsia="zh-CN"/>
                    </w:rPr>
                  </w:pPr>
                  <w:r>
                    <w:rPr>
                      <w:rFonts w:hint="eastAsia"/>
                    </w:rPr>
                    <w:t>2</w:t>
                  </w:r>
                </w:p>
              </w:tc>
              <w:tc>
                <w:tcPr>
                  <w:tcW w:w="1346" w:type="dxa"/>
                  <w:shd w:val="clear" w:color="auto" w:fill="auto"/>
                  <w:vAlign w:val="center"/>
                </w:tcPr>
                <w:p w14:paraId="788730D2">
                  <w:pPr>
                    <w:pStyle w:val="1111"/>
                    <w:jc w:val="center"/>
                    <w:rPr>
                      <w:rFonts w:hint="eastAsia" w:ascii="Times New Roman" w:hAnsi="Times New Roman" w:eastAsia="宋体" w:cs="Times New Roman"/>
                      <w:kern w:val="0"/>
                      <w:sz w:val="21"/>
                      <w:szCs w:val="20"/>
                      <w:lang w:val="en-US" w:eastAsia="zh-CN" w:bidi="ar-SA"/>
                    </w:rPr>
                  </w:pPr>
                  <w:r>
                    <w:rPr>
                      <w:rFonts w:hint="eastAsia"/>
                    </w:rPr>
                    <w:t>0.00</w:t>
                  </w:r>
                  <w:r>
                    <w:rPr>
                      <w:rFonts w:hint="eastAsia"/>
                      <w:lang w:val="en-US" w:eastAsia="zh-CN"/>
                    </w:rPr>
                    <w:t>109</w:t>
                  </w:r>
                </w:p>
              </w:tc>
              <w:tc>
                <w:tcPr>
                  <w:tcW w:w="1153" w:type="dxa"/>
                  <w:shd w:val="clear" w:color="auto" w:fill="auto"/>
                  <w:vAlign w:val="center"/>
                </w:tcPr>
                <w:p w14:paraId="37E8780F">
                  <w:pPr>
                    <w:pStyle w:val="1111"/>
                    <w:jc w:val="center"/>
                    <w:rPr>
                      <w:rFonts w:hint="eastAsia" w:ascii="Times New Roman" w:hAnsi="Times New Roman" w:eastAsia="宋体" w:cs="Times New Roman"/>
                      <w:kern w:val="0"/>
                      <w:sz w:val="21"/>
                      <w:szCs w:val="20"/>
                      <w:lang w:val="en-US" w:eastAsia="zh-CN" w:bidi="ar-SA"/>
                    </w:rPr>
                  </w:pPr>
                  <w:r>
                    <w:rPr>
                      <w:rFonts w:hint="eastAsia"/>
                      <w:lang w:val="en-US" w:eastAsia="zh-CN"/>
                    </w:rPr>
                    <w:t>0.05</w:t>
                  </w:r>
                </w:p>
              </w:tc>
              <w:tc>
                <w:tcPr>
                  <w:tcW w:w="775" w:type="pct"/>
                  <w:shd w:val="clear" w:color="auto" w:fill="auto"/>
                  <w:vAlign w:val="center"/>
                </w:tcPr>
                <w:p w14:paraId="43F4DAAA">
                  <w:pPr>
                    <w:pStyle w:val="1111"/>
                    <w:jc w:val="center"/>
                    <w:rPr>
                      <w:rFonts w:hint="eastAsia" w:ascii="Times New Roman" w:hAnsi="Times New Roman" w:eastAsia="宋体" w:cs="Times New Roman"/>
                      <w:kern w:val="0"/>
                      <w:sz w:val="21"/>
                      <w:szCs w:val="20"/>
                      <w:lang w:val="en-US" w:eastAsia="zh-CN" w:bidi="ar-SA"/>
                    </w:rPr>
                  </w:pPr>
                  <w:r>
                    <w:rPr>
                      <w:rFonts w:hint="eastAsia"/>
                      <w:lang w:val="en-US" w:eastAsia="zh-CN"/>
                    </w:rPr>
                    <w:t>70</w:t>
                  </w:r>
                </w:p>
              </w:tc>
            </w:tr>
            <w:tr w14:paraId="5C1AEE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 w:type="pct"/>
                  <w:vMerge w:val="restart"/>
                  <w:vAlign w:val="center"/>
                </w:tcPr>
                <w:p w14:paraId="2F97086B">
                  <w:pPr>
                    <w:pStyle w:val="1111"/>
                    <w:jc w:val="center"/>
                  </w:pPr>
                  <w:r>
                    <w:rPr>
                      <w:rFonts w:hint="eastAsia"/>
                    </w:rPr>
                    <w:t>面源</w:t>
                  </w:r>
                </w:p>
              </w:tc>
              <w:tc>
                <w:tcPr>
                  <w:tcW w:w="547" w:type="pct"/>
                  <w:vAlign w:val="center"/>
                </w:tcPr>
                <w:p w14:paraId="7FCF724A">
                  <w:pPr>
                    <w:pStyle w:val="1111"/>
                    <w:jc w:val="center"/>
                    <w:rPr>
                      <w:rFonts w:hint="eastAsia" w:eastAsia="宋体"/>
                      <w:lang w:eastAsia="zh-CN"/>
                    </w:rPr>
                  </w:pPr>
                  <w:r>
                    <w:rPr>
                      <w:rFonts w:hint="eastAsia"/>
                      <w:lang w:val="en-US" w:eastAsia="zh-CN"/>
                    </w:rPr>
                    <w:t>1#存储间</w:t>
                  </w:r>
                </w:p>
              </w:tc>
              <w:tc>
                <w:tcPr>
                  <w:tcW w:w="836" w:type="pct"/>
                  <w:vAlign w:val="center"/>
                </w:tcPr>
                <w:p w14:paraId="749952D1">
                  <w:pPr>
                    <w:pStyle w:val="1111"/>
                    <w:jc w:val="center"/>
                  </w:pPr>
                  <w:r>
                    <w:rPr>
                      <w:rFonts w:hint="eastAsia"/>
                    </w:rPr>
                    <w:t>非甲烷总烃</w:t>
                  </w:r>
                </w:p>
              </w:tc>
              <w:tc>
                <w:tcPr>
                  <w:tcW w:w="880" w:type="pct"/>
                  <w:vAlign w:val="center"/>
                </w:tcPr>
                <w:p w14:paraId="7391426B">
                  <w:pPr>
                    <w:pStyle w:val="1111"/>
                    <w:jc w:val="center"/>
                  </w:pPr>
                  <w:r>
                    <w:rPr>
                      <w:rFonts w:hint="eastAsia"/>
                    </w:rPr>
                    <w:t>2</w:t>
                  </w:r>
                </w:p>
              </w:tc>
              <w:tc>
                <w:tcPr>
                  <w:tcW w:w="880" w:type="pct"/>
                  <w:vAlign w:val="center"/>
                </w:tcPr>
                <w:p w14:paraId="1D059D79">
                  <w:pPr>
                    <w:pStyle w:val="1111"/>
                    <w:jc w:val="center"/>
                    <w:rPr>
                      <w:rFonts w:hint="default" w:eastAsia="宋体"/>
                      <w:lang w:val="en-US" w:eastAsia="zh-CN"/>
                    </w:rPr>
                  </w:pPr>
                  <w:r>
                    <w:rPr>
                      <w:rFonts w:hint="eastAsia"/>
                    </w:rPr>
                    <w:t>0.0</w:t>
                  </w:r>
                  <w:r>
                    <w:rPr>
                      <w:rFonts w:hint="eastAsia"/>
                      <w:lang w:val="en-US" w:eastAsia="zh-CN"/>
                    </w:rPr>
                    <w:t>478</w:t>
                  </w:r>
                </w:p>
              </w:tc>
              <w:tc>
                <w:tcPr>
                  <w:tcW w:w="754" w:type="pct"/>
                  <w:vAlign w:val="center"/>
                </w:tcPr>
                <w:p w14:paraId="79D21571">
                  <w:pPr>
                    <w:pStyle w:val="1111"/>
                    <w:jc w:val="center"/>
                    <w:rPr>
                      <w:rFonts w:hint="default"/>
                      <w:lang w:val="en-US" w:eastAsia="zh-CN"/>
                    </w:rPr>
                  </w:pPr>
                  <w:r>
                    <w:rPr>
                      <w:rFonts w:hint="eastAsia"/>
                      <w:lang w:val="en-US" w:eastAsia="zh-CN"/>
                    </w:rPr>
                    <w:t>2.39</w:t>
                  </w:r>
                </w:p>
              </w:tc>
              <w:tc>
                <w:tcPr>
                  <w:tcW w:w="775" w:type="pct"/>
                  <w:vAlign w:val="center"/>
                </w:tcPr>
                <w:p w14:paraId="400709FB">
                  <w:pPr>
                    <w:pStyle w:val="1111"/>
                    <w:jc w:val="center"/>
                    <w:rPr>
                      <w:rFonts w:hint="default" w:eastAsia="宋体"/>
                      <w:lang w:val="en-US" w:eastAsia="zh-CN"/>
                    </w:rPr>
                  </w:pPr>
                  <w:r>
                    <w:rPr>
                      <w:rFonts w:hint="eastAsia"/>
                    </w:rPr>
                    <w:t>10</w:t>
                  </w:r>
                </w:p>
              </w:tc>
            </w:tr>
            <w:tr w14:paraId="27B1C8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325" w:type="pct"/>
                  <w:vMerge w:val="continue"/>
                  <w:vAlign w:val="center"/>
                </w:tcPr>
                <w:p w14:paraId="3B2F77D3">
                  <w:pPr>
                    <w:pStyle w:val="1111"/>
                    <w:jc w:val="center"/>
                    <w:rPr>
                      <w:rFonts w:hint="eastAsia"/>
                    </w:rPr>
                  </w:pPr>
                </w:p>
              </w:tc>
              <w:tc>
                <w:tcPr>
                  <w:tcW w:w="547" w:type="pct"/>
                  <w:vAlign w:val="center"/>
                </w:tcPr>
                <w:p w14:paraId="7E70B34D">
                  <w:pPr>
                    <w:pStyle w:val="1111"/>
                    <w:jc w:val="center"/>
                    <w:rPr>
                      <w:rFonts w:hint="eastAsia"/>
                    </w:rPr>
                  </w:pPr>
                  <w:r>
                    <w:rPr>
                      <w:rFonts w:hint="eastAsia"/>
                      <w:lang w:val="en-US" w:eastAsia="zh-CN"/>
                    </w:rPr>
                    <w:t>2#存储间</w:t>
                  </w:r>
                </w:p>
              </w:tc>
              <w:tc>
                <w:tcPr>
                  <w:tcW w:w="836" w:type="pct"/>
                  <w:vAlign w:val="center"/>
                </w:tcPr>
                <w:p w14:paraId="1936E5E8">
                  <w:pPr>
                    <w:pStyle w:val="1111"/>
                    <w:jc w:val="center"/>
                    <w:rPr>
                      <w:rFonts w:hint="eastAsia"/>
                      <w:lang w:val="en-US" w:eastAsia="zh-CN"/>
                    </w:rPr>
                  </w:pPr>
                  <w:r>
                    <w:rPr>
                      <w:rFonts w:hint="eastAsia"/>
                    </w:rPr>
                    <w:t>非甲烷总烃</w:t>
                  </w:r>
                </w:p>
              </w:tc>
              <w:tc>
                <w:tcPr>
                  <w:tcW w:w="880" w:type="pct"/>
                  <w:vAlign w:val="center"/>
                </w:tcPr>
                <w:p w14:paraId="46256A27">
                  <w:pPr>
                    <w:pStyle w:val="1111"/>
                    <w:jc w:val="center"/>
                    <w:rPr>
                      <w:rFonts w:hint="eastAsia"/>
                      <w:lang w:val="en-US" w:eastAsia="zh-CN"/>
                    </w:rPr>
                  </w:pPr>
                  <w:r>
                    <w:rPr>
                      <w:rFonts w:hint="eastAsia"/>
                    </w:rPr>
                    <w:t>2</w:t>
                  </w:r>
                </w:p>
              </w:tc>
              <w:tc>
                <w:tcPr>
                  <w:tcW w:w="1346" w:type="dxa"/>
                  <w:shd w:val="clear" w:color="auto" w:fill="auto"/>
                  <w:vAlign w:val="center"/>
                </w:tcPr>
                <w:p w14:paraId="281BD683">
                  <w:pPr>
                    <w:pStyle w:val="1111"/>
                    <w:jc w:val="center"/>
                    <w:rPr>
                      <w:rFonts w:hint="eastAsia" w:ascii="Times New Roman" w:hAnsi="Times New Roman" w:eastAsia="宋体" w:cs="Times New Roman"/>
                      <w:kern w:val="0"/>
                      <w:sz w:val="21"/>
                      <w:szCs w:val="20"/>
                      <w:lang w:val="en-US" w:eastAsia="zh-CN" w:bidi="ar-SA"/>
                    </w:rPr>
                  </w:pPr>
                  <w:r>
                    <w:rPr>
                      <w:rFonts w:hint="eastAsia"/>
                    </w:rPr>
                    <w:t>0.0</w:t>
                  </w:r>
                  <w:r>
                    <w:rPr>
                      <w:rFonts w:hint="eastAsia"/>
                      <w:lang w:val="en-US" w:eastAsia="zh-CN"/>
                    </w:rPr>
                    <w:t>478</w:t>
                  </w:r>
                </w:p>
              </w:tc>
              <w:tc>
                <w:tcPr>
                  <w:tcW w:w="1153" w:type="dxa"/>
                  <w:shd w:val="clear" w:color="auto" w:fill="auto"/>
                  <w:vAlign w:val="center"/>
                </w:tcPr>
                <w:p w14:paraId="6F74ECEC">
                  <w:pPr>
                    <w:pStyle w:val="1111"/>
                    <w:jc w:val="center"/>
                    <w:rPr>
                      <w:rFonts w:hint="eastAsia" w:ascii="Times New Roman" w:hAnsi="Times New Roman" w:eastAsia="宋体" w:cs="Times New Roman"/>
                      <w:kern w:val="0"/>
                      <w:sz w:val="21"/>
                      <w:szCs w:val="20"/>
                      <w:lang w:val="en-US" w:eastAsia="zh-CN" w:bidi="ar-SA"/>
                    </w:rPr>
                  </w:pPr>
                  <w:r>
                    <w:rPr>
                      <w:rFonts w:hint="eastAsia"/>
                      <w:lang w:val="en-US" w:eastAsia="zh-CN"/>
                    </w:rPr>
                    <w:t>2.39</w:t>
                  </w:r>
                </w:p>
              </w:tc>
              <w:tc>
                <w:tcPr>
                  <w:tcW w:w="775" w:type="pct"/>
                  <w:vAlign w:val="center"/>
                </w:tcPr>
                <w:p w14:paraId="18DCB72F">
                  <w:pPr>
                    <w:pStyle w:val="1111"/>
                    <w:jc w:val="center"/>
                    <w:rPr>
                      <w:rFonts w:hint="eastAsia"/>
                      <w:lang w:val="en-US" w:eastAsia="zh-CN"/>
                    </w:rPr>
                  </w:pPr>
                  <w:r>
                    <w:rPr>
                      <w:rFonts w:hint="eastAsia"/>
                    </w:rPr>
                    <w:t>10</w:t>
                  </w:r>
                </w:p>
              </w:tc>
            </w:tr>
            <w:tr w14:paraId="407B98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325" w:type="pct"/>
                  <w:vMerge w:val="continue"/>
                  <w:vAlign w:val="center"/>
                </w:tcPr>
                <w:p w14:paraId="50532968">
                  <w:pPr>
                    <w:pStyle w:val="1111"/>
                    <w:jc w:val="center"/>
                    <w:rPr>
                      <w:rFonts w:hint="eastAsia"/>
                    </w:rPr>
                  </w:pPr>
                </w:p>
              </w:tc>
              <w:tc>
                <w:tcPr>
                  <w:tcW w:w="547" w:type="pct"/>
                  <w:vAlign w:val="center"/>
                </w:tcPr>
                <w:p w14:paraId="1DF31A69">
                  <w:pPr>
                    <w:pStyle w:val="1111"/>
                    <w:jc w:val="center"/>
                    <w:rPr>
                      <w:rFonts w:hint="eastAsia"/>
                    </w:rPr>
                  </w:pPr>
                  <w:r>
                    <w:rPr>
                      <w:rFonts w:hint="eastAsia"/>
                      <w:lang w:val="en-US" w:eastAsia="zh-CN"/>
                    </w:rPr>
                    <w:t>3#存储间</w:t>
                  </w:r>
                </w:p>
              </w:tc>
              <w:tc>
                <w:tcPr>
                  <w:tcW w:w="836" w:type="pct"/>
                  <w:vAlign w:val="center"/>
                </w:tcPr>
                <w:p w14:paraId="2245BFC8">
                  <w:pPr>
                    <w:pStyle w:val="1111"/>
                    <w:jc w:val="center"/>
                    <w:rPr>
                      <w:rFonts w:hint="eastAsia"/>
                      <w:lang w:val="en-US" w:eastAsia="zh-CN"/>
                    </w:rPr>
                  </w:pPr>
                  <w:r>
                    <w:rPr>
                      <w:rFonts w:hint="eastAsia"/>
                    </w:rPr>
                    <w:t>非甲烷总烃</w:t>
                  </w:r>
                </w:p>
              </w:tc>
              <w:tc>
                <w:tcPr>
                  <w:tcW w:w="880" w:type="pct"/>
                  <w:vAlign w:val="center"/>
                </w:tcPr>
                <w:p w14:paraId="60A1EC11">
                  <w:pPr>
                    <w:pStyle w:val="1111"/>
                    <w:jc w:val="center"/>
                    <w:rPr>
                      <w:rFonts w:hint="eastAsia"/>
                      <w:lang w:val="en-US" w:eastAsia="zh-CN"/>
                    </w:rPr>
                  </w:pPr>
                  <w:r>
                    <w:rPr>
                      <w:rFonts w:hint="eastAsia"/>
                    </w:rPr>
                    <w:t>2</w:t>
                  </w:r>
                </w:p>
              </w:tc>
              <w:tc>
                <w:tcPr>
                  <w:tcW w:w="1346" w:type="dxa"/>
                  <w:shd w:val="clear" w:color="auto" w:fill="auto"/>
                  <w:vAlign w:val="center"/>
                </w:tcPr>
                <w:p w14:paraId="62181CC6">
                  <w:pPr>
                    <w:pStyle w:val="1111"/>
                    <w:jc w:val="center"/>
                    <w:rPr>
                      <w:rFonts w:hint="eastAsia" w:ascii="Times New Roman" w:hAnsi="Times New Roman" w:eastAsia="宋体" w:cs="Times New Roman"/>
                      <w:kern w:val="0"/>
                      <w:sz w:val="21"/>
                      <w:szCs w:val="20"/>
                      <w:lang w:val="en-US" w:eastAsia="zh-CN" w:bidi="ar-SA"/>
                    </w:rPr>
                  </w:pPr>
                  <w:r>
                    <w:rPr>
                      <w:rFonts w:hint="eastAsia"/>
                    </w:rPr>
                    <w:t>0.0</w:t>
                  </w:r>
                  <w:r>
                    <w:rPr>
                      <w:rFonts w:hint="eastAsia"/>
                      <w:lang w:val="en-US" w:eastAsia="zh-CN"/>
                    </w:rPr>
                    <w:t>478</w:t>
                  </w:r>
                </w:p>
              </w:tc>
              <w:tc>
                <w:tcPr>
                  <w:tcW w:w="1153" w:type="dxa"/>
                  <w:shd w:val="clear" w:color="auto" w:fill="auto"/>
                  <w:vAlign w:val="center"/>
                </w:tcPr>
                <w:p w14:paraId="26CEC52E">
                  <w:pPr>
                    <w:pStyle w:val="1111"/>
                    <w:jc w:val="center"/>
                    <w:rPr>
                      <w:rFonts w:hint="eastAsia" w:ascii="Times New Roman" w:hAnsi="Times New Roman" w:eastAsia="宋体" w:cs="Times New Roman"/>
                      <w:kern w:val="0"/>
                      <w:sz w:val="21"/>
                      <w:szCs w:val="20"/>
                      <w:lang w:val="en-US" w:eastAsia="zh-CN" w:bidi="ar-SA"/>
                    </w:rPr>
                  </w:pPr>
                  <w:r>
                    <w:rPr>
                      <w:rFonts w:hint="eastAsia"/>
                      <w:lang w:val="en-US" w:eastAsia="zh-CN"/>
                    </w:rPr>
                    <w:t>2.39</w:t>
                  </w:r>
                </w:p>
              </w:tc>
              <w:tc>
                <w:tcPr>
                  <w:tcW w:w="775" w:type="pct"/>
                  <w:vAlign w:val="center"/>
                </w:tcPr>
                <w:p w14:paraId="380B2982">
                  <w:pPr>
                    <w:pStyle w:val="1111"/>
                    <w:jc w:val="center"/>
                    <w:rPr>
                      <w:rFonts w:hint="eastAsia"/>
                      <w:lang w:val="en-US" w:eastAsia="zh-CN"/>
                    </w:rPr>
                  </w:pPr>
                  <w:r>
                    <w:rPr>
                      <w:rFonts w:hint="eastAsia"/>
                    </w:rPr>
                    <w:t>10</w:t>
                  </w:r>
                </w:p>
              </w:tc>
            </w:tr>
          </w:tbl>
          <w:p w14:paraId="1FA31E31">
            <w:pPr>
              <w:pStyle w:val="512"/>
            </w:pPr>
            <w:r>
              <w:rPr>
                <w:rFonts w:hint="eastAsia"/>
              </w:rPr>
              <w:t>通过上表估算预测，项目排放的非甲烷总烃最大落地浓度均远小于各污染物的环境质量标准，对区域环境质量影响较小；项目排放的各污染物最大落地浓度对应的最远距离为</w:t>
            </w:r>
            <w:r>
              <w:rPr>
                <w:rFonts w:hint="eastAsia"/>
                <w:lang w:val="en-US" w:eastAsia="zh-CN"/>
              </w:rPr>
              <w:t>70</w:t>
            </w:r>
            <w:r>
              <w:t>m</w:t>
            </w:r>
            <w:r>
              <w:rPr>
                <w:rFonts w:hint="eastAsia"/>
              </w:rPr>
              <w:t>，项目周边最近的敏感点</w:t>
            </w:r>
            <w:r>
              <w:rPr>
                <w:rStyle w:val="511"/>
                <w:rFonts w:hint="eastAsia"/>
              </w:rPr>
              <w:t>为</w:t>
            </w:r>
            <w:r>
              <w:rPr>
                <w:rStyle w:val="511"/>
              </w:rPr>
              <w:t>食品药品检验检测中心</w:t>
            </w:r>
            <w:r>
              <w:rPr>
                <w:rFonts w:hint="eastAsia"/>
              </w:rPr>
              <w:t>，距离约</w:t>
            </w:r>
            <w:r>
              <w:rPr>
                <w:rFonts w:hint="eastAsia"/>
                <w:lang w:val="en-US" w:eastAsia="zh-CN"/>
              </w:rPr>
              <w:t>450</w:t>
            </w:r>
            <w:r>
              <w:t>m</w:t>
            </w:r>
            <w:r>
              <w:rPr>
                <w:rFonts w:hint="eastAsia"/>
              </w:rPr>
              <w:t>，项目排放的大气污染物对周边敏感点影响较小。</w:t>
            </w:r>
          </w:p>
          <w:p w14:paraId="3601A557">
            <w:pPr>
              <w:pStyle w:val="512"/>
              <w:bidi w:val="0"/>
            </w:pPr>
            <w:r>
              <w:rPr>
                <w:rFonts w:hint="eastAsia"/>
              </w:rPr>
              <w:t>②</w:t>
            </w:r>
            <w:r>
              <w:t>卫生防护距离计算</w:t>
            </w:r>
          </w:p>
          <w:p w14:paraId="26F21904">
            <w:pPr>
              <w:pStyle w:val="512"/>
              <w:bidi w:val="0"/>
            </w:pPr>
            <w:r>
              <w:t>根据《</w:t>
            </w:r>
            <w:r>
              <w:rPr>
                <w:rFonts w:hint="eastAsia"/>
              </w:rPr>
              <w:t>大气有害物质无组织排放卫生防护距离推导技术导则</w:t>
            </w:r>
            <w:r>
              <w:t>》（GB/T</w:t>
            </w:r>
            <w:r>
              <w:rPr>
                <w:rFonts w:hint="eastAsia"/>
              </w:rPr>
              <w:t>39499-2020</w:t>
            </w:r>
            <w:r>
              <w:t>）规定，无组织排放有害气体的生产单元（生产区、车间、工段）与居民区之间应设置卫生防护距离，计算公式如下：</w:t>
            </w:r>
          </w:p>
          <w:p w14:paraId="246C09AD">
            <w:pPr>
              <w:pStyle w:val="51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pPr>
            <w:r>
              <w:drawing>
                <wp:inline distT="0" distB="0" distL="114300" distR="114300">
                  <wp:extent cx="1924685" cy="457200"/>
                  <wp:effectExtent l="0" t="0" r="0" b="0"/>
                  <wp:docPr id="2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9"/>
                          <pic:cNvPicPr>
                            <a:picLocks noChangeAspect="1"/>
                          </pic:cNvPicPr>
                        </pic:nvPicPr>
                        <pic:blipFill>
                          <a:blip r:embed="rId19"/>
                          <a:stretch>
                            <a:fillRect/>
                          </a:stretch>
                        </pic:blipFill>
                        <pic:spPr>
                          <a:xfrm>
                            <a:off x="0" y="0"/>
                            <a:ext cx="1924685" cy="457200"/>
                          </a:xfrm>
                          <a:prstGeom prst="rect">
                            <a:avLst/>
                          </a:prstGeom>
                          <a:noFill/>
                          <a:ln>
                            <a:noFill/>
                          </a:ln>
                        </pic:spPr>
                      </pic:pic>
                    </a:graphicData>
                  </a:graphic>
                </wp:inline>
              </w:drawing>
            </w:r>
          </w:p>
          <w:p w14:paraId="40C3B1DE">
            <w:pPr>
              <w:pStyle w:val="512"/>
              <w:bidi w:val="0"/>
            </w:pPr>
            <w:r>
              <w:t>式中：</w:t>
            </w:r>
          </w:p>
          <w:p w14:paraId="2B96A985">
            <w:pPr>
              <w:pStyle w:val="512"/>
              <w:bidi w:val="0"/>
            </w:pPr>
            <w:r>
              <w:t>Cm为环境一次浓度标准值（毫克/米</w:t>
            </w:r>
            <w:r>
              <w:rPr>
                <w:vertAlign w:val="superscript"/>
              </w:rPr>
              <w:t>3</w:t>
            </w:r>
            <w:r>
              <w:t>）；</w:t>
            </w:r>
          </w:p>
          <w:p w14:paraId="7238856C">
            <w:pPr>
              <w:pStyle w:val="512"/>
              <w:bidi w:val="0"/>
            </w:pPr>
            <w:r>
              <w:t>Qc为有害气体无组织排放量可以达到的控制水平（公斤/小时）；</w:t>
            </w:r>
          </w:p>
          <w:p w14:paraId="24CB69E9">
            <w:pPr>
              <w:pStyle w:val="512"/>
              <w:bidi w:val="0"/>
            </w:pPr>
            <w:r>
              <w:t>r为有害气体无组织排放源所在生产单元的等效半径（米）；</w:t>
            </w:r>
          </w:p>
          <w:p w14:paraId="5EAF4080">
            <w:pPr>
              <w:pStyle w:val="512"/>
              <w:bidi w:val="0"/>
            </w:pPr>
            <w:r>
              <w:t>L为工业企业所需的卫生防护距离（米）；</w:t>
            </w:r>
          </w:p>
          <w:p w14:paraId="22A09FF7">
            <w:pPr>
              <w:pStyle w:val="512"/>
              <w:bidi w:val="0"/>
            </w:pPr>
            <w:r>
              <w:t>A、B、C、D为计算系数。根据所在地平均风速及工业企业大气污染源构成类别查取。无组织排放多种有害气体时，按Qc/Cm的最大值计算其所需的卫生防护距离。卫生防护距离在100m内时，级差为50m；超过100m，但小于1000m时，级差为100m。无组织排放多种有害气体的工业企业，按Qc/Cm的最大值计算其所需卫生防护距离，但当按两种或两种以上有害气体的Qc/Cm计算的卫生防护距离在同一级别时，该类工业企业的卫生防护距离提高一级。</w:t>
            </w:r>
          </w:p>
          <w:p w14:paraId="431E5ECE">
            <w:pPr>
              <w:pStyle w:val="512"/>
              <w:bidi w:val="0"/>
            </w:pPr>
            <w:r>
              <w:t>该地区的平均风速为3.1m/s，A、B、C、D值的选取见表</w:t>
            </w:r>
            <w:r>
              <w:rPr>
                <w:rFonts w:hint="eastAsia"/>
              </w:rPr>
              <w:t>4-</w:t>
            </w:r>
            <w:r>
              <w:rPr>
                <w:rFonts w:hint="eastAsia"/>
                <w:lang w:val="en-US" w:eastAsia="zh-CN"/>
              </w:rPr>
              <w:t>10</w:t>
            </w:r>
            <w:r>
              <w:t>。</w:t>
            </w:r>
          </w:p>
          <w:p w14:paraId="4564CF62">
            <w:pPr>
              <w:pStyle w:val="1111"/>
              <w:bidi w:val="0"/>
              <w:rPr>
                <w:rFonts w:hint="eastAsia"/>
              </w:rPr>
            </w:pPr>
            <w:r>
              <w:rPr>
                <w:rFonts w:hint="eastAsia"/>
              </w:rPr>
              <w:t>表4-</w:t>
            </w:r>
            <w:r>
              <w:rPr>
                <w:rFonts w:hint="eastAsia"/>
                <w:lang w:val="en-US" w:eastAsia="zh-CN"/>
              </w:rPr>
              <w:t xml:space="preserve">10 </w:t>
            </w:r>
            <w:r>
              <w:rPr>
                <w:rFonts w:hint="eastAsia"/>
              </w:rPr>
              <w:t>卫生防护距离计算系数</w:t>
            </w:r>
          </w:p>
          <w:tbl>
            <w:tblPr>
              <w:tblStyle w:val="7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9"/>
              <w:gridCol w:w="1432"/>
              <w:gridCol w:w="600"/>
              <w:gridCol w:w="565"/>
              <w:gridCol w:w="565"/>
              <w:gridCol w:w="565"/>
              <w:gridCol w:w="565"/>
              <w:gridCol w:w="565"/>
              <w:gridCol w:w="565"/>
              <w:gridCol w:w="566"/>
              <w:gridCol w:w="562"/>
            </w:tblGrid>
            <w:tr w14:paraId="6D807E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3" w:type="pct"/>
                  <w:vMerge w:val="restart"/>
                  <w:noWrap w:val="0"/>
                  <w:vAlign w:val="center"/>
                </w:tcPr>
                <w:p w14:paraId="54B1CDAA">
                  <w:pPr>
                    <w:pStyle w:val="1111"/>
                    <w:bidi w:val="0"/>
                  </w:pPr>
                  <w:r>
                    <w:t>计算系数</w:t>
                  </w:r>
                </w:p>
              </w:tc>
              <w:tc>
                <w:tcPr>
                  <w:tcW w:w="937" w:type="pct"/>
                  <w:vMerge w:val="restart"/>
                  <w:noWrap w:val="0"/>
                  <w:vAlign w:val="center"/>
                </w:tcPr>
                <w:p w14:paraId="4FD7A2FA">
                  <w:pPr>
                    <w:pStyle w:val="1111"/>
                    <w:bidi w:val="0"/>
                  </w:pPr>
                  <w:r>
                    <w:t>5年平均风速</w:t>
                  </w:r>
                </w:p>
                <w:p w14:paraId="7E932CC8">
                  <w:pPr>
                    <w:pStyle w:val="1111"/>
                    <w:bidi w:val="0"/>
                  </w:pPr>
                  <w:r>
                    <w:t>m/s</w:t>
                  </w:r>
                </w:p>
              </w:tc>
              <w:tc>
                <w:tcPr>
                  <w:tcW w:w="3350" w:type="pct"/>
                  <w:gridSpan w:val="9"/>
                  <w:noWrap w:val="0"/>
                  <w:vAlign w:val="center"/>
                </w:tcPr>
                <w:p w14:paraId="7A3893CB">
                  <w:pPr>
                    <w:pStyle w:val="1111"/>
                    <w:bidi w:val="0"/>
                  </w:pPr>
                  <w:r>
                    <w:t>卫生防护距离L，m</w:t>
                  </w:r>
                </w:p>
              </w:tc>
            </w:tr>
            <w:tr w14:paraId="01283C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3" w:type="pct"/>
                  <w:vMerge w:val="continue"/>
                  <w:noWrap w:val="0"/>
                  <w:vAlign w:val="center"/>
                </w:tcPr>
                <w:p w14:paraId="7EEF5B5D">
                  <w:pPr>
                    <w:pStyle w:val="1111"/>
                    <w:bidi w:val="0"/>
                  </w:pPr>
                </w:p>
              </w:tc>
              <w:tc>
                <w:tcPr>
                  <w:tcW w:w="937" w:type="pct"/>
                  <w:vMerge w:val="continue"/>
                  <w:noWrap w:val="0"/>
                  <w:vAlign w:val="center"/>
                </w:tcPr>
                <w:p w14:paraId="510E0270">
                  <w:pPr>
                    <w:pStyle w:val="1111"/>
                    <w:bidi w:val="0"/>
                  </w:pPr>
                </w:p>
              </w:tc>
              <w:tc>
                <w:tcPr>
                  <w:tcW w:w="1133" w:type="pct"/>
                  <w:gridSpan w:val="3"/>
                  <w:noWrap w:val="0"/>
                  <w:vAlign w:val="center"/>
                </w:tcPr>
                <w:p w14:paraId="78FD351F">
                  <w:pPr>
                    <w:pStyle w:val="1111"/>
                    <w:bidi w:val="0"/>
                  </w:pPr>
                  <w:r>
                    <w:t>L≤1000</w:t>
                  </w:r>
                </w:p>
              </w:tc>
              <w:tc>
                <w:tcPr>
                  <w:tcW w:w="1110" w:type="pct"/>
                  <w:gridSpan w:val="3"/>
                  <w:noWrap w:val="0"/>
                  <w:vAlign w:val="center"/>
                </w:tcPr>
                <w:p w14:paraId="75307248">
                  <w:pPr>
                    <w:pStyle w:val="1111"/>
                    <w:bidi w:val="0"/>
                  </w:pPr>
                  <w:r>
                    <w:t>1000＜L≤2000</w:t>
                  </w:r>
                </w:p>
              </w:tc>
              <w:tc>
                <w:tcPr>
                  <w:tcW w:w="1107" w:type="pct"/>
                  <w:gridSpan w:val="3"/>
                  <w:noWrap w:val="0"/>
                  <w:vAlign w:val="center"/>
                </w:tcPr>
                <w:p w14:paraId="63EEB0C4">
                  <w:pPr>
                    <w:pStyle w:val="1111"/>
                    <w:bidi w:val="0"/>
                  </w:pPr>
                  <w:r>
                    <w:t>L＞2000</w:t>
                  </w:r>
                </w:p>
              </w:tc>
            </w:tr>
            <w:tr w14:paraId="7CEB68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3" w:type="pct"/>
                  <w:vMerge w:val="continue"/>
                  <w:noWrap w:val="0"/>
                  <w:vAlign w:val="center"/>
                </w:tcPr>
                <w:p w14:paraId="015B325A">
                  <w:pPr>
                    <w:pStyle w:val="1111"/>
                    <w:bidi w:val="0"/>
                  </w:pPr>
                </w:p>
              </w:tc>
              <w:tc>
                <w:tcPr>
                  <w:tcW w:w="937" w:type="pct"/>
                  <w:vMerge w:val="continue"/>
                  <w:noWrap w:val="0"/>
                  <w:vAlign w:val="center"/>
                </w:tcPr>
                <w:p w14:paraId="25C1BE62">
                  <w:pPr>
                    <w:pStyle w:val="1111"/>
                    <w:bidi w:val="0"/>
                  </w:pPr>
                </w:p>
              </w:tc>
              <w:tc>
                <w:tcPr>
                  <w:tcW w:w="3350" w:type="pct"/>
                  <w:gridSpan w:val="9"/>
                  <w:noWrap w:val="0"/>
                  <w:vAlign w:val="center"/>
                </w:tcPr>
                <w:p w14:paraId="71A610D6">
                  <w:pPr>
                    <w:pStyle w:val="1111"/>
                    <w:bidi w:val="0"/>
                  </w:pPr>
                  <w:r>
                    <w:t>工业大气污染源构成类别</w:t>
                  </w:r>
                </w:p>
              </w:tc>
            </w:tr>
            <w:tr w14:paraId="2C0405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3" w:type="pct"/>
                  <w:vMerge w:val="continue"/>
                  <w:noWrap w:val="0"/>
                  <w:vAlign w:val="center"/>
                </w:tcPr>
                <w:p w14:paraId="733AEA4A">
                  <w:pPr>
                    <w:pStyle w:val="1111"/>
                    <w:bidi w:val="0"/>
                  </w:pPr>
                </w:p>
              </w:tc>
              <w:tc>
                <w:tcPr>
                  <w:tcW w:w="937" w:type="pct"/>
                  <w:vMerge w:val="continue"/>
                  <w:noWrap w:val="0"/>
                  <w:vAlign w:val="center"/>
                </w:tcPr>
                <w:p w14:paraId="0788E363">
                  <w:pPr>
                    <w:pStyle w:val="1111"/>
                    <w:bidi w:val="0"/>
                  </w:pPr>
                </w:p>
              </w:tc>
              <w:tc>
                <w:tcPr>
                  <w:tcW w:w="393" w:type="pct"/>
                  <w:noWrap w:val="0"/>
                  <w:vAlign w:val="center"/>
                </w:tcPr>
                <w:p w14:paraId="781A1350">
                  <w:pPr>
                    <w:pStyle w:val="1111"/>
                    <w:bidi w:val="0"/>
                  </w:pPr>
                  <w:r>
                    <w:rPr>
                      <w:rFonts w:hint="eastAsia"/>
                    </w:rPr>
                    <w:t>Ⅰ</w:t>
                  </w:r>
                </w:p>
              </w:tc>
              <w:tc>
                <w:tcPr>
                  <w:tcW w:w="370" w:type="pct"/>
                  <w:noWrap w:val="0"/>
                  <w:vAlign w:val="center"/>
                </w:tcPr>
                <w:p w14:paraId="79F44AAC">
                  <w:pPr>
                    <w:pStyle w:val="1111"/>
                    <w:bidi w:val="0"/>
                  </w:pPr>
                  <w:r>
                    <w:rPr>
                      <w:rFonts w:hint="eastAsia"/>
                    </w:rPr>
                    <w:t>Ⅱ</w:t>
                  </w:r>
                </w:p>
              </w:tc>
              <w:tc>
                <w:tcPr>
                  <w:tcW w:w="370" w:type="pct"/>
                  <w:noWrap w:val="0"/>
                  <w:vAlign w:val="center"/>
                </w:tcPr>
                <w:p w14:paraId="7B548011">
                  <w:pPr>
                    <w:pStyle w:val="1111"/>
                    <w:bidi w:val="0"/>
                  </w:pPr>
                  <w:r>
                    <w:rPr>
                      <w:rFonts w:hint="eastAsia"/>
                    </w:rPr>
                    <w:t>Ⅲ</w:t>
                  </w:r>
                </w:p>
              </w:tc>
              <w:tc>
                <w:tcPr>
                  <w:tcW w:w="370" w:type="pct"/>
                  <w:noWrap w:val="0"/>
                  <w:vAlign w:val="center"/>
                </w:tcPr>
                <w:p w14:paraId="5F1CAC18">
                  <w:pPr>
                    <w:pStyle w:val="1111"/>
                    <w:bidi w:val="0"/>
                  </w:pPr>
                  <w:r>
                    <w:rPr>
                      <w:rFonts w:hint="eastAsia"/>
                    </w:rPr>
                    <w:t>Ⅰ</w:t>
                  </w:r>
                </w:p>
              </w:tc>
              <w:tc>
                <w:tcPr>
                  <w:tcW w:w="370" w:type="pct"/>
                  <w:noWrap w:val="0"/>
                  <w:vAlign w:val="center"/>
                </w:tcPr>
                <w:p w14:paraId="3E5665A0">
                  <w:pPr>
                    <w:pStyle w:val="1111"/>
                    <w:bidi w:val="0"/>
                  </w:pPr>
                  <w:r>
                    <w:rPr>
                      <w:rFonts w:hint="eastAsia"/>
                    </w:rPr>
                    <w:t>Ⅱ</w:t>
                  </w:r>
                </w:p>
              </w:tc>
              <w:tc>
                <w:tcPr>
                  <w:tcW w:w="370" w:type="pct"/>
                  <w:noWrap w:val="0"/>
                  <w:vAlign w:val="center"/>
                </w:tcPr>
                <w:p w14:paraId="01DA01BA">
                  <w:pPr>
                    <w:pStyle w:val="1111"/>
                    <w:bidi w:val="0"/>
                  </w:pPr>
                  <w:r>
                    <w:rPr>
                      <w:rFonts w:hint="eastAsia"/>
                    </w:rPr>
                    <w:t>Ⅲ</w:t>
                  </w:r>
                </w:p>
              </w:tc>
              <w:tc>
                <w:tcPr>
                  <w:tcW w:w="370" w:type="pct"/>
                  <w:noWrap w:val="0"/>
                  <w:vAlign w:val="center"/>
                </w:tcPr>
                <w:p w14:paraId="6250E2D5">
                  <w:pPr>
                    <w:pStyle w:val="1111"/>
                    <w:bidi w:val="0"/>
                  </w:pPr>
                  <w:r>
                    <w:rPr>
                      <w:rFonts w:hint="eastAsia"/>
                    </w:rPr>
                    <w:t>Ⅰ</w:t>
                  </w:r>
                </w:p>
              </w:tc>
              <w:tc>
                <w:tcPr>
                  <w:tcW w:w="370" w:type="pct"/>
                  <w:noWrap w:val="0"/>
                  <w:vAlign w:val="center"/>
                </w:tcPr>
                <w:p w14:paraId="4AA443F2">
                  <w:pPr>
                    <w:pStyle w:val="1111"/>
                    <w:bidi w:val="0"/>
                  </w:pPr>
                  <w:r>
                    <w:rPr>
                      <w:rFonts w:hint="eastAsia"/>
                    </w:rPr>
                    <w:t>Ⅱ</w:t>
                  </w:r>
                </w:p>
              </w:tc>
              <w:tc>
                <w:tcPr>
                  <w:tcW w:w="368" w:type="pct"/>
                  <w:noWrap w:val="0"/>
                  <w:vAlign w:val="center"/>
                </w:tcPr>
                <w:p w14:paraId="3D89BEDD">
                  <w:pPr>
                    <w:pStyle w:val="1111"/>
                    <w:bidi w:val="0"/>
                  </w:pPr>
                  <w:r>
                    <w:rPr>
                      <w:rFonts w:hint="eastAsia"/>
                    </w:rPr>
                    <w:t>Ⅲ</w:t>
                  </w:r>
                </w:p>
              </w:tc>
            </w:tr>
            <w:tr w14:paraId="35FFC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3" w:type="pct"/>
                  <w:vMerge w:val="restart"/>
                  <w:noWrap w:val="0"/>
                  <w:vAlign w:val="center"/>
                </w:tcPr>
                <w:p w14:paraId="55706DB3">
                  <w:pPr>
                    <w:pStyle w:val="1111"/>
                    <w:bidi w:val="0"/>
                  </w:pPr>
                  <w:r>
                    <w:t>A</w:t>
                  </w:r>
                </w:p>
              </w:tc>
              <w:tc>
                <w:tcPr>
                  <w:tcW w:w="937" w:type="pct"/>
                  <w:noWrap w:val="0"/>
                  <w:vAlign w:val="center"/>
                </w:tcPr>
                <w:p w14:paraId="7B08D653">
                  <w:pPr>
                    <w:pStyle w:val="1111"/>
                    <w:bidi w:val="0"/>
                  </w:pPr>
                  <w:r>
                    <w:t>＜2</w:t>
                  </w:r>
                </w:p>
              </w:tc>
              <w:tc>
                <w:tcPr>
                  <w:tcW w:w="393" w:type="pct"/>
                  <w:noWrap w:val="0"/>
                  <w:vAlign w:val="center"/>
                </w:tcPr>
                <w:p w14:paraId="32C8DD30">
                  <w:pPr>
                    <w:pStyle w:val="1111"/>
                    <w:bidi w:val="0"/>
                  </w:pPr>
                  <w:r>
                    <w:t>400</w:t>
                  </w:r>
                </w:p>
              </w:tc>
              <w:tc>
                <w:tcPr>
                  <w:tcW w:w="370" w:type="pct"/>
                  <w:noWrap w:val="0"/>
                  <w:vAlign w:val="center"/>
                </w:tcPr>
                <w:p w14:paraId="29E1CDF2">
                  <w:pPr>
                    <w:pStyle w:val="1111"/>
                    <w:bidi w:val="0"/>
                  </w:pPr>
                  <w:r>
                    <w:t>400</w:t>
                  </w:r>
                </w:p>
              </w:tc>
              <w:tc>
                <w:tcPr>
                  <w:tcW w:w="370" w:type="pct"/>
                  <w:noWrap w:val="0"/>
                  <w:vAlign w:val="center"/>
                </w:tcPr>
                <w:p w14:paraId="6FEB1AAB">
                  <w:pPr>
                    <w:pStyle w:val="1111"/>
                    <w:bidi w:val="0"/>
                  </w:pPr>
                  <w:r>
                    <w:t>400</w:t>
                  </w:r>
                </w:p>
              </w:tc>
              <w:tc>
                <w:tcPr>
                  <w:tcW w:w="370" w:type="pct"/>
                  <w:noWrap w:val="0"/>
                  <w:vAlign w:val="center"/>
                </w:tcPr>
                <w:p w14:paraId="0EC895EF">
                  <w:pPr>
                    <w:pStyle w:val="1111"/>
                    <w:bidi w:val="0"/>
                  </w:pPr>
                  <w:r>
                    <w:t>400</w:t>
                  </w:r>
                </w:p>
              </w:tc>
              <w:tc>
                <w:tcPr>
                  <w:tcW w:w="370" w:type="pct"/>
                  <w:noWrap w:val="0"/>
                  <w:vAlign w:val="center"/>
                </w:tcPr>
                <w:p w14:paraId="3E8C945C">
                  <w:pPr>
                    <w:pStyle w:val="1111"/>
                    <w:bidi w:val="0"/>
                  </w:pPr>
                  <w:r>
                    <w:t>400</w:t>
                  </w:r>
                </w:p>
              </w:tc>
              <w:tc>
                <w:tcPr>
                  <w:tcW w:w="370" w:type="pct"/>
                  <w:noWrap w:val="0"/>
                  <w:vAlign w:val="center"/>
                </w:tcPr>
                <w:p w14:paraId="3D024962">
                  <w:pPr>
                    <w:pStyle w:val="1111"/>
                    <w:bidi w:val="0"/>
                  </w:pPr>
                  <w:r>
                    <w:t>400</w:t>
                  </w:r>
                </w:p>
              </w:tc>
              <w:tc>
                <w:tcPr>
                  <w:tcW w:w="370" w:type="pct"/>
                  <w:noWrap w:val="0"/>
                  <w:vAlign w:val="center"/>
                </w:tcPr>
                <w:p w14:paraId="26638B7B">
                  <w:pPr>
                    <w:pStyle w:val="1111"/>
                    <w:bidi w:val="0"/>
                  </w:pPr>
                  <w:r>
                    <w:t>80</w:t>
                  </w:r>
                </w:p>
              </w:tc>
              <w:tc>
                <w:tcPr>
                  <w:tcW w:w="370" w:type="pct"/>
                  <w:noWrap w:val="0"/>
                  <w:vAlign w:val="center"/>
                </w:tcPr>
                <w:p w14:paraId="56051795">
                  <w:pPr>
                    <w:pStyle w:val="1111"/>
                    <w:bidi w:val="0"/>
                  </w:pPr>
                  <w:r>
                    <w:t>80</w:t>
                  </w:r>
                </w:p>
              </w:tc>
              <w:tc>
                <w:tcPr>
                  <w:tcW w:w="368" w:type="pct"/>
                  <w:noWrap w:val="0"/>
                  <w:vAlign w:val="center"/>
                </w:tcPr>
                <w:p w14:paraId="213FCD66">
                  <w:pPr>
                    <w:pStyle w:val="1111"/>
                    <w:bidi w:val="0"/>
                  </w:pPr>
                  <w:r>
                    <w:t>80</w:t>
                  </w:r>
                </w:p>
              </w:tc>
            </w:tr>
            <w:tr w14:paraId="6ABA9F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3" w:type="pct"/>
                  <w:vMerge w:val="continue"/>
                  <w:noWrap w:val="0"/>
                  <w:vAlign w:val="center"/>
                </w:tcPr>
                <w:p w14:paraId="6B4A180A">
                  <w:pPr>
                    <w:pStyle w:val="1111"/>
                    <w:bidi w:val="0"/>
                  </w:pPr>
                </w:p>
              </w:tc>
              <w:tc>
                <w:tcPr>
                  <w:tcW w:w="937" w:type="pct"/>
                  <w:noWrap w:val="0"/>
                  <w:vAlign w:val="center"/>
                </w:tcPr>
                <w:p w14:paraId="68685336">
                  <w:pPr>
                    <w:pStyle w:val="1111"/>
                    <w:bidi w:val="0"/>
                  </w:pPr>
                  <w:r>
                    <w:t>2～4</w:t>
                  </w:r>
                </w:p>
              </w:tc>
              <w:tc>
                <w:tcPr>
                  <w:tcW w:w="393" w:type="pct"/>
                  <w:noWrap w:val="0"/>
                  <w:vAlign w:val="center"/>
                </w:tcPr>
                <w:p w14:paraId="233D7F07">
                  <w:pPr>
                    <w:pStyle w:val="1111"/>
                    <w:bidi w:val="0"/>
                  </w:pPr>
                  <w:r>
                    <w:t>700</w:t>
                  </w:r>
                </w:p>
              </w:tc>
              <w:tc>
                <w:tcPr>
                  <w:tcW w:w="370" w:type="pct"/>
                  <w:noWrap w:val="0"/>
                  <w:vAlign w:val="center"/>
                </w:tcPr>
                <w:p w14:paraId="2BD2CBD9">
                  <w:pPr>
                    <w:pStyle w:val="1111"/>
                    <w:bidi w:val="0"/>
                  </w:pPr>
                  <w:r>
                    <w:t>470</w:t>
                  </w:r>
                </w:p>
              </w:tc>
              <w:tc>
                <w:tcPr>
                  <w:tcW w:w="370" w:type="pct"/>
                  <w:noWrap w:val="0"/>
                  <w:vAlign w:val="center"/>
                </w:tcPr>
                <w:p w14:paraId="1D896BEB">
                  <w:pPr>
                    <w:pStyle w:val="1111"/>
                    <w:bidi w:val="0"/>
                  </w:pPr>
                  <w:r>
                    <w:t>50</w:t>
                  </w:r>
                </w:p>
              </w:tc>
              <w:tc>
                <w:tcPr>
                  <w:tcW w:w="370" w:type="pct"/>
                  <w:noWrap w:val="0"/>
                  <w:vAlign w:val="center"/>
                </w:tcPr>
                <w:p w14:paraId="01D2664B">
                  <w:pPr>
                    <w:pStyle w:val="1111"/>
                    <w:bidi w:val="0"/>
                  </w:pPr>
                  <w:r>
                    <w:t>700</w:t>
                  </w:r>
                </w:p>
              </w:tc>
              <w:tc>
                <w:tcPr>
                  <w:tcW w:w="370" w:type="pct"/>
                  <w:noWrap w:val="0"/>
                  <w:vAlign w:val="center"/>
                </w:tcPr>
                <w:p w14:paraId="2DC03EC1">
                  <w:pPr>
                    <w:pStyle w:val="1111"/>
                    <w:bidi w:val="0"/>
                  </w:pPr>
                  <w:r>
                    <w:t>470</w:t>
                  </w:r>
                </w:p>
              </w:tc>
              <w:tc>
                <w:tcPr>
                  <w:tcW w:w="370" w:type="pct"/>
                  <w:noWrap w:val="0"/>
                  <w:vAlign w:val="center"/>
                </w:tcPr>
                <w:p w14:paraId="208505B0">
                  <w:pPr>
                    <w:pStyle w:val="1111"/>
                    <w:bidi w:val="0"/>
                  </w:pPr>
                  <w:r>
                    <w:t>350</w:t>
                  </w:r>
                </w:p>
              </w:tc>
              <w:tc>
                <w:tcPr>
                  <w:tcW w:w="370" w:type="pct"/>
                  <w:noWrap w:val="0"/>
                  <w:vAlign w:val="center"/>
                </w:tcPr>
                <w:p w14:paraId="61ED21C7">
                  <w:pPr>
                    <w:pStyle w:val="1111"/>
                    <w:bidi w:val="0"/>
                  </w:pPr>
                  <w:r>
                    <w:t>380</w:t>
                  </w:r>
                </w:p>
              </w:tc>
              <w:tc>
                <w:tcPr>
                  <w:tcW w:w="370" w:type="pct"/>
                  <w:noWrap w:val="0"/>
                  <w:vAlign w:val="center"/>
                </w:tcPr>
                <w:p w14:paraId="1B78E6A5">
                  <w:pPr>
                    <w:pStyle w:val="1111"/>
                    <w:bidi w:val="0"/>
                  </w:pPr>
                  <w:r>
                    <w:t>250</w:t>
                  </w:r>
                </w:p>
              </w:tc>
              <w:tc>
                <w:tcPr>
                  <w:tcW w:w="368" w:type="pct"/>
                  <w:noWrap w:val="0"/>
                  <w:vAlign w:val="center"/>
                </w:tcPr>
                <w:p w14:paraId="338B89C0">
                  <w:pPr>
                    <w:pStyle w:val="1111"/>
                    <w:bidi w:val="0"/>
                  </w:pPr>
                  <w:r>
                    <w:t>190</w:t>
                  </w:r>
                </w:p>
              </w:tc>
            </w:tr>
            <w:tr w14:paraId="229F6A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3" w:type="pct"/>
                  <w:vMerge w:val="continue"/>
                  <w:noWrap w:val="0"/>
                  <w:vAlign w:val="center"/>
                </w:tcPr>
                <w:p w14:paraId="07A0255F">
                  <w:pPr>
                    <w:pStyle w:val="1111"/>
                    <w:bidi w:val="0"/>
                  </w:pPr>
                </w:p>
              </w:tc>
              <w:tc>
                <w:tcPr>
                  <w:tcW w:w="937" w:type="pct"/>
                  <w:noWrap w:val="0"/>
                  <w:vAlign w:val="center"/>
                </w:tcPr>
                <w:p w14:paraId="092E0679">
                  <w:pPr>
                    <w:pStyle w:val="1111"/>
                    <w:bidi w:val="0"/>
                  </w:pPr>
                  <w:r>
                    <w:t>＞4</w:t>
                  </w:r>
                </w:p>
              </w:tc>
              <w:tc>
                <w:tcPr>
                  <w:tcW w:w="393" w:type="pct"/>
                  <w:noWrap w:val="0"/>
                  <w:vAlign w:val="center"/>
                </w:tcPr>
                <w:p w14:paraId="01312100">
                  <w:pPr>
                    <w:pStyle w:val="1111"/>
                    <w:bidi w:val="0"/>
                  </w:pPr>
                  <w:r>
                    <w:t>530</w:t>
                  </w:r>
                </w:p>
              </w:tc>
              <w:tc>
                <w:tcPr>
                  <w:tcW w:w="370" w:type="pct"/>
                  <w:noWrap w:val="0"/>
                  <w:vAlign w:val="center"/>
                </w:tcPr>
                <w:p w14:paraId="4A7DEAA1">
                  <w:pPr>
                    <w:pStyle w:val="1111"/>
                    <w:bidi w:val="0"/>
                  </w:pPr>
                  <w:r>
                    <w:t>350</w:t>
                  </w:r>
                </w:p>
              </w:tc>
              <w:tc>
                <w:tcPr>
                  <w:tcW w:w="370" w:type="pct"/>
                  <w:noWrap w:val="0"/>
                  <w:vAlign w:val="center"/>
                </w:tcPr>
                <w:p w14:paraId="09BEF2AE">
                  <w:pPr>
                    <w:pStyle w:val="1111"/>
                    <w:bidi w:val="0"/>
                  </w:pPr>
                  <w:r>
                    <w:t>260</w:t>
                  </w:r>
                </w:p>
              </w:tc>
              <w:tc>
                <w:tcPr>
                  <w:tcW w:w="370" w:type="pct"/>
                  <w:noWrap w:val="0"/>
                  <w:vAlign w:val="center"/>
                </w:tcPr>
                <w:p w14:paraId="0776130A">
                  <w:pPr>
                    <w:pStyle w:val="1111"/>
                    <w:bidi w:val="0"/>
                  </w:pPr>
                  <w:r>
                    <w:t>530</w:t>
                  </w:r>
                </w:p>
              </w:tc>
              <w:tc>
                <w:tcPr>
                  <w:tcW w:w="370" w:type="pct"/>
                  <w:noWrap w:val="0"/>
                  <w:vAlign w:val="center"/>
                </w:tcPr>
                <w:p w14:paraId="3E25A75A">
                  <w:pPr>
                    <w:pStyle w:val="1111"/>
                    <w:bidi w:val="0"/>
                  </w:pPr>
                  <w:r>
                    <w:t>350</w:t>
                  </w:r>
                </w:p>
              </w:tc>
              <w:tc>
                <w:tcPr>
                  <w:tcW w:w="370" w:type="pct"/>
                  <w:noWrap w:val="0"/>
                  <w:vAlign w:val="center"/>
                </w:tcPr>
                <w:p w14:paraId="75DBB371">
                  <w:pPr>
                    <w:pStyle w:val="1111"/>
                    <w:bidi w:val="0"/>
                  </w:pPr>
                  <w:r>
                    <w:t>260</w:t>
                  </w:r>
                </w:p>
              </w:tc>
              <w:tc>
                <w:tcPr>
                  <w:tcW w:w="370" w:type="pct"/>
                  <w:noWrap w:val="0"/>
                  <w:vAlign w:val="center"/>
                </w:tcPr>
                <w:p w14:paraId="7AFF7B99">
                  <w:pPr>
                    <w:pStyle w:val="1111"/>
                    <w:bidi w:val="0"/>
                  </w:pPr>
                  <w:r>
                    <w:t>290</w:t>
                  </w:r>
                </w:p>
              </w:tc>
              <w:tc>
                <w:tcPr>
                  <w:tcW w:w="370" w:type="pct"/>
                  <w:noWrap w:val="0"/>
                  <w:vAlign w:val="center"/>
                </w:tcPr>
                <w:p w14:paraId="6843C7EF">
                  <w:pPr>
                    <w:pStyle w:val="1111"/>
                    <w:bidi w:val="0"/>
                  </w:pPr>
                  <w:r>
                    <w:t>190</w:t>
                  </w:r>
                </w:p>
              </w:tc>
              <w:tc>
                <w:tcPr>
                  <w:tcW w:w="368" w:type="pct"/>
                  <w:noWrap w:val="0"/>
                  <w:vAlign w:val="center"/>
                </w:tcPr>
                <w:p w14:paraId="7E862689">
                  <w:pPr>
                    <w:pStyle w:val="1111"/>
                    <w:bidi w:val="0"/>
                  </w:pPr>
                  <w:r>
                    <w:t>140</w:t>
                  </w:r>
                </w:p>
              </w:tc>
            </w:tr>
            <w:tr w14:paraId="430A48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713" w:type="pct"/>
                  <w:vMerge w:val="restart"/>
                  <w:noWrap w:val="0"/>
                  <w:vAlign w:val="center"/>
                </w:tcPr>
                <w:p w14:paraId="0328B5CA">
                  <w:pPr>
                    <w:pStyle w:val="1111"/>
                    <w:bidi w:val="0"/>
                  </w:pPr>
                  <w:r>
                    <w:t>B</w:t>
                  </w:r>
                </w:p>
              </w:tc>
              <w:tc>
                <w:tcPr>
                  <w:tcW w:w="937" w:type="pct"/>
                  <w:noWrap w:val="0"/>
                  <w:vAlign w:val="center"/>
                </w:tcPr>
                <w:p w14:paraId="690E8278">
                  <w:pPr>
                    <w:pStyle w:val="1111"/>
                    <w:bidi w:val="0"/>
                  </w:pPr>
                  <w:r>
                    <w:t>＜2</w:t>
                  </w:r>
                </w:p>
              </w:tc>
              <w:tc>
                <w:tcPr>
                  <w:tcW w:w="1133" w:type="pct"/>
                  <w:gridSpan w:val="3"/>
                  <w:noWrap w:val="0"/>
                  <w:vAlign w:val="center"/>
                </w:tcPr>
                <w:p w14:paraId="06F8F68F">
                  <w:pPr>
                    <w:pStyle w:val="1111"/>
                    <w:bidi w:val="0"/>
                  </w:pPr>
                  <w:r>
                    <w:t>0.01</w:t>
                  </w:r>
                </w:p>
              </w:tc>
              <w:tc>
                <w:tcPr>
                  <w:tcW w:w="1110" w:type="pct"/>
                  <w:gridSpan w:val="3"/>
                  <w:noWrap w:val="0"/>
                  <w:vAlign w:val="center"/>
                </w:tcPr>
                <w:p w14:paraId="48E56886">
                  <w:pPr>
                    <w:pStyle w:val="1111"/>
                    <w:bidi w:val="0"/>
                  </w:pPr>
                  <w:r>
                    <w:t>0.015</w:t>
                  </w:r>
                </w:p>
              </w:tc>
              <w:tc>
                <w:tcPr>
                  <w:tcW w:w="1107" w:type="pct"/>
                  <w:gridSpan w:val="3"/>
                  <w:noWrap w:val="0"/>
                  <w:vAlign w:val="center"/>
                </w:tcPr>
                <w:p w14:paraId="5B0BE3F3">
                  <w:pPr>
                    <w:pStyle w:val="1111"/>
                    <w:bidi w:val="0"/>
                  </w:pPr>
                  <w:r>
                    <w:t>0.015</w:t>
                  </w:r>
                </w:p>
              </w:tc>
            </w:tr>
            <w:tr w14:paraId="656E4B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3" w:type="pct"/>
                  <w:vMerge w:val="continue"/>
                  <w:noWrap w:val="0"/>
                  <w:vAlign w:val="center"/>
                </w:tcPr>
                <w:p w14:paraId="72035C7E">
                  <w:pPr>
                    <w:pStyle w:val="1111"/>
                    <w:bidi w:val="0"/>
                  </w:pPr>
                </w:p>
              </w:tc>
              <w:tc>
                <w:tcPr>
                  <w:tcW w:w="937" w:type="pct"/>
                  <w:noWrap w:val="0"/>
                  <w:vAlign w:val="center"/>
                </w:tcPr>
                <w:p w14:paraId="7DD8217E">
                  <w:pPr>
                    <w:pStyle w:val="1111"/>
                    <w:bidi w:val="0"/>
                  </w:pPr>
                  <w:r>
                    <w:t>＞2</w:t>
                  </w:r>
                </w:p>
              </w:tc>
              <w:tc>
                <w:tcPr>
                  <w:tcW w:w="1133" w:type="pct"/>
                  <w:gridSpan w:val="3"/>
                  <w:noWrap w:val="0"/>
                  <w:vAlign w:val="center"/>
                </w:tcPr>
                <w:p w14:paraId="4B79C3B5">
                  <w:pPr>
                    <w:pStyle w:val="1111"/>
                    <w:bidi w:val="0"/>
                  </w:pPr>
                  <w:r>
                    <w:t>0.021</w:t>
                  </w:r>
                </w:p>
              </w:tc>
              <w:tc>
                <w:tcPr>
                  <w:tcW w:w="1110" w:type="pct"/>
                  <w:gridSpan w:val="3"/>
                  <w:noWrap w:val="0"/>
                  <w:vAlign w:val="center"/>
                </w:tcPr>
                <w:p w14:paraId="2EF844BC">
                  <w:pPr>
                    <w:pStyle w:val="1111"/>
                    <w:bidi w:val="0"/>
                  </w:pPr>
                  <w:r>
                    <w:t>0.036</w:t>
                  </w:r>
                </w:p>
              </w:tc>
              <w:tc>
                <w:tcPr>
                  <w:tcW w:w="1107" w:type="pct"/>
                  <w:gridSpan w:val="3"/>
                  <w:noWrap w:val="0"/>
                  <w:vAlign w:val="center"/>
                </w:tcPr>
                <w:p w14:paraId="3888420A">
                  <w:pPr>
                    <w:pStyle w:val="1111"/>
                    <w:bidi w:val="0"/>
                  </w:pPr>
                  <w:r>
                    <w:t>0.036</w:t>
                  </w:r>
                </w:p>
              </w:tc>
            </w:tr>
            <w:tr w14:paraId="6F6D43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3" w:type="pct"/>
                  <w:vMerge w:val="restart"/>
                  <w:noWrap w:val="0"/>
                  <w:vAlign w:val="center"/>
                </w:tcPr>
                <w:p w14:paraId="6CCA7072">
                  <w:pPr>
                    <w:pStyle w:val="1111"/>
                    <w:bidi w:val="0"/>
                  </w:pPr>
                  <w:r>
                    <w:t>C</w:t>
                  </w:r>
                </w:p>
              </w:tc>
              <w:tc>
                <w:tcPr>
                  <w:tcW w:w="937" w:type="pct"/>
                  <w:noWrap w:val="0"/>
                  <w:vAlign w:val="center"/>
                </w:tcPr>
                <w:p w14:paraId="6690628C">
                  <w:pPr>
                    <w:pStyle w:val="1111"/>
                    <w:bidi w:val="0"/>
                  </w:pPr>
                  <w:r>
                    <w:t>＜2</w:t>
                  </w:r>
                </w:p>
              </w:tc>
              <w:tc>
                <w:tcPr>
                  <w:tcW w:w="1133" w:type="pct"/>
                  <w:gridSpan w:val="3"/>
                  <w:noWrap w:val="0"/>
                  <w:vAlign w:val="center"/>
                </w:tcPr>
                <w:p w14:paraId="43E5F4C3">
                  <w:pPr>
                    <w:pStyle w:val="1111"/>
                    <w:bidi w:val="0"/>
                  </w:pPr>
                  <w:r>
                    <w:t>1.85</w:t>
                  </w:r>
                </w:p>
              </w:tc>
              <w:tc>
                <w:tcPr>
                  <w:tcW w:w="1110" w:type="pct"/>
                  <w:gridSpan w:val="3"/>
                  <w:noWrap w:val="0"/>
                  <w:vAlign w:val="center"/>
                </w:tcPr>
                <w:p w14:paraId="2973AEAF">
                  <w:pPr>
                    <w:pStyle w:val="1111"/>
                    <w:bidi w:val="0"/>
                  </w:pPr>
                  <w:r>
                    <w:t>1.79</w:t>
                  </w:r>
                </w:p>
              </w:tc>
              <w:tc>
                <w:tcPr>
                  <w:tcW w:w="1107" w:type="pct"/>
                  <w:gridSpan w:val="3"/>
                  <w:noWrap w:val="0"/>
                  <w:vAlign w:val="center"/>
                </w:tcPr>
                <w:p w14:paraId="43BBC591">
                  <w:pPr>
                    <w:pStyle w:val="1111"/>
                    <w:bidi w:val="0"/>
                  </w:pPr>
                  <w:r>
                    <w:t>1.79</w:t>
                  </w:r>
                </w:p>
              </w:tc>
            </w:tr>
            <w:tr w14:paraId="5B7624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3" w:type="pct"/>
                  <w:vMerge w:val="continue"/>
                  <w:noWrap w:val="0"/>
                  <w:vAlign w:val="center"/>
                </w:tcPr>
                <w:p w14:paraId="3BA820B6">
                  <w:pPr>
                    <w:pStyle w:val="1111"/>
                    <w:bidi w:val="0"/>
                  </w:pPr>
                </w:p>
              </w:tc>
              <w:tc>
                <w:tcPr>
                  <w:tcW w:w="937" w:type="pct"/>
                  <w:noWrap w:val="0"/>
                  <w:vAlign w:val="center"/>
                </w:tcPr>
                <w:p w14:paraId="4BB5302F">
                  <w:pPr>
                    <w:pStyle w:val="1111"/>
                    <w:bidi w:val="0"/>
                  </w:pPr>
                  <w:r>
                    <w:t>＞2</w:t>
                  </w:r>
                </w:p>
              </w:tc>
              <w:tc>
                <w:tcPr>
                  <w:tcW w:w="1133" w:type="pct"/>
                  <w:gridSpan w:val="3"/>
                  <w:noWrap w:val="0"/>
                  <w:vAlign w:val="center"/>
                </w:tcPr>
                <w:p w14:paraId="3F89BCB4">
                  <w:pPr>
                    <w:pStyle w:val="1111"/>
                    <w:bidi w:val="0"/>
                  </w:pPr>
                  <w:r>
                    <w:t>1.85</w:t>
                  </w:r>
                </w:p>
              </w:tc>
              <w:tc>
                <w:tcPr>
                  <w:tcW w:w="1110" w:type="pct"/>
                  <w:gridSpan w:val="3"/>
                  <w:noWrap w:val="0"/>
                  <w:vAlign w:val="center"/>
                </w:tcPr>
                <w:p w14:paraId="30CA3120">
                  <w:pPr>
                    <w:pStyle w:val="1111"/>
                    <w:bidi w:val="0"/>
                  </w:pPr>
                  <w:r>
                    <w:t>1.77</w:t>
                  </w:r>
                </w:p>
              </w:tc>
              <w:tc>
                <w:tcPr>
                  <w:tcW w:w="1107" w:type="pct"/>
                  <w:gridSpan w:val="3"/>
                  <w:noWrap w:val="0"/>
                  <w:vAlign w:val="center"/>
                </w:tcPr>
                <w:p w14:paraId="714C3BDA">
                  <w:pPr>
                    <w:pStyle w:val="1111"/>
                    <w:bidi w:val="0"/>
                  </w:pPr>
                  <w:r>
                    <w:t>1.77</w:t>
                  </w:r>
                </w:p>
              </w:tc>
            </w:tr>
            <w:tr w14:paraId="539F52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3" w:type="pct"/>
                  <w:vMerge w:val="restart"/>
                  <w:noWrap w:val="0"/>
                  <w:vAlign w:val="center"/>
                </w:tcPr>
                <w:p w14:paraId="2545B204">
                  <w:pPr>
                    <w:pStyle w:val="1111"/>
                    <w:bidi w:val="0"/>
                  </w:pPr>
                  <w:r>
                    <w:t>D</w:t>
                  </w:r>
                </w:p>
              </w:tc>
              <w:tc>
                <w:tcPr>
                  <w:tcW w:w="937" w:type="pct"/>
                  <w:noWrap w:val="0"/>
                  <w:vAlign w:val="center"/>
                </w:tcPr>
                <w:p w14:paraId="1F3B14FE">
                  <w:pPr>
                    <w:pStyle w:val="1111"/>
                    <w:bidi w:val="0"/>
                  </w:pPr>
                  <w:r>
                    <w:t>＜2</w:t>
                  </w:r>
                </w:p>
              </w:tc>
              <w:tc>
                <w:tcPr>
                  <w:tcW w:w="1133" w:type="pct"/>
                  <w:gridSpan w:val="3"/>
                  <w:noWrap w:val="0"/>
                  <w:vAlign w:val="center"/>
                </w:tcPr>
                <w:p w14:paraId="58CDE8AE">
                  <w:pPr>
                    <w:pStyle w:val="1111"/>
                    <w:bidi w:val="0"/>
                  </w:pPr>
                  <w:r>
                    <w:t>0.78</w:t>
                  </w:r>
                </w:p>
              </w:tc>
              <w:tc>
                <w:tcPr>
                  <w:tcW w:w="1110" w:type="pct"/>
                  <w:gridSpan w:val="3"/>
                  <w:noWrap w:val="0"/>
                  <w:vAlign w:val="center"/>
                </w:tcPr>
                <w:p w14:paraId="28E90A05">
                  <w:pPr>
                    <w:pStyle w:val="1111"/>
                    <w:bidi w:val="0"/>
                  </w:pPr>
                  <w:r>
                    <w:t>0.78</w:t>
                  </w:r>
                </w:p>
              </w:tc>
              <w:tc>
                <w:tcPr>
                  <w:tcW w:w="1107" w:type="pct"/>
                  <w:gridSpan w:val="3"/>
                  <w:noWrap w:val="0"/>
                  <w:vAlign w:val="center"/>
                </w:tcPr>
                <w:p w14:paraId="09969702">
                  <w:pPr>
                    <w:pStyle w:val="1111"/>
                    <w:bidi w:val="0"/>
                  </w:pPr>
                  <w:r>
                    <w:t>0.57</w:t>
                  </w:r>
                </w:p>
              </w:tc>
            </w:tr>
            <w:tr w14:paraId="0B76D7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3" w:type="pct"/>
                  <w:vMerge w:val="continue"/>
                  <w:noWrap w:val="0"/>
                  <w:vAlign w:val="center"/>
                </w:tcPr>
                <w:p w14:paraId="4944A574">
                  <w:pPr>
                    <w:pStyle w:val="1111"/>
                    <w:bidi w:val="0"/>
                  </w:pPr>
                </w:p>
              </w:tc>
              <w:tc>
                <w:tcPr>
                  <w:tcW w:w="937" w:type="pct"/>
                  <w:noWrap w:val="0"/>
                  <w:vAlign w:val="center"/>
                </w:tcPr>
                <w:p w14:paraId="5DA1F80F">
                  <w:pPr>
                    <w:pStyle w:val="1111"/>
                    <w:bidi w:val="0"/>
                  </w:pPr>
                  <w:r>
                    <w:t>＞2</w:t>
                  </w:r>
                </w:p>
              </w:tc>
              <w:tc>
                <w:tcPr>
                  <w:tcW w:w="1133" w:type="pct"/>
                  <w:gridSpan w:val="3"/>
                  <w:noWrap w:val="0"/>
                  <w:vAlign w:val="center"/>
                </w:tcPr>
                <w:p w14:paraId="2A72F9F2">
                  <w:pPr>
                    <w:pStyle w:val="1111"/>
                    <w:bidi w:val="0"/>
                  </w:pPr>
                  <w:r>
                    <w:t>0.84</w:t>
                  </w:r>
                </w:p>
              </w:tc>
              <w:tc>
                <w:tcPr>
                  <w:tcW w:w="1110" w:type="pct"/>
                  <w:gridSpan w:val="3"/>
                  <w:noWrap w:val="0"/>
                  <w:vAlign w:val="center"/>
                </w:tcPr>
                <w:p w14:paraId="0652F8C7">
                  <w:pPr>
                    <w:pStyle w:val="1111"/>
                    <w:bidi w:val="0"/>
                  </w:pPr>
                  <w:r>
                    <w:t>0.84</w:t>
                  </w:r>
                </w:p>
              </w:tc>
              <w:tc>
                <w:tcPr>
                  <w:tcW w:w="1107" w:type="pct"/>
                  <w:gridSpan w:val="3"/>
                  <w:noWrap w:val="0"/>
                  <w:vAlign w:val="center"/>
                </w:tcPr>
                <w:p w14:paraId="534A246C">
                  <w:pPr>
                    <w:pStyle w:val="1111"/>
                    <w:bidi w:val="0"/>
                  </w:pPr>
                  <w:r>
                    <w:t>0.76</w:t>
                  </w:r>
                </w:p>
              </w:tc>
            </w:tr>
          </w:tbl>
          <w:p w14:paraId="54D79A0E">
            <w:pPr>
              <w:pStyle w:val="512"/>
              <w:bidi w:val="0"/>
            </w:pPr>
            <w:r>
              <w:t>本项目无组织污染物排放的卫生防护距离计算结果见表</w:t>
            </w:r>
            <w:r>
              <w:rPr>
                <w:rFonts w:hint="eastAsia"/>
              </w:rPr>
              <w:t>4-</w:t>
            </w:r>
            <w:r>
              <w:rPr>
                <w:rFonts w:hint="eastAsia"/>
                <w:lang w:val="en-US" w:eastAsia="zh-CN"/>
              </w:rPr>
              <w:t>11</w:t>
            </w:r>
            <w:r>
              <w:t>。</w:t>
            </w:r>
          </w:p>
          <w:p w14:paraId="2ADB4C1E">
            <w:pPr>
              <w:pStyle w:val="1111"/>
              <w:bidi w:val="0"/>
              <w:rPr>
                <w:rFonts w:hint="eastAsia"/>
              </w:rPr>
            </w:pPr>
            <w:r>
              <w:rPr>
                <w:rFonts w:hint="eastAsia"/>
              </w:rPr>
              <w:t>表4-</w:t>
            </w:r>
            <w:r>
              <w:rPr>
                <w:rFonts w:hint="eastAsia"/>
                <w:lang w:val="en-US" w:eastAsia="zh-CN"/>
              </w:rPr>
              <w:t xml:space="preserve">11 </w:t>
            </w:r>
            <w:r>
              <w:rPr>
                <w:rFonts w:hint="eastAsia"/>
              </w:rPr>
              <w:t>卫生防护距离计算结果</w:t>
            </w:r>
          </w:p>
          <w:tbl>
            <w:tblPr>
              <w:tblStyle w:val="7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2"/>
              <w:gridCol w:w="979"/>
              <w:gridCol w:w="1208"/>
              <w:gridCol w:w="1462"/>
              <w:gridCol w:w="1098"/>
              <w:gridCol w:w="1257"/>
              <w:gridCol w:w="873"/>
            </w:tblGrid>
            <w:tr w14:paraId="6674DF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9" w:type="pct"/>
                  <w:noWrap w:val="0"/>
                  <w:vAlign w:val="center"/>
                </w:tcPr>
                <w:p w14:paraId="52E64188">
                  <w:pPr>
                    <w:pStyle w:val="1111"/>
                    <w:bidi w:val="0"/>
                  </w:pPr>
                  <w:r>
                    <w:t>污染源</w:t>
                  </w:r>
                </w:p>
              </w:tc>
              <w:tc>
                <w:tcPr>
                  <w:tcW w:w="641" w:type="pct"/>
                  <w:noWrap w:val="0"/>
                  <w:vAlign w:val="center"/>
                </w:tcPr>
                <w:p w14:paraId="5D30421E">
                  <w:pPr>
                    <w:pStyle w:val="1111"/>
                    <w:bidi w:val="0"/>
                  </w:pPr>
                  <w:r>
                    <w:t>污染物</w:t>
                  </w:r>
                </w:p>
              </w:tc>
              <w:tc>
                <w:tcPr>
                  <w:tcW w:w="790" w:type="pct"/>
                  <w:noWrap w:val="0"/>
                  <w:vAlign w:val="center"/>
                </w:tcPr>
                <w:p w14:paraId="7F42202F">
                  <w:pPr>
                    <w:pStyle w:val="1111"/>
                    <w:bidi w:val="0"/>
                  </w:pPr>
                  <w:r>
                    <w:t>排放量</w:t>
                  </w:r>
                </w:p>
                <w:p w14:paraId="1A2B3226">
                  <w:pPr>
                    <w:pStyle w:val="1111"/>
                    <w:bidi w:val="0"/>
                    <w:rPr>
                      <w:rFonts w:hint="eastAsia" w:eastAsia="宋体"/>
                      <w:lang w:eastAsia="zh-CN"/>
                    </w:rPr>
                  </w:pPr>
                  <w:r>
                    <w:rPr>
                      <w:rFonts w:hint="eastAsia"/>
                      <w:lang w:eastAsia="zh-CN"/>
                    </w:rPr>
                    <w:t>（</w:t>
                  </w:r>
                  <w:r>
                    <w:t>t/a</w:t>
                  </w:r>
                  <w:r>
                    <w:rPr>
                      <w:rFonts w:hint="eastAsia"/>
                      <w:lang w:eastAsia="zh-CN"/>
                    </w:rPr>
                    <w:t>）</w:t>
                  </w:r>
                </w:p>
              </w:tc>
              <w:tc>
                <w:tcPr>
                  <w:tcW w:w="956" w:type="pct"/>
                  <w:noWrap w:val="0"/>
                  <w:vAlign w:val="center"/>
                </w:tcPr>
                <w:p w14:paraId="09EF84E8">
                  <w:pPr>
                    <w:pStyle w:val="1111"/>
                    <w:bidi w:val="0"/>
                    <w:rPr>
                      <w:rFonts w:hint="eastAsia" w:eastAsia="宋体"/>
                      <w:lang w:eastAsia="zh-CN"/>
                    </w:rPr>
                  </w:pPr>
                  <w:r>
                    <w:t>环境标准值</w:t>
                  </w:r>
                  <w:r>
                    <w:rPr>
                      <w:rFonts w:hint="eastAsia"/>
                      <w:lang w:eastAsia="zh-CN"/>
                    </w:rPr>
                    <w:t>（</w:t>
                  </w:r>
                  <w:r>
                    <w:t>小时平均，mg/m</w:t>
                  </w:r>
                  <w:r>
                    <w:rPr>
                      <w:vertAlign w:val="superscript"/>
                    </w:rPr>
                    <w:t>3</w:t>
                  </w:r>
                  <w:r>
                    <w:rPr>
                      <w:rFonts w:hint="eastAsia"/>
                      <w:lang w:eastAsia="zh-CN"/>
                    </w:rPr>
                    <w:t>）</w:t>
                  </w:r>
                </w:p>
              </w:tc>
              <w:tc>
                <w:tcPr>
                  <w:tcW w:w="718" w:type="pct"/>
                  <w:noWrap w:val="0"/>
                  <w:vAlign w:val="center"/>
                </w:tcPr>
                <w:p w14:paraId="1487773B">
                  <w:pPr>
                    <w:pStyle w:val="1111"/>
                    <w:bidi w:val="0"/>
                  </w:pPr>
                  <w:r>
                    <w:t>排放速率（kg/h）</w:t>
                  </w:r>
                </w:p>
              </w:tc>
              <w:tc>
                <w:tcPr>
                  <w:tcW w:w="822" w:type="pct"/>
                  <w:noWrap w:val="0"/>
                  <w:vAlign w:val="center"/>
                </w:tcPr>
                <w:p w14:paraId="23AE7567">
                  <w:pPr>
                    <w:pStyle w:val="1111"/>
                    <w:bidi w:val="0"/>
                  </w:pPr>
                  <w:r>
                    <w:t>卫生防护距离计算值（m）</w:t>
                  </w:r>
                </w:p>
              </w:tc>
              <w:tc>
                <w:tcPr>
                  <w:tcW w:w="571" w:type="pct"/>
                  <w:noWrap w:val="0"/>
                  <w:vAlign w:val="center"/>
                </w:tcPr>
                <w:p w14:paraId="1CD20F07">
                  <w:pPr>
                    <w:pStyle w:val="1111"/>
                    <w:bidi w:val="0"/>
                  </w:pPr>
                  <w:r>
                    <w:t>提级后距离（m）</w:t>
                  </w:r>
                </w:p>
              </w:tc>
            </w:tr>
            <w:tr w14:paraId="528CE0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9" w:type="pct"/>
                  <w:noWrap w:val="0"/>
                  <w:vAlign w:val="center"/>
                </w:tcPr>
                <w:p w14:paraId="0811B3DC">
                  <w:pPr>
                    <w:pStyle w:val="1111"/>
                    <w:bidi w:val="0"/>
                    <w:rPr>
                      <w:rFonts w:hint="default" w:eastAsia="宋体"/>
                      <w:lang w:val="en-US" w:eastAsia="zh-CN"/>
                    </w:rPr>
                  </w:pPr>
                  <w:r>
                    <w:rPr>
                      <w:rFonts w:hint="eastAsia"/>
                      <w:lang w:val="en-US" w:eastAsia="zh-CN"/>
                    </w:rPr>
                    <w:t>1#存储间</w:t>
                  </w:r>
                </w:p>
              </w:tc>
              <w:tc>
                <w:tcPr>
                  <w:tcW w:w="641" w:type="pct"/>
                  <w:noWrap w:val="0"/>
                  <w:vAlign w:val="center"/>
                </w:tcPr>
                <w:p w14:paraId="053F3C2D">
                  <w:pPr>
                    <w:pStyle w:val="1111"/>
                    <w:bidi w:val="0"/>
                    <w:rPr>
                      <w:rFonts w:hint="eastAsia"/>
                    </w:rPr>
                  </w:pPr>
                  <w:r>
                    <w:rPr>
                      <w:rFonts w:hint="eastAsia"/>
                    </w:rPr>
                    <w:t>非甲烷总烃</w:t>
                  </w:r>
                </w:p>
              </w:tc>
              <w:tc>
                <w:tcPr>
                  <w:tcW w:w="790" w:type="pct"/>
                  <w:noWrap w:val="0"/>
                  <w:vAlign w:val="center"/>
                </w:tcPr>
                <w:p w14:paraId="7535324B">
                  <w:pPr>
                    <w:pStyle w:val="1111"/>
                    <w:bidi w:val="0"/>
                    <w:rPr>
                      <w:rFonts w:hint="default" w:ascii="Times New Roman" w:hAnsi="Times New Roman" w:eastAsia="宋体" w:cs="Times New Roman"/>
                      <w:kern w:val="0"/>
                      <w:sz w:val="21"/>
                      <w:szCs w:val="20"/>
                      <w:lang w:val="en-US" w:eastAsia="zh-CN" w:bidi="ar-SA"/>
                    </w:rPr>
                  </w:pPr>
                  <w:r>
                    <w:rPr>
                      <w:rFonts w:hint="eastAsia"/>
                      <w:lang w:val="en-US" w:eastAsia="zh-CN"/>
                    </w:rPr>
                    <w:t>0.0658</w:t>
                  </w:r>
                </w:p>
              </w:tc>
              <w:tc>
                <w:tcPr>
                  <w:tcW w:w="956" w:type="pct"/>
                  <w:noWrap w:val="0"/>
                  <w:vAlign w:val="center"/>
                </w:tcPr>
                <w:p w14:paraId="03E04339">
                  <w:pPr>
                    <w:pStyle w:val="1111"/>
                    <w:bidi w:val="0"/>
                  </w:pPr>
                  <w:r>
                    <w:rPr>
                      <w:rFonts w:hint="eastAsia"/>
                    </w:rPr>
                    <w:t>2.0</w:t>
                  </w:r>
                </w:p>
              </w:tc>
              <w:tc>
                <w:tcPr>
                  <w:tcW w:w="718" w:type="pct"/>
                  <w:noWrap w:val="0"/>
                  <w:vAlign w:val="center"/>
                </w:tcPr>
                <w:p w14:paraId="4012D2E0">
                  <w:pPr>
                    <w:pStyle w:val="1111"/>
                    <w:bidi w:val="0"/>
                    <w:rPr>
                      <w:rFonts w:hint="default" w:ascii="Times New Roman" w:hAnsi="Times New Roman" w:eastAsia="宋体" w:cs="Times New Roman"/>
                      <w:kern w:val="0"/>
                      <w:sz w:val="21"/>
                      <w:szCs w:val="20"/>
                      <w:lang w:val="en-US" w:eastAsia="zh-CN" w:bidi="ar-SA"/>
                    </w:rPr>
                  </w:pPr>
                  <w:r>
                    <w:rPr>
                      <w:rFonts w:hint="eastAsia"/>
                      <w:lang w:val="en-US" w:eastAsia="zh-CN"/>
                    </w:rPr>
                    <w:t>0.0102</w:t>
                  </w:r>
                </w:p>
              </w:tc>
              <w:tc>
                <w:tcPr>
                  <w:tcW w:w="822" w:type="pct"/>
                  <w:noWrap w:val="0"/>
                  <w:vAlign w:val="center"/>
                </w:tcPr>
                <w:p w14:paraId="3AB6938A">
                  <w:pPr>
                    <w:pStyle w:val="1111"/>
                    <w:bidi w:val="0"/>
                    <w:rPr>
                      <w:rFonts w:hint="default" w:eastAsia="宋体"/>
                      <w:lang w:val="en-US" w:eastAsia="zh-CN"/>
                    </w:rPr>
                  </w:pPr>
                  <w:r>
                    <w:rPr>
                      <w:rFonts w:hint="eastAsia"/>
                      <w:lang w:val="en-US" w:eastAsia="zh-CN"/>
                    </w:rPr>
                    <w:t>1.127</w:t>
                  </w:r>
                </w:p>
              </w:tc>
              <w:tc>
                <w:tcPr>
                  <w:tcW w:w="571" w:type="pct"/>
                  <w:noWrap w:val="0"/>
                  <w:vAlign w:val="center"/>
                </w:tcPr>
                <w:p w14:paraId="445456A7">
                  <w:pPr>
                    <w:pStyle w:val="1111"/>
                    <w:bidi w:val="0"/>
                  </w:pPr>
                  <w:r>
                    <w:rPr>
                      <w:rFonts w:hint="eastAsia"/>
                    </w:rPr>
                    <w:t>50</w:t>
                  </w:r>
                </w:p>
              </w:tc>
            </w:tr>
            <w:tr w14:paraId="0FA5BF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9" w:type="pct"/>
                  <w:noWrap w:val="0"/>
                  <w:vAlign w:val="center"/>
                </w:tcPr>
                <w:p w14:paraId="4F5118A6">
                  <w:pPr>
                    <w:pStyle w:val="1111"/>
                    <w:bidi w:val="0"/>
                    <w:rPr>
                      <w:rFonts w:hint="eastAsia"/>
                    </w:rPr>
                  </w:pPr>
                  <w:r>
                    <w:rPr>
                      <w:rFonts w:hint="eastAsia"/>
                      <w:lang w:val="en-US" w:eastAsia="zh-CN"/>
                    </w:rPr>
                    <w:t>2#存储间</w:t>
                  </w:r>
                </w:p>
              </w:tc>
              <w:tc>
                <w:tcPr>
                  <w:tcW w:w="641" w:type="pct"/>
                  <w:noWrap w:val="0"/>
                  <w:vAlign w:val="center"/>
                </w:tcPr>
                <w:p w14:paraId="00ABD2CA">
                  <w:pPr>
                    <w:pStyle w:val="1111"/>
                    <w:bidi w:val="0"/>
                    <w:rPr>
                      <w:rFonts w:hint="default"/>
                      <w:lang w:val="en-US" w:eastAsia="zh-CN"/>
                    </w:rPr>
                  </w:pPr>
                  <w:r>
                    <w:rPr>
                      <w:rFonts w:hint="eastAsia"/>
                    </w:rPr>
                    <w:t>非甲烷总烃</w:t>
                  </w:r>
                </w:p>
              </w:tc>
              <w:tc>
                <w:tcPr>
                  <w:tcW w:w="1209" w:type="dxa"/>
                  <w:shd w:val="clear" w:color="auto" w:fill="auto"/>
                  <w:noWrap w:val="0"/>
                  <w:vAlign w:val="center"/>
                </w:tcPr>
                <w:p w14:paraId="4480F20C">
                  <w:pPr>
                    <w:pStyle w:val="1111"/>
                    <w:bidi w:val="0"/>
                    <w:rPr>
                      <w:rFonts w:hint="eastAsia" w:ascii="Times New Roman" w:hAnsi="Times New Roman" w:eastAsia="宋体" w:cs="Times New Roman"/>
                      <w:kern w:val="0"/>
                      <w:sz w:val="21"/>
                      <w:szCs w:val="20"/>
                      <w:lang w:val="en-US" w:eastAsia="zh-CN" w:bidi="ar-SA"/>
                    </w:rPr>
                  </w:pPr>
                  <w:r>
                    <w:rPr>
                      <w:rFonts w:hint="eastAsia"/>
                      <w:lang w:val="en-US" w:eastAsia="zh-CN"/>
                    </w:rPr>
                    <w:t>0.0658</w:t>
                  </w:r>
                </w:p>
              </w:tc>
              <w:tc>
                <w:tcPr>
                  <w:tcW w:w="1463" w:type="dxa"/>
                  <w:shd w:val="clear" w:color="auto" w:fill="auto"/>
                  <w:noWrap w:val="0"/>
                  <w:vAlign w:val="center"/>
                </w:tcPr>
                <w:p w14:paraId="6AD647F6">
                  <w:pPr>
                    <w:pStyle w:val="1111"/>
                    <w:bidi w:val="0"/>
                    <w:rPr>
                      <w:rFonts w:hint="eastAsia" w:ascii="Times New Roman" w:hAnsi="Times New Roman" w:eastAsia="宋体" w:cs="Times New Roman"/>
                      <w:kern w:val="0"/>
                      <w:sz w:val="21"/>
                      <w:szCs w:val="20"/>
                      <w:lang w:val="en-US" w:eastAsia="zh-CN" w:bidi="ar-SA"/>
                    </w:rPr>
                  </w:pPr>
                  <w:r>
                    <w:rPr>
                      <w:rFonts w:hint="eastAsia"/>
                    </w:rPr>
                    <w:t>2.0</w:t>
                  </w:r>
                </w:p>
              </w:tc>
              <w:tc>
                <w:tcPr>
                  <w:tcW w:w="1099" w:type="dxa"/>
                  <w:shd w:val="clear" w:color="auto" w:fill="auto"/>
                  <w:noWrap w:val="0"/>
                  <w:vAlign w:val="center"/>
                </w:tcPr>
                <w:p w14:paraId="1B19B594">
                  <w:pPr>
                    <w:pStyle w:val="1111"/>
                    <w:bidi w:val="0"/>
                    <w:rPr>
                      <w:rFonts w:hint="default" w:ascii="Times New Roman" w:hAnsi="Times New Roman" w:eastAsia="宋体" w:cs="Times New Roman"/>
                      <w:kern w:val="0"/>
                      <w:sz w:val="21"/>
                      <w:szCs w:val="20"/>
                      <w:lang w:val="en-US" w:eastAsia="zh-CN" w:bidi="ar-SA"/>
                    </w:rPr>
                  </w:pPr>
                  <w:r>
                    <w:rPr>
                      <w:rFonts w:hint="eastAsia"/>
                      <w:lang w:val="en-US" w:eastAsia="zh-CN"/>
                    </w:rPr>
                    <w:t>0.0102</w:t>
                  </w:r>
                </w:p>
              </w:tc>
              <w:tc>
                <w:tcPr>
                  <w:tcW w:w="822" w:type="pct"/>
                  <w:shd w:val="clear" w:color="auto" w:fill="auto"/>
                  <w:noWrap w:val="0"/>
                  <w:vAlign w:val="center"/>
                </w:tcPr>
                <w:p w14:paraId="52D4BC93">
                  <w:pPr>
                    <w:bidi w:val="0"/>
                    <w:jc w:val="center"/>
                    <w:rPr>
                      <w:rFonts w:hint="eastAsia" w:ascii="Times New Roman" w:hAnsi="Times New Roman" w:eastAsia="宋体" w:cs="Times New Roman"/>
                      <w:kern w:val="0"/>
                      <w:sz w:val="21"/>
                      <w:szCs w:val="20"/>
                      <w:lang w:val="en-US" w:eastAsia="zh-CN" w:bidi="ar-SA"/>
                    </w:rPr>
                  </w:pPr>
                  <w:r>
                    <w:rPr>
                      <w:rFonts w:hint="eastAsia"/>
                      <w:lang w:val="en-US" w:eastAsia="zh-CN"/>
                    </w:rPr>
                    <w:t>1.127</w:t>
                  </w:r>
                </w:p>
              </w:tc>
              <w:tc>
                <w:tcPr>
                  <w:tcW w:w="571" w:type="pct"/>
                  <w:noWrap w:val="0"/>
                  <w:vAlign w:val="center"/>
                </w:tcPr>
                <w:p w14:paraId="28947E69">
                  <w:pPr>
                    <w:pStyle w:val="1111"/>
                    <w:bidi w:val="0"/>
                    <w:rPr>
                      <w:rFonts w:hint="eastAsia"/>
                      <w:lang w:val="en-US" w:eastAsia="zh-CN"/>
                    </w:rPr>
                  </w:pPr>
                  <w:r>
                    <w:rPr>
                      <w:rFonts w:hint="eastAsia"/>
                    </w:rPr>
                    <w:t>50</w:t>
                  </w:r>
                </w:p>
              </w:tc>
            </w:tr>
            <w:tr w14:paraId="0BA81D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9" w:type="pct"/>
                  <w:noWrap w:val="0"/>
                  <w:vAlign w:val="center"/>
                </w:tcPr>
                <w:p w14:paraId="2DDFC149">
                  <w:pPr>
                    <w:pStyle w:val="1111"/>
                    <w:bidi w:val="0"/>
                    <w:rPr>
                      <w:rFonts w:hint="eastAsia"/>
                    </w:rPr>
                  </w:pPr>
                  <w:r>
                    <w:rPr>
                      <w:rFonts w:hint="eastAsia"/>
                      <w:lang w:val="en-US" w:eastAsia="zh-CN"/>
                    </w:rPr>
                    <w:t>3#存储间</w:t>
                  </w:r>
                </w:p>
              </w:tc>
              <w:tc>
                <w:tcPr>
                  <w:tcW w:w="641" w:type="pct"/>
                  <w:noWrap w:val="0"/>
                  <w:vAlign w:val="center"/>
                </w:tcPr>
                <w:p w14:paraId="21AA37C3">
                  <w:pPr>
                    <w:pStyle w:val="1111"/>
                    <w:bidi w:val="0"/>
                    <w:rPr>
                      <w:rFonts w:hint="default"/>
                      <w:lang w:val="en-US" w:eastAsia="zh-CN"/>
                    </w:rPr>
                  </w:pPr>
                  <w:r>
                    <w:rPr>
                      <w:rFonts w:hint="eastAsia"/>
                    </w:rPr>
                    <w:t>非甲烷总烃</w:t>
                  </w:r>
                </w:p>
              </w:tc>
              <w:tc>
                <w:tcPr>
                  <w:tcW w:w="1209" w:type="dxa"/>
                  <w:shd w:val="clear" w:color="auto" w:fill="auto"/>
                  <w:noWrap w:val="0"/>
                  <w:vAlign w:val="center"/>
                </w:tcPr>
                <w:p w14:paraId="377B61ED">
                  <w:pPr>
                    <w:pStyle w:val="1111"/>
                    <w:bidi w:val="0"/>
                    <w:rPr>
                      <w:rFonts w:hint="eastAsia" w:ascii="Times New Roman" w:hAnsi="Times New Roman" w:eastAsia="宋体" w:cs="Times New Roman"/>
                      <w:kern w:val="0"/>
                      <w:sz w:val="21"/>
                      <w:szCs w:val="20"/>
                      <w:lang w:val="en-US" w:eastAsia="zh-CN" w:bidi="ar-SA"/>
                    </w:rPr>
                  </w:pPr>
                  <w:r>
                    <w:rPr>
                      <w:rFonts w:hint="eastAsia"/>
                      <w:lang w:val="en-US" w:eastAsia="zh-CN"/>
                    </w:rPr>
                    <w:t>0.0658</w:t>
                  </w:r>
                </w:p>
              </w:tc>
              <w:tc>
                <w:tcPr>
                  <w:tcW w:w="1463" w:type="dxa"/>
                  <w:shd w:val="clear" w:color="auto" w:fill="auto"/>
                  <w:noWrap w:val="0"/>
                  <w:vAlign w:val="center"/>
                </w:tcPr>
                <w:p w14:paraId="05F34CEC">
                  <w:pPr>
                    <w:pStyle w:val="1111"/>
                    <w:bidi w:val="0"/>
                    <w:rPr>
                      <w:rFonts w:hint="eastAsia" w:ascii="Times New Roman" w:hAnsi="Times New Roman" w:eastAsia="宋体" w:cs="Times New Roman"/>
                      <w:kern w:val="0"/>
                      <w:sz w:val="21"/>
                      <w:szCs w:val="20"/>
                      <w:lang w:val="en-US" w:eastAsia="zh-CN" w:bidi="ar-SA"/>
                    </w:rPr>
                  </w:pPr>
                  <w:r>
                    <w:rPr>
                      <w:rFonts w:hint="eastAsia"/>
                    </w:rPr>
                    <w:t>2.0</w:t>
                  </w:r>
                </w:p>
              </w:tc>
              <w:tc>
                <w:tcPr>
                  <w:tcW w:w="1099" w:type="dxa"/>
                  <w:shd w:val="clear" w:color="auto" w:fill="auto"/>
                  <w:noWrap w:val="0"/>
                  <w:vAlign w:val="center"/>
                </w:tcPr>
                <w:p w14:paraId="09888DFF">
                  <w:pPr>
                    <w:pStyle w:val="1111"/>
                    <w:bidi w:val="0"/>
                    <w:rPr>
                      <w:rFonts w:hint="default" w:ascii="Times New Roman" w:hAnsi="Times New Roman" w:eastAsia="宋体" w:cs="Times New Roman"/>
                      <w:kern w:val="0"/>
                      <w:sz w:val="21"/>
                      <w:szCs w:val="20"/>
                      <w:lang w:val="en-US" w:eastAsia="zh-CN" w:bidi="ar-SA"/>
                    </w:rPr>
                  </w:pPr>
                  <w:r>
                    <w:rPr>
                      <w:rFonts w:hint="eastAsia"/>
                      <w:lang w:val="en-US" w:eastAsia="zh-CN"/>
                    </w:rPr>
                    <w:t>0.0102</w:t>
                  </w:r>
                </w:p>
              </w:tc>
              <w:tc>
                <w:tcPr>
                  <w:tcW w:w="822" w:type="pct"/>
                  <w:shd w:val="clear" w:color="auto" w:fill="auto"/>
                  <w:noWrap w:val="0"/>
                  <w:vAlign w:val="center"/>
                </w:tcPr>
                <w:p w14:paraId="0C409B9F">
                  <w:pPr>
                    <w:bidi w:val="0"/>
                    <w:jc w:val="center"/>
                    <w:rPr>
                      <w:rFonts w:hint="eastAsia" w:ascii="Times New Roman" w:hAnsi="Times New Roman" w:eastAsia="宋体" w:cs="Times New Roman"/>
                      <w:kern w:val="0"/>
                      <w:sz w:val="21"/>
                      <w:szCs w:val="20"/>
                      <w:lang w:val="en-US" w:eastAsia="zh-CN" w:bidi="ar-SA"/>
                    </w:rPr>
                  </w:pPr>
                  <w:r>
                    <w:rPr>
                      <w:rFonts w:hint="eastAsia"/>
                      <w:lang w:val="en-US" w:eastAsia="zh-CN"/>
                    </w:rPr>
                    <w:t>1.127</w:t>
                  </w:r>
                </w:p>
              </w:tc>
              <w:tc>
                <w:tcPr>
                  <w:tcW w:w="571" w:type="pct"/>
                  <w:noWrap w:val="0"/>
                  <w:vAlign w:val="center"/>
                </w:tcPr>
                <w:p w14:paraId="6322BAC7">
                  <w:pPr>
                    <w:pStyle w:val="1111"/>
                    <w:bidi w:val="0"/>
                    <w:rPr>
                      <w:rFonts w:hint="eastAsia"/>
                      <w:lang w:val="en-US" w:eastAsia="zh-CN"/>
                    </w:rPr>
                  </w:pPr>
                  <w:r>
                    <w:rPr>
                      <w:rFonts w:hint="eastAsia"/>
                    </w:rPr>
                    <w:t>50</w:t>
                  </w:r>
                </w:p>
              </w:tc>
            </w:tr>
          </w:tbl>
          <w:p w14:paraId="772DC13D">
            <w:pPr>
              <w:pStyle w:val="512"/>
              <w:bidi w:val="0"/>
              <w:rPr>
                <w:rFonts w:hint="eastAsia"/>
              </w:rPr>
            </w:pPr>
            <w:r>
              <w:rPr>
                <w:rFonts w:hint="eastAsia"/>
              </w:rPr>
              <w:t>由上表所计算结果，本项目卫生防护距离为以本项目</w:t>
            </w:r>
            <w:r>
              <w:rPr>
                <w:rFonts w:hint="eastAsia"/>
                <w:lang w:eastAsia="zh-CN"/>
              </w:rPr>
              <w:t>存储间</w:t>
            </w:r>
            <w:r>
              <w:rPr>
                <w:rFonts w:hint="eastAsia"/>
              </w:rPr>
              <w:t>为边界设置</w:t>
            </w:r>
            <w:r>
              <w:rPr>
                <w:rFonts w:hint="eastAsia"/>
                <w:lang w:val="en-US" w:eastAsia="zh-CN"/>
              </w:rPr>
              <w:t>50</w:t>
            </w:r>
            <w:r>
              <w:rPr>
                <w:rFonts w:hint="eastAsia"/>
              </w:rPr>
              <w:t>米范围内，根据现场调查，目前该防护距离内无居民、学校等环境敏感保护目标，将来在该卫生防护距离范围内也不得新建居民、学校、医院等属于环境保护目标的项目。卫生防护距离</w:t>
            </w:r>
            <w:r>
              <w:rPr>
                <w:rFonts w:hint="eastAsia"/>
                <w:lang w:eastAsia="zh-CN"/>
              </w:rPr>
              <w:t>详</w:t>
            </w:r>
            <w:r>
              <w:rPr>
                <w:rFonts w:hint="eastAsia"/>
              </w:rPr>
              <w:t>见附图</w:t>
            </w:r>
            <w:r>
              <w:rPr>
                <w:rFonts w:hint="eastAsia"/>
                <w:lang w:eastAsia="zh-CN"/>
              </w:rPr>
              <w:t>五</w:t>
            </w:r>
            <w:r>
              <w:rPr>
                <w:rFonts w:hint="eastAsia"/>
              </w:rPr>
              <w:t>。</w:t>
            </w:r>
          </w:p>
          <w:p w14:paraId="446FB261">
            <w:pPr>
              <w:pStyle w:val="512"/>
              <w:bidi w:val="0"/>
            </w:pPr>
            <w:r>
              <w:rPr>
                <w:rFonts w:hint="eastAsia"/>
                <w:lang w:eastAsia="zh-CN"/>
              </w:rPr>
              <w:t>（</w:t>
            </w:r>
            <w:r>
              <w:rPr>
                <w:rFonts w:hint="eastAsia"/>
                <w:lang w:val="en-US" w:eastAsia="zh-CN"/>
              </w:rPr>
              <w:t>5</w:t>
            </w:r>
            <w:r>
              <w:rPr>
                <w:rFonts w:hint="eastAsia"/>
                <w:lang w:eastAsia="zh-CN"/>
              </w:rPr>
              <w:t>）</w:t>
            </w:r>
            <w:r>
              <w:t>监测要求</w:t>
            </w:r>
          </w:p>
          <w:p w14:paraId="440F63FB">
            <w:pPr>
              <w:pStyle w:val="512"/>
              <w:bidi w:val="0"/>
            </w:pPr>
            <w:r>
              <w:t>根据《排污许可证申请与核发技术规范 总则》（HJ942-2018）、《排污单位自行监测技术指南 总则》（HJ 819-2017）和</w:t>
            </w:r>
            <w:r>
              <w:rPr>
                <w:rFonts w:hint="eastAsia"/>
                <w:lang w:eastAsia="zh-CN"/>
              </w:rPr>
              <w:t>《</w:t>
            </w:r>
            <w:r>
              <w:rPr>
                <w:rFonts w:hint="eastAsia"/>
              </w:rPr>
              <w:t>排污许可证申请与核发技术规范 工业固体废物和危险废物治理</w:t>
            </w:r>
            <w:r>
              <w:rPr>
                <w:rFonts w:hint="eastAsia"/>
                <w:lang w:eastAsia="zh-CN"/>
              </w:rPr>
              <w:t>》（</w:t>
            </w:r>
            <w:r>
              <w:rPr>
                <w:rFonts w:hint="eastAsia"/>
                <w:lang w:val="en-US" w:eastAsia="zh-CN"/>
              </w:rPr>
              <w:t>HJ1033-2019</w:t>
            </w:r>
            <w:r>
              <w:rPr>
                <w:rFonts w:hint="eastAsia"/>
                <w:lang w:eastAsia="zh-CN"/>
              </w:rPr>
              <w:t>）</w:t>
            </w:r>
            <w:r>
              <w:t>，项目大气污染物监测计划见表4-</w:t>
            </w:r>
            <w:r>
              <w:rPr>
                <w:rFonts w:hint="eastAsia"/>
                <w:lang w:val="en-US" w:eastAsia="zh-CN"/>
              </w:rPr>
              <w:t>12</w:t>
            </w:r>
            <w:r>
              <w:t>。</w:t>
            </w:r>
          </w:p>
          <w:p w14:paraId="1808433C">
            <w:pPr>
              <w:pStyle w:val="1111"/>
              <w:bidi w:val="0"/>
            </w:pPr>
            <w:r>
              <w:t>表4-</w:t>
            </w:r>
            <w:r>
              <w:rPr>
                <w:rFonts w:hint="eastAsia"/>
                <w:lang w:val="en-US" w:eastAsia="zh-CN"/>
              </w:rPr>
              <w:t>12</w:t>
            </w:r>
            <w:r>
              <w:t xml:space="preserve"> 项目大气污染物监测计划</w:t>
            </w:r>
          </w:p>
          <w:tbl>
            <w:tblPr>
              <w:tblStyle w:val="77"/>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34"/>
              <w:gridCol w:w="2417"/>
              <w:gridCol w:w="2339"/>
              <w:gridCol w:w="1447"/>
            </w:tblGrid>
            <w:tr w14:paraId="3AC224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39" w:type="pct"/>
                  <w:noWrap w:val="0"/>
                  <w:vAlign w:val="center"/>
                </w:tcPr>
                <w:p w14:paraId="26F446CE">
                  <w:pPr>
                    <w:pStyle w:val="1111"/>
                    <w:bidi w:val="0"/>
                  </w:pPr>
                  <w:r>
                    <w:rPr>
                      <w:rFonts w:hint="eastAsia"/>
                      <w:lang w:eastAsia="zh-CN"/>
                    </w:rPr>
                    <w:t>监</w:t>
                  </w:r>
                  <w:r>
                    <w:t>测对象</w:t>
                  </w:r>
                </w:p>
              </w:tc>
              <w:tc>
                <w:tcPr>
                  <w:tcW w:w="1582" w:type="pct"/>
                  <w:noWrap w:val="0"/>
                  <w:vAlign w:val="center"/>
                </w:tcPr>
                <w:p w14:paraId="0E0E64CD">
                  <w:pPr>
                    <w:pStyle w:val="1111"/>
                    <w:bidi w:val="0"/>
                  </w:pPr>
                  <w:r>
                    <w:t>监测点位</w:t>
                  </w:r>
                </w:p>
              </w:tc>
              <w:tc>
                <w:tcPr>
                  <w:tcW w:w="1531" w:type="pct"/>
                  <w:noWrap w:val="0"/>
                  <w:vAlign w:val="center"/>
                </w:tcPr>
                <w:p w14:paraId="4709AB6E">
                  <w:pPr>
                    <w:pStyle w:val="1111"/>
                    <w:bidi w:val="0"/>
                  </w:pPr>
                  <w:r>
                    <w:t>监测指标</w:t>
                  </w:r>
                </w:p>
              </w:tc>
              <w:tc>
                <w:tcPr>
                  <w:tcW w:w="947" w:type="pct"/>
                  <w:noWrap w:val="0"/>
                  <w:vAlign w:val="center"/>
                </w:tcPr>
                <w:p w14:paraId="3862E246">
                  <w:pPr>
                    <w:pStyle w:val="1111"/>
                    <w:bidi w:val="0"/>
                  </w:pPr>
                  <w:r>
                    <w:t>监测频次</w:t>
                  </w:r>
                </w:p>
              </w:tc>
            </w:tr>
            <w:tr w14:paraId="0745E9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9" w:type="pct"/>
                  <w:noWrap w:val="0"/>
                  <w:vAlign w:val="center"/>
                </w:tcPr>
                <w:p w14:paraId="59D3C260">
                  <w:pPr>
                    <w:pStyle w:val="1111"/>
                    <w:bidi w:val="0"/>
                  </w:pPr>
                  <w:r>
                    <w:t>有组织废气</w:t>
                  </w:r>
                </w:p>
              </w:tc>
              <w:tc>
                <w:tcPr>
                  <w:tcW w:w="1582" w:type="pct"/>
                  <w:noWrap w:val="0"/>
                  <w:vAlign w:val="center"/>
                </w:tcPr>
                <w:p w14:paraId="02BC60DE">
                  <w:pPr>
                    <w:pStyle w:val="1111"/>
                    <w:bidi w:val="0"/>
                  </w:pPr>
                  <w:r>
                    <w:t>DA001排气筒出口</w:t>
                  </w:r>
                </w:p>
              </w:tc>
              <w:tc>
                <w:tcPr>
                  <w:tcW w:w="1531" w:type="pct"/>
                  <w:noWrap w:val="0"/>
                  <w:vAlign w:val="center"/>
                </w:tcPr>
                <w:p w14:paraId="6E006ED9">
                  <w:pPr>
                    <w:pStyle w:val="1111"/>
                    <w:bidi w:val="0"/>
                  </w:pPr>
                  <w:r>
                    <w:t>非甲烷总烃</w:t>
                  </w:r>
                </w:p>
              </w:tc>
              <w:tc>
                <w:tcPr>
                  <w:tcW w:w="947" w:type="pct"/>
                  <w:noWrap w:val="0"/>
                  <w:vAlign w:val="center"/>
                </w:tcPr>
                <w:p w14:paraId="3C899F1B">
                  <w:pPr>
                    <w:pStyle w:val="1111"/>
                    <w:bidi w:val="0"/>
                  </w:pPr>
                  <w:r>
                    <w:t>1次/</w:t>
                  </w:r>
                  <w:r>
                    <w:rPr>
                      <w:rFonts w:hint="eastAsia"/>
                      <w:lang w:eastAsia="zh-CN"/>
                    </w:rPr>
                    <w:t>半</w:t>
                  </w:r>
                  <w:r>
                    <w:t>年</w:t>
                  </w:r>
                </w:p>
              </w:tc>
            </w:tr>
            <w:tr w14:paraId="3D836C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9" w:type="pct"/>
                  <w:noWrap w:val="0"/>
                  <w:vAlign w:val="center"/>
                </w:tcPr>
                <w:p w14:paraId="21EF5878">
                  <w:pPr>
                    <w:pStyle w:val="1111"/>
                    <w:bidi w:val="0"/>
                  </w:pPr>
                  <w:r>
                    <w:t>无组织废气</w:t>
                  </w:r>
                </w:p>
              </w:tc>
              <w:tc>
                <w:tcPr>
                  <w:tcW w:w="1582" w:type="pct"/>
                  <w:noWrap w:val="0"/>
                  <w:vAlign w:val="center"/>
                </w:tcPr>
                <w:p w14:paraId="7C378030">
                  <w:pPr>
                    <w:pStyle w:val="1111"/>
                    <w:bidi w:val="0"/>
                    <w:rPr>
                      <w:rFonts w:hint="eastAsia" w:eastAsia="宋体"/>
                      <w:lang w:eastAsia="zh-CN"/>
                    </w:rPr>
                  </w:pPr>
                  <w:r>
                    <w:rPr>
                      <w:rFonts w:hint="eastAsia"/>
                      <w:lang w:eastAsia="zh-CN"/>
                    </w:rPr>
                    <w:t>厂界</w:t>
                  </w:r>
                </w:p>
              </w:tc>
              <w:tc>
                <w:tcPr>
                  <w:tcW w:w="1531" w:type="pct"/>
                  <w:noWrap w:val="0"/>
                  <w:vAlign w:val="center"/>
                </w:tcPr>
                <w:p w14:paraId="19AA5115">
                  <w:pPr>
                    <w:pStyle w:val="1111"/>
                    <w:bidi w:val="0"/>
                  </w:pPr>
                  <w:r>
                    <w:t>非甲烷总烃</w:t>
                  </w:r>
                </w:p>
              </w:tc>
              <w:tc>
                <w:tcPr>
                  <w:tcW w:w="947" w:type="pct"/>
                  <w:noWrap w:val="0"/>
                  <w:vAlign w:val="center"/>
                </w:tcPr>
                <w:p w14:paraId="53ED42B1">
                  <w:pPr>
                    <w:pStyle w:val="1111"/>
                    <w:bidi w:val="0"/>
                  </w:pPr>
                  <w:r>
                    <w:t>1次/</w:t>
                  </w:r>
                  <w:r>
                    <w:rPr>
                      <w:rFonts w:hint="eastAsia"/>
                      <w:lang w:eastAsia="zh-CN"/>
                    </w:rPr>
                    <w:t>半</w:t>
                  </w:r>
                  <w:r>
                    <w:t>年</w:t>
                  </w:r>
                </w:p>
              </w:tc>
            </w:tr>
          </w:tbl>
          <w:p w14:paraId="3569E7F5">
            <w:pPr>
              <w:pStyle w:val="512"/>
              <w:numPr>
                <w:ilvl w:val="0"/>
                <w:numId w:val="0"/>
              </w:numPr>
              <w:bidi w:val="0"/>
              <w:ind w:firstLine="544" w:firstLineChars="200"/>
            </w:pPr>
            <w:r>
              <w:rPr>
                <w:rFonts w:ascii="Times New Roman" w:hAnsi="Times New Roman" w:eastAsia="宋体" w:cs="Times New Roman"/>
                <w:spacing w:val="16"/>
                <w:kern w:val="0"/>
                <w:sz w:val="24"/>
                <w:szCs w:val="20"/>
                <w:lang w:val="en-US" w:eastAsia="zh-CN" w:bidi="ar-SA"/>
              </w:rPr>
              <w:t>2、</w:t>
            </w:r>
            <w:r>
              <w:t>废水环境影响分析</w:t>
            </w:r>
          </w:p>
          <w:p w14:paraId="0347D239">
            <w:pPr>
              <w:pStyle w:val="512"/>
              <w:bidi w:val="0"/>
            </w:pPr>
            <w:r>
              <w:rPr>
                <w:rFonts w:hint="eastAsia"/>
                <w:lang w:eastAsia="zh-CN"/>
              </w:rPr>
              <w:t>（</w:t>
            </w:r>
            <w:r>
              <w:rPr>
                <w:rFonts w:hint="eastAsia"/>
                <w:lang w:val="en-US" w:eastAsia="zh-CN"/>
              </w:rPr>
              <w:t>1</w:t>
            </w:r>
            <w:r>
              <w:rPr>
                <w:rFonts w:hint="eastAsia"/>
                <w:lang w:eastAsia="zh-CN"/>
              </w:rPr>
              <w:t>）</w:t>
            </w:r>
            <w:r>
              <w:t>废水源强</w:t>
            </w:r>
          </w:p>
          <w:p w14:paraId="0D82289D">
            <w:pPr>
              <w:pStyle w:val="512"/>
              <w:bidi w:val="0"/>
            </w:pPr>
            <w:r>
              <w:t>本项目营运期用水主要为</w:t>
            </w:r>
            <w:r>
              <w:rPr>
                <w:rFonts w:hint="eastAsia"/>
                <w:lang w:eastAsia="zh-CN"/>
              </w:rPr>
              <w:t>碱液喷淋产生的废液</w:t>
            </w:r>
            <w:r>
              <w:rPr>
                <w:rFonts w:hint="eastAsia"/>
              </w:rPr>
              <w:t>及</w:t>
            </w:r>
            <w:r>
              <w:rPr>
                <w:rFonts w:hint="eastAsia"/>
                <w:lang w:eastAsia="zh-CN"/>
              </w:rPr>
              <w:t>员工产生的</w:t>
            </w:r>
            <w:r>
              <w:t>生活用水</w:t>
            </w:r>
            <w:r>
              <w:rPr>
                <w:rFonts w:hint="eastAsia"/>
                <w:lang w:eastAsia="zh-CN"/>
              </w:rPr>
              <w:t>。项目地面采用人工拖地，地面清理过程不会产生清洗废水；运输车辆不在厂区内清洗，不产生车辆清洗废水；危险废物经产废单位包装后，由叉车直接运输至存储间内，不产生危废装卸区初期雨水</w:t>
            </w:r>
            <w:r>
              <w:t>。</w:t>
            </w:r>
          </w:p>
          <w:p w14:paraId="1F64ABF7">
            <w:pPr>
              <w:pStyle w:val="512"/>
              <w:bidi w:val="0"/>
              <w:rPr>
                <w:rFonts w:hint="eastAsia"/>
                <w:lang w:eastAsia="zh-CN"/>
              </w:rPr>
            </w:pPr>
            <w:r>
              <w:rPr>
                <w:rFonts w:hint="default"/>
              </w:rPr>
              <w:t>①</w:t>
            </w:r>
            <w:r>
              <w:rPr>
                <w:rFonts w:hint="eastAsia"/>
                <w:lang w:eastAsia="zh-CN"/>
              </w:rPr>
              <w:t>喷淋废水</w:t>
            </w:r>
          </w:p>
          <w:p w14:paraId="3D0AA7FC">
            <w:pPr>
              <w:pStyle w:val="512"/>
              <w:bidi w:val="0"/>
            </w:pPr>
            <w:r>
              <w:rPr>
                <w:rFonts w:hint="eastAsia"/>
              </w:rPr>
              <w:t>项目</w:t>
            </w:r>
            <w:r>
              <w:t>废气采取</w:t>
            </w:r>
            <w:r>
              <w:rPr>
                <w:rFonts w:hint="eastAsia"/>
              </w:rPr>
              <w:t>“一级</w:t>
            </w:r>
            <w:r>
              <w:rPr>
                <w:rFonts w:hint="eastAsia"/>
                <w:lang w:eastAsia="zh-CN"/>
              </w:rPr>
              <w:t>碱吸收</w:t>
            </w:r>
            <w:r>
              <w:rPr>
                <w:rFonts w:hint="eastAsia"/>
              </w:rPr>
              <w:t>+一级</w:t>
            </w:r>
            <w:r>
              <w:t>活性炭吸附</w:t>
            </w:r>
            <w:r>
              <w:rPr>
                <w:rFonts w:hint="eastAsia"/>
              </w:rPr>
              <w:t>”</w:t>
            </w:r>
            <w:r>
              <w:t>处理</w:t>
            </w:r>
            <w:r>
              <w:rPr>
                <w:rFonts w:hint="eastAsia"/>
              </w:rPr>
              <w:t>，</w:t>
            </w:r>
            <w:r>
              <w:rPr>
                <w:rFonts w:hint="eastAsia"/>
                <w:lang w:eastAsia="zh-CN"/>
              </w:rPr>
              <w:t>喷淋塔水箱定期更换，</w:t>
            </w:r>
            <w:r>
              <w:t>年产生废气吸收废水</w:t>
            </w:r>
            <w:r>
              <w:rPr>
                <w:rFonts w:hint="eastAsia"/>
                <w:lang w:val="en-US" w:eastAsia="zh-CN"/>
              </w:rPr>
              <w:t>12</w:t>
            </w:r>
            <w:r>
              <w:rPr>
                <w:rFonts w:hint="eastAsia"/>
              </w:rPr>
              <w:t>0</w:t>
            </w:r>
            <w:r>
              <w:t>t/a，废水中主要污染物为</w:t>
            </w:r>
            <w:r>
              <w:rPr>
                <w:rFonts w:hint="eastAsia"/>
              </w:rPr>
              <w:t>COD、SS，</w:t>
            </w:r>
            <w:r>
              <w:t>产生浓度</w:t>
            </w:r>
            <w:r>
              <w:rPr>
                <w:rFonts w:hint="eastAsia"/>
              </w:rPr>
              <w:t>分别</w:t>
            </w:r>
            <w:r>
              <w:t>为150</w:t>
            </w:r>
            <w:r>
              <w:rPr>
                <w:rFonts w:hint="eastAsia"/>
              </w:rPr>
              <w:t>0</w:t>
            </w:r>
            <w:r>
              <w:t>mg/L，</w:t>
            </w:r>
            <w:r>
              <w:rPr>
                <w:rFonts w:hint="eastAsia"/>
              </w:rPr>
              <w:t>SS200</w:t>
            </w:r>
            <w:r>
              <w:t>mg/L，</w:t>
            </w:r>
            <w:r>
              <w:rPr>
                <w:rFonts w:hint="eastAsia"/>
                <w:lang w:eastAsia="zh-CN"/>
              </w:rPr>
              <w:t>废水经污水处理站</w:t>
            </w:r>
            <w:r>
              <w:t>处理后尾水进入临港污水处理厂集中处理。</w:t>
            </w:r>
          </w:p>
          <w:p w14:paraId="0B4A69D4">
            <w:pPr>
              <w:pStyle w:val="512"/>
              <w:bidi w:val="0"/>
              <w:rPr>
                <w:rFonts w:hint="eastAsia"/>
                <w:lang w:eastAsia="zh-CN"/>
              </w:rPr>
            </w:pPr>
            <w:r>
              <w:rPr>
                <w:rFonts w:hint="default"/>
              </w:rPr>
              <w:t>②</w:t>
            </w:r>
            <w:r>
              <w:rPr>
                <w:rFonts w:hint="eastAsia"/>
                <w:lang w:eastAsia="zh-CN"/>
              </w:rPr>
              <w:t>生活污水</w:t>
            </w:r>
          </w:p>
          <w:p w14:paraId="167A8835">
            <w:pPr>
              <w:pStyle w:val="512"/>
              <w:bidi w:val="0"/>
              <w:rPr>
                <w:rFonts w:hint="eastAsia" w:eastAsia="宋体"/>
                <w:lang w:eastAsia="zh-CN"/>
              </w:rPr>
            </w:pPr>
            <w:r>
              <w:t>项目正常劳动定员5人，均</w:t>
            </w:r>
            <w:r>
              <w:rPr>
                <w:rFonts w:hint="eastAsia"/>
                <w:lang w:eastAsia="zh-CN"/>
              </w:rPr>
              <w:t>在中华药港办公区进行办公，</w:t>
            </w:r>
            <w:r>
              <w:t>不在厂内住宿，生活污水主要来源于员工日常清洗、冲洗厕所产生的污水，根据《建筑给水排水设计规范》（GB50015-2019）中“不住宿舍员工用水定额为每人每班40~60L”，本项目员工用水按照用水量50L/人·天计，年工作日360天，则用水量为0.25m</w:t>
            </w:r>
            <w:r>
              <w:rPr>
                <w:vertAlign w:val="superscript"/>
              </w:rPr>
              <w:t>3</w:t>
            </w:r>
            <w:r>
              <w:t>/d（90m</w:t>
            </w:r>
            <w:r>
              <w:rPr>
                <w:vertAlign w:val="superscript"/>
              </w:rPr>
              <w:t>3</w:t>
            </w:r>
            <w:r>
              <w:t>/a）。排水量以用水量的80%计，则生活污水排放量约为0.2m</w:t>
            </w:r>
            <w:r>
              <w:rPr>
                <w:vertAlign w:val="superscript"/>
              </w:rPr>
              <w:t>3</w:t>
            </w:r>
            <w:r>
              <w:t>/d（72m</w:t>
            </w:r>
            <w:r>
              <w:rPr>
                <w:vertAlign w:val="superscript"/>
              </w:rPr>
              <w:t>3</w:t>
            </w:r>
            <w:r>
              <w:t>/a），污染主要为COD400mg/L、SS300mg/L、氨氮45mg/L、总氮50mg/L、总磷5mg/L，经园区中华药港污水站处理后尾水进入临港污水处理厂集中处理。</w:t>
            </w:r>
          </w:p>
          <w:p w14:paraId="26AEF3DD">
            <w:pPr>
              <w:pStyle w:val="512"/>
              <w:bidi w:val="0"/>
            </w:pPr>
            <w:r>
              <w:t>综上，</w:t>
            </w:r>
            <w:r>
              <w:rPr>
                <w:rFonts w:hint="eastAsia"/>
                <w:lang w:eastAsia="zh-CN"/>
              </w:rPr>
              <w:t>本</w:t>
            </w:r>
            <w:r>
              <w:t>项目废水产生及排放情况见表4-</w:t>
            </w:r>
            <w:r>
              <w:rPr>
                <w:rFonts w:hint="eastAsia"/>
                <w:lang w:val="en-US" w:eastAsia="zh-CN"/>
              </w:rPr>
              <w:t>13</w:t>
            </w:r>
            <w:r>
              <w:t>。</w:t>
            </w:r>
          </w:p>
          <w:p w14:paraId="4B16ACB0">
            <w:pPr>
              <w:pStyle w:val="1111"/>
              <w:bidi w:val="0"/>
              <w:rPr>
                <w:rFonts w:hint="eastAsia"/>
                <w:lang w:val="en-US" w:eastAsia="zh-CN"/>
              </w:rPr>
            </w:pPr>
            <w:r>
              <w:rPr>
                <w:rFonts w:hint="eastAsia"/>
                <w:lang w:eastAsia="zh-CN"/>
              </w:rPr>
              <w:t>表</w:t>
            </w:r>
            <w:r>
              <w:rPr>
                <w:rFonts w:hint="eastAsia"/>
                <w:lang w:val="en-US" w:eastAsia="zh-CN"/>
              </w:rPr>
              <w:t>4-13 本项目废水产生及排放情况汇总表</w:t>
            </w:r>
          </w:p>
          <w:tbl>
            <w:tblPr>
              <w:tblStyle w:val="78"/>
              <w:tblW w:w="764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757"/>
              <w:gridCol w:w="752"/>
              <w:gridCol w:w="794"/>
              <w:gridCol w:w="794"/>
              <w:gridCol w:w="759"/>
              <w:gridCol w:w="794"/>
              <w:gridCol w:w="759"/>
              <w:gridCol w:w="747"/>
              <w:gridCol w:w="755"/>
            </w:tblGrid>
            <w:tr w14:paraId="18949E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vMerge w:val="restart"/>
                  <w:vAlign w:val="center"/>
                </w:tcPr>
                <w:p w14:paraId="7AEB58A0">
                  <w:pPr>
                    <w:pStyle w:val="1111"/>
                    <w:bidi w:val="0"/>
                    <w:jc w:val="center"/>
                    <w:rPr>
                      <w:rFonts w:hint="default" w:ascii="Times New Roman" w:hAnsi="Times New Roman" w:eastAsia="宋体" w:cs="Times New Roman"/>
                      <w:kern w:val="0"/>
                      <w:sz w:val="21"/>
                      <w:szCs w:val="20"/>
                      <w:lang w:val="en-US" w:eastAsia="zh-CN" w:bidi="ar-SA"/>
                    </w:rPr>
                  </w:pPr>
                  <w:r>
                    <w:rPr>
                      <w:rFonts w:hint="eastAsia"/>
                      <w:lang w:val="en-US" w:eastAsia="zh-CN"/>
                    </w:rPr>
                    <w:t>排放源</w:t>
                  </w:r>
                </w:p>
              </w:tc>
              <w:tc>
                <w:tcPr>
                  <w:tcW w:w="757" w:type="dxa"/>
                  <w:vMerge w:val="restart"/>
                  <w:vAlign w:val="center"/>
                </w:tcPr>
                <w:p w14:paraId="21881F51">
                  <w:pPr>
                    <w:pStyle w:val="1111"/>
                    <w:bidi w:val="0"/>
                    <w:rPr>
                      <w:rFonts w:hint="default" w:ascii="Times New Roman" w:hAnsi="Times New Roman" w:eastAsia="宋体" w:cs="Times New Roman"/>
                      <w:kern w:val="0"/>
                      <w:sz w:val="21"/>
                      <w:szCs w:val="20"/>
                      <w:lang w:val="en-US" w:eastAsia="zh-CN" w:bidi="ar-SA"/>
                    </w:rPr>
                  </w:pPr>
                  <w:r>
                    <w:rPr>
                      <w:rFonts w:hint="eastAsia"/>
                      <w:lang w:val="en-US" w:eastAsia="zh-CN"/>
                    </w:rPr>
                    <w:t>污染物名称</w:t>
                  </w:r>
                </w:p>
              </w:tc>
              <w:tc>
                <w:tcPr>
                  <w:tcW w:w="752" w:type="dxa"/>
                  <w:vMerge w:val="restart"/>
                  <w:vAlign w:val="center"/>
                </w:tcPr>
                <w:p w14:paraId="4B659ED3">
                  <w:pPr>
                    <w:pStyle w:val="1111"/>
                    <w:bidi w:val="0"/>
                    <w:rPr>
                      <w:rFonts w:hint="default" w:ascii="Times New Roman" w:hAnsi="Times New Roman" w:eastAsia="宋体" w:cs="Times New Roman"/>
                      <w:kern w:val="0"/>
                      <w:sz w:val="21"/>
                      <w:szCs w:val="20"/>
                      <w:lang w:val="en-US" w:eastAsia="zh-CN" w:bidi="ar-SA"/>
                    </w:rPr>
                  </w:pPr>
                  <w:r>
                    <w:rPr>
                      <w:rFonts w:hint="eastAsia"/>
                      <w:lang w:val="en-US" w:eastAsia="zh-CN"/>
                    </w:rPr>
                    <w:t>废水量</w:t>
                  </w:r>
                  <w:r>
                    <w:rPr>
                      <w:rFonts w:hint="default"/>
                      <w:lang w:val="en-US" w:eastAsia="zh-CN"/>
                    </w:rPr>
                    <w:t>m</w:t>
                  </w:r>
                  <w:r>
                    <w:rPr>
                      <w:rFonts w:hint="default"/>
                      <w:vertAlign w:val="superscript"/>
                      <w:lang w:val="en-US" w:eastAsia="zh-CN"/>
                    </w:rPr>
                    <w:t>3</w:t>
                  </w:r>
                  <w:r>
                    <w:rPr>
                      <w:rFonts w:hint="default"/>
                      <w:lang w:val="en-US" w:eastAsia="zh-CN"/>
                    </w:rPr>
                    <w:t>/a</w:t>
                  </w:r>
                </w:p>
              </w:tc>
              <w:tc>
                <w:tcPr>
                  <w:tcW w:w="1588" w:type="dxa"/>
                  <w:gridSpan w:val="2"/>
                  <w:vAlign w:val="center"/>
                </w:tcPr>
                <w:p w14:paraId="48E4845C">
                  <w:pPr>
                    <w:pStyle w:val="1111"/>
                    <w:bidi w:val="0"/>
                    <w:rPr>
                      <w:rFonts w:hint="default"/>
                      <w:vertAlign w:val="baseline"/>
                      <w:lang w:val="en-US" w:eastAsia="zh-CN"/>
                    </w:rPr>
                  </w:pPr>
                  <w:r>
                    <w:rPr>
                      <w:rFonts w:hint="eastAsia"/>
                      <w:lang w:val="en-US" w:eastAsia="zh-CN"/>
                    </w:rPr>
                    <w:t>产生情况</w:t>
                  </w:r>
                </w:p>
              </w:tc>
              <w:tc>
                <w:tcPr>
                  <w:tcW w:w="1553" w:type="dxa"/>
                  <w:gridSpan w:val="2"/>
                  <w:vAlign w:val="center"/>
                </w:tcPr>
                <w:p w14:paraId="4F10F58B">
                  <w:pPr>
                    <w:pStyle w:val="1111"/>
                    <w:bidi w:val="0"/>
                    <w:rPr>
                      <w:rFonts w:hint="default"/>
                      <w:vertAlign w:val="baseline"/>
                      <w:lang w:val="en-US" w:eastAsia="zh-CN"/>
                    </w:rPr>
                  </w:pPr>
                  <w:r>
                    <w:rPr>
                      <w:rFonts w:hint="eastAsia"/>
                      <w:lang w:val="en-US" w:eastAsia="zh-CN"/>
                    </w:rPr>
                    <w:t>排放情况</w:t>
                  </w:r>
                </w:p>
              </w:tc>
              <w:tc>
                <w:tcPr>
                  <w:tcW w:w="759" w:type="dxa"/>
                  <w:vMerge w:val="restart"/>
                  <w:vAlign w:val="center"/>
                </w:tcPr>
                <w:p w14:paraId="4920529D">
                  <w:pPr>
                    <w:pStyle w:val="1111"/>
                    <w:bidi w:val="0"/>
                    <w:rPr>
                      <w:rFonts w:hint="default"/>
                      <w:vertAlign w:val="baseline"/>
                      <w:lang w:val="en-US" w:eastAsia="zh-CN"/>
                    </w:rPr>
                  </w:pPr>
                  <w:r>
                    <w:rPr>
                      <w:rFonts w:hint="eastAsia"/>
                      <w:lang w:val="en-US" w:eastAsia="zh-CN"/>
                    </w:rPr>
                    <w:t>去除效率</w:t>
                  </w:r>
                  <w:r>
                    <w:rPr>
                      <w:rFonts w:hint="default"/>
                      <w:lang w:val="en-US" w:eastAsia="zh-CN"/>
                    </w:rPr>
                    <w:t>%</w:t>
                  </w:r>
                </w:p>
              </w:tc>
              <w:tc>
                <w:tcPr>
                  <w:tcW w:w="747" w:type="dxa"/>
                  <w:vMerge w:val="restart"/>
                  <w:vAlign w:val="center"/>
                </w:tcPr>
                <w:p w14:paraId="31DF6184">
                  <w:pPr>
                    <w:pStyle w:val="1111"/>
                    <w:bidi w:val="0"/>
                    <w:rPr>
                      <w:rFonts w:hint="default"/>
                      <w:vertAlign w:val="baseline"/>
                      <w:lang w:val="en-US" w:eastAsia="zh-CN"/>
                    </w:rPr>
                  </w:pPr>
                  <w:r>
                    <w:rPr>
                      <w:rFonts w:hint="eastAsia"/>
                      <w:lang w:val="en-US" w:eastAsia="zh-CN"/>
                    </w:rPr>
                    <w:t>接管标准</w:t>
                  </w:r>
                </w:p>
              </w:tc>
              <w:tc>
                <w:tcPr>
                  <w:tcW w:w="755" w:type="dxa"/>
                  <w:vMerge w:val="restart"/>
                  <w:vAlign w:val="center"/>
                </w:tcPr>
                <w:p w14:paraId="7536F6AB">
                  <w:pPr>
                    <w:pStyle w:val="1111"/>
                    <w:bidi w:val="0"/>
                    <w:rPr>
                      <w:rFonts w:hint="default"/>
                      <w:vertAlign w:val="baseline"/>
                      <w:lang w:val="en-US" w:eastAsia="zh-CN"/>
                    </w:rPr>
                  </w:pPr>
                  <w:r>
                    <w:rPr>
                      <w:rFonts w:hint="eastAsia"/>
                      <w:lang w:val="en-US" w:eastAsia="zh-CN"/>
                    </w:rPr>
                    <w:t>排放去向</w:t>
                  </w:r>
                </w:p>
              </w:tc>
            </w:tr>
            <w:tr w14:paraId="6C5EDC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vMerge w:val="continue"/>
                </w:tcPr>
                <w:p w14:paraId="132E8DA1">
                  <w:pPr>
                    <w:pStyle w:val="1111"/>
                    <w:bidi w:val="0"/>
                    <w:rPr>
                      <w:rFonts w:hint="default"/>
                      <w:vertAlign w:val="baseline"/>
                      <w:lang w:val="en-US" w:eastAsia="zh-CN"/>
                    </w:rPr>
                  </w:pPr>
                </w:p>
              </w:tc>
              <w:tc>
                <w:tcPr>
                  <w:tcW w:w="757" w:type="dxa"/>
                  <w:vMerge w:val="continue"/>
                </w:tcPr>
                <w:p w14:paraId="1E299DF7">
                  <w:pPr>
                    <w:pStyle w:val="1111"/>
                    <w:bidi w:val="0"/>
                    <w:rPr>
                      <w:rFonts w:hint="default"/>
                      <w:vertAlign w:val="baseline"/>
                      <w:lang w:val="en-US" w:eastAsia="zh-CN"/>
                    </w:rPr>
                  </w:pPr>
                </w:p>
              </w:tc>
              <w:tc>
                <w:tcPr>
                  <w:tcW w:w="752" w:type="dxa"/>
                  <w:vMerge w:val="continue"/>
                </w:tcPr>
                <w:p w14:paraId="058AE8E8">
                  <w:pPr>
                    <w:pStyle w:val="1111"/>
                    <w:bidi w:val="0"/>
                    <w:rPr>
                      <w:rFonts w:hint="default"/>
                      <w:vertAlign w:val="baseline"/>
                      <w:lang w:val="en-US" w:eastAsia="zh-CN"/>
                    </w:rPr>
                  </w:pPr>
                </w:p>
              </w:tc>
              <w:tc>
                <w:tcPr>
                  <w:tcW w:w="794" w:type="dxa"/>
                  <w:vAlign w:val="center"/>
                </w:tcPr>
                <w:p w14:paraId="62657A91">
                  <w:pPr>
                    <w:pStyle w:val="1111"/>
                    <w:bidi w:val="0"/>
                    <w:rPr>
                      <w:rFonts w:hint="default"/>
                      <w:vertAlign w:val="baseline"/>
                      <w:lang w:val="en-US" w:eastAsia="zh-CN"/>
                    </w:rPr>
                  </w:pPr>
                  <w:r>
                    <w:rPr>
                      <w:rFonts w:hint="eastAsia"/>
                      <w:lang w:val="en-US" w:eastAsia="zh-CN"/>
                    </w:rPr>
                    <w:t>产生浓度</w:t>
                  </w:r>
                  <w:r>
                    <w:rPr>
                      <w:rFonts w:hint="default"/>
                      <w:lang w:val="en-US" w:eastAsia="zh-CN"/>
                    </w:rPr>
                    <w:t>mg/L</w:t>
                  </w:r>
                </w:p>
              </w:tc>
              <w:tc>
                <w:tcPr>
                  <w:tcW w:w="794" w:type="dxa"/>
                  <w:vAlign w:val="center"/>
                </w:tcPr>
                <w:p w14:paraId="60452ABC">
                  <w:pPr>
                    <w:pStyle w:val="1111"/>
                    <w:bidi w:val="0"/>
                    <w:rPr>
                      <w:rFonts w:hint="default"/>
                      <w:vertAlign w:val="baseline"/>
                      <w:lang w:val="en-US" w:eastAsia="zh-CN"/>
                    </w:rPr>
                  </w:pPr>
                  <w:r>
                    <w:rPr>
                      <w:rFonts w:hint="eastAsia"/>
                      <w:lang w:val="en-US" w:eastAsia="zh-CN"/>
                    </w:rPr>
                    <w:t>产生量</w:t>
                  </w:r>
                  <w:r>
                    <w:rPr>
                      <w:rFonts w:hint="default"/>
                      <w:lang w:val="en-US" w:eastAsia="zh-CN"/>
                    </w:rPr>
                    <w:t>t/a</w:t>
                  </w:r>
                </w:p>
              </w:tc>
              <w:tc>
                <w:tcPr>
                  <w:tcW w:w="759" w:type="dxa"/>
                  <w:vAlign w:val="center"/>
                </w:tcPr>
                <w:p w14:paraId="1C26EDD7">
                  <w:pPr>
                    <w:pStyle w:val="1111"/>
                    <w:bidi w:val="0"/>
                    <w:rPr>
                      <w:rFonts w:hint="default"/>
                      <w:vertAlign w:val="baseline"/>
                      <w:lang w:val="en-US" w:eastAsia="zh-CN"/>
                    </w:rPr>
                  </w:pPr>
                  <w:r>
                    <w:rPr>
                      <w:rFonts w:hint="eastAsia"/>
                      <w:lang w:val="en-US" w:eastAsia="zh-CN"/>
                    </w:rPr>
                    <w:t>排放浓度</w:t>
                  </w:r>
                  <w:r>
                    <w:rPr>
                      <w:rFonts w:hint="default"/>
                      <w:lang w:val="en-US" w:eastAsia="zh-CN"/>
                    </w:rPr>
                    <w:t>mg/L</w:t>
                  </w:r>
                </w:p>
              </w:tc>
              <w:tc>
                <w:tcPr>
                  <w:tcW w:w="794" w:type="dxa"/>
                  <w:vAlign w:val="center"/>
                </w:tcPr>
                <w:p w14:paraId="391DAAD0">
                  <w:pPr>
                    <w:pStyle w:val="1111"/>
                    <w:bidi w:val="0"/>
                    <w:rPr>
                      <w:rFonts w:hint="default"/>
                      <w:vertAlign w:val="baseline"/>
                      <w:lang w:val="en-US" w:eastAsia="zh-CN"/>
                    </w:rPr>
                  </w:pPr>
                  <w:r>
                    <w:rPr>
                      <w:rFonts w:hint="eastAsia"/>
                      <w:lang w:val="en-US" w:eastAsia="zh-CN"/>
                    </w:rPr>
                    <w:t>排放量</w:t>
                  </w:r>
                  <w:r>
                    <w:rPr>
                      <w:rFonts w:hint="default"/>
                      <w:lang w:val="en-US" w:eastAsia="zh-CN"/>
                    </w:rPr>
                    <w:t>t/a</w:t>
                  </w:r>
                </w:p>
              </w:tc>
              <w:tc>
                <w:tcPr>
                  <w:tcW w:w="759" w:type="dxa"/>
                  <w:vMerge w:val="continue"/>
                </w:tcPr>
                <w:p w14:paraId="38610BA2">
                  <w:pPr>
                    <w:pStyle w:val="1111"/>
                    <w:bidi w:val="0"/>
                    <w:rPr>
                      <w:rFonts w:hint="default"/>
                      <w:vertAlign w:val="baseline"/>
                      <w:lang w:val="en-US" w:eastAsia="zh-CN"/>
                    </w:rPr>
                  </w:pPr>
                </w:p>
              </w:tc>
              <w:tc>
                <w:tcPr>
                  <w:tcW w:w="747" w:type="dxa"/>
                  <w:vMerge w:val="continue"/>
                </w:tcPr>
                <w:p w14:paraId="3A450DA4">
                  <w:pPr>
                    <w:pStyle w:val="1111"/>
                    <w:bidi w:val="0"/>
                    <w:rPr>
                      <w:rFonts w:hint="default"/>
                      <w:vertAlign w:val="baseline"/>
                      <w:lang w:val="en-US" w:eastAsia="zh-CN"/>
                    </w:rPr>
                  </w:pPr>
                </w:p>
              </w:tc>
              <w:tc>
                <w:tcPr>
                  <w:tcW w:w="755" w:type="dxa"/>
                  <w:vMerge w:val="continue"/>
                </w:tcPr>
                <w:p w14:paraId="575AFB5F">
                  <w:pPr>
                    <w:pStyle w:val="1111"/>
                    <w:bidi w:val="0"/>
                    <w:rPr>
                      <w:rFonts w:hint="default"/>
                      <w:vertAlign w:val="baseline"/>
                      <w:lang w:val="en-US" w:eastAsia="zh-CN"/>
                    </w:rPr>
                  </w:pPr>
                </w:p>
              </w:tc>
            </w:tr>
            <w:tr w14:paraId="2D8FAA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trPr>
              <w:tc>
                <w:tcPr>
                  <w:tcW w:w="738" w:type="dxa"/>
                  <w:vMerge w:val="restart"/>
                  <w:vAlign w:val="center"/>
                </w:tcPr>
                <w:p w14:paraId="6B38140A">
                  <w:pPr>
                    <w:pStyle w:val="1111"/>
                    <w:bidi w:val="0"/>
                    <w:rPr>
                      <w:rFonts w:hint="default"/>
                      <w:vertAlign w:val="baseline"/>
                      <w:lang w:val="en-US" w:eastAsia="zh-CN"/>
                    </w:rPr>
                  </w:pPr>
                  <w:r>
                    <w:rPr>
                      <w:rFonts w:hint="eastAsia"/>
                      <w:lang w:val="en-US" w:eastAsia="zh-CN"/>
                    </w:rPr>
                    <w:t>生活污水</w:t>
                  </w:r>
                </w:p>
              </w:tc>
              <w:tc>
                <w:tcPr>
                  <w:tcW w:w="757" w:type="dxa"/>
                  <w:vAlign w:val="center"/>
                </w:tcPr>
                <w:p w14:paraId="63F17108">
                  <w:pPr>
                    <w:pStyle w:val="1111"/>
                    <w:bidi w:val="0"/>
                    <w:rPr>
                      <w:rFonts w:hint="default" w:ascii="Times New Roman" w:hAnsi="Times New Roman" w:eastAsia="宋体" w:cs="Times New Roman"/>
                      <w:kern w:val="0"/>
                      <w:sz w:val="21"/>
                      <w:szCs w:val="20"/>
                      <w:lang w:val="en-US" w:eastAsia="zh-CN" w:bidi="ar-SA"/>
                    </w:rPr>
                  </w:pPr>
                  <w:r>
                    <w:rPr>
                      <w:rFonts w:hint="default"/>
                      <w:lang w:val="en-US" w:eastAsia="zh-CN"/>
                    </w:rPr>
                    <w:t>COD</w:t>
                  </w:r>
                </w:p>
              </w:tc>
              <w:tc>
                <w:tcPr>
                  <w:tcW w:w="752" w:type="dxa"/>
                  <w:vMerge w:val="restart"/>
                  <w:vAlign w:val="center"/>
                </w:tcPr>
                <w:p w14:paraId="0D563FA2">
                  <w:pPr>
                    <w:pStyle w:val="1111"/>
                    <w:bidi w:val="0"/>
                    <w:rPr>
                      <w:rFonts w:hint="default"/>
                      <w:vertAlign w:val="baseline"/>
                      <w:lang w:val="en-US" w:eastAsia="zh-CN"/>
                    </w:rPr>
                  </w:pPr>
                  <w:r>
                    <w:rPr>
                      <w:rFonts w:hint="default"/>
                      <w:lang w:val="en-US" w:eastAsia="zh-CN"/>
                    </w:rPr>
                    <w:t>72</w:t>
                  </w:r>
                </w:p>
              </w:tc>
              <w:tc>
                <w:tcPr>
                  <w:tcW w:w="794" w:type="dxa"/>
                  <w:vAlign w:val="center"/>
                </w:tcPr>
                <w:p w14:paraId="27A8B43E">
                  <w:pPr>
                    <w:pStyle w:val="1111"/>
                    <w:bidi w:val="0"/>
                    <w:rPr>
                      <w:rFonts w:hint="default" w:ascii="Times New Roman" w:hAnsi="Times New Roman" w:eastAsia="宋体" w:cs="Times New Roman"/>
                      <w:kern w:val="0"/>
                      <w:sz w:val="21"/>
                      <w:szCs w:val="20"/>
                      <w:lang w:val="en-US" w:eastAsia="zh-CN" w:bidi="ar-SA"/>
                    </w:rPr>
                  </w:pPr>
                  <w:r>
                    <w:rPr>
                      <w:rFonts w:hint="default"/>
                      <w:lang w:val="en-US" w:eastAsia="zh-CN"/>
                    </w:rPr>
                    <w:t>400</w:t>
                  </w:r>
                </w:p>
              </w:tc>
              <w:tc>
                <w:tcPr>
                  <w:tcW w:w="794" w:type="dxa"/>
                  <w:vAlign w:val="center"/>
                </w:tcPr>
                <w:p w14:paraId="4E0E55B5">
                  <w:pPr>
                    <w:pStyle w:val="1111"/>
                    <w:bidi w:val="0"/>
                    <w:rPr>
                      <w:rFonts w:hint="default" w:ascii="Times New Roman" w:hAnsi="Times New Roman" w:eastAsia="宋体" w:cs="Times New Roman"/>
                      <w:kern w:val="0"/>
                      <w:sz w:val="21"/>
                      <w:szCs w:val="20"/>
                      <w:lang w:val="en-US" w:eastAsia="zh-CN" w:bidi="ar-SA"/>
                    </w:rPr>
                  </w:pPr>
                  <w:r>
                    <w:rPr>
                      <w:rFonts w:hint="default"/>
                      <w:lang w:val="en-US" w:eastAsia="zh-CN"/>
                    </w:rPr>
                    <w:t>0.0288</w:t>
                  </w:r>
                </w:p>
              </w:tc>
              <w:tc>
                <w:tcPr>
                  <w:tcW w:w="759" w:type="dxa"/>
                  <w:vAlign w:val="center"/>
                </w:tcPr>
                <w:p w14:paraId="05D012A8">
                  <w:pPr>
                    <w:pStyle w:val="1111"/>
                    <w:bidi w:val="0"/>
                    <w:rPr>
                      <w:rFonts w:hint="default" w:ascii="Times New Roman" w:hAnsi="Times New Roman" w:eastAsia="宋体" w:cs="Times New Roman"/>
                      <w:kern w:val="0"/>
                      <w:sz w:val="21"/>
                      <w:szCs w:val="20"/>
                      <w:lang w:val="en-US" w:eastAsia="zh-CN" w:bidi="ar-SA"/>
                    </w:rPr>
                  </w:pPr>
                  <w:r>
                    <w:rPr>
                      <w:rFonts w:hint="default"/>
                      <w:lang w:val="en-US" w:eastAsia="zh-CN"/>
                    </w:rPr>
                    <w:t>400</w:t>
                  </w:r>
                </w:p>
              </w:tc>
              <w:tc>
                <w:tcPr>
                  <w:tcW w:w="794" w:type="dxa"/>
                  <w:vAlign w:val="center"/>
                </w:tcPr>
                <w:p w14:paraId="6951CD6D">
                  <w:pPr>
                    <w:pStyle w:val="1111"/>
                    <w:bidi w:val="0"/>
                    <w:rPr>
                      <w:rFonts w:hint="default" w:ascii="Times New Roman" w:hAnsi="Times New Roman" w:eastAsia="宋体" w:cs="Times New Roman"/>
                      <w:kern w:val="0"/>
                      <w:sz w:val="21"/>
                      <w:szCs w:val="20"/>
                      <w:lang w:val="en-US" w:eastAsia="zh-CN" w:bidi="ar-SA"/>
                    </w:rPr>
                  </w:pPr>
                  <w:r>
                    <w:rPr>
                      <w:rFonts w:hint="default"/>
                      <w:lang w:val="en-US" w:eastAsia="zh-CN"/>
                    </w:rPr>
                    <w:t>0.0288</w:t>
                  </w:r>
                </w:p>
              </w:tc>
              <w:tc>
                <w:tcPr>
                  <w:tcW w:w="759" w:type="dxa"/>
                  <w:vAlign w:val="center"/>
                </w:tcPr>
                <w:p w14:paraId="23EA16DF">
                  <w:pPr>
                    <w:pStyle w:val="1111"/>
                    <w:bidi w:val="0"/>
                    <w:rPr>
                      <w:rFonts w:hint="default" w:ascii="Times New Roman" w:hAnsi="Times New Roman" w:eastAsia="宋体" w:cs="Times New Roman"/>
                      <w:kern w:val="0"/>
                      <w:sz w:val="21"/>
                      <w:szCs w:val="20"/>
                      <w:lang w:val="en-US" w:eastAsia="zh-CN" w:bidi="ar-SA"/>
                    </w:rPr>
                  </w:pPr>
                  <w:r>
                    <w:rPr>
                      <w:rFonts w:hint="default"/>
                      <w:lang w:val="en-US" w:eastAsia="zh-CN"/>
                    </w:rPr>
                    <w:t>0</w:t>
                  </w:r>
                </w:p>
              </w:tc>
              <w:tc>
                <w:tcPr>
                  <w:tcW w:w="747" w:type="dxa"/>
                  <w:vAlign w:val="center"/>
                </w:tcPr>
                <w:p w14:paraId="577C1AAD">
                  <w:pPr>
                    <w:pStyle w:val="1111"/>
                    <w:bidi w:val="0"/>
                    <w:rPr>
                      <w:rFonts w:hint="default" w:ascii="Times New Roman" w:hAnsi="Times New Roman" w:eastAsia="宋体" w:cs="Times New Roman"/>
                      <w:kern w:val="0"/>
                      <w:sz w:val="21"/>
                      <w:szCs w:val="20"/>
                      <w:lang w:val="en-US" w:eastAsia="zh-CN" w:bidi="ar-SA"/>
                    </w:rPr>
                  </w:pPr>
                  <w:r>
                    <w:rPr>
                      <w:rFonts w:hint="default"/>
                      <w:lang w:val="en-US" w:eastAsia="zh-CN"/>
                    </w:rPr>
                    <w:t>500</w:t>
                  </w:r>
                </w:p>
              </w:tc>
              <w:tc>
                <w:tcPr>
                  <w:tcW w:w="755" w:type="dxa"/>
                  <w:vMerge w:val="restart"/>
                </w:tcPr>
                <w:p w14:paraId="32F57F08">
                  <w:pPr>
                    <w:pStyle w:val="1111"/>
                    <w:bidi w:val="0"/>
                    <w:rPr>
                      <w:rFonts w:hint="default"/>
                      <w:vertAlign w:val="baseline"/>
                      <w:lang w:val="en-US" w:eastAsia="zh-CN"/>
                    </w:rPr>
                  </w:pPr>
                  <w:r>
                    <w:rPr>
                      <w:rFonts w:hint="eastAsia"/>
                      <w:lang w:val="en-US" w:eastAsia="zh-CN"/>
                    </w:rPr>
                    <w:t>依托园区中华药港污水站预处理后开发区临港污水处理厂集中处理。</w:t>
                  </w:r>
                </w:p>
              </w:tc>
            </w:tr>
            <w:tr w14:paraId="4EBEEB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1" w:hRule="atLeast"/>
              </w:trPr>
              <w:tc>
                <w:tcPr>
                  <w:tcW w:w="738" w:type="dxa"/>
                  <w:vMerge w:val="continue"/>
                </w:tcPr>
                <w:p w14:paraId="0052B085">
                  <w:pPr>
                    <w:pStyle w:val="1111"/>
                    <w:bidi w:val="0"/>
                    <w:rPr>
                      <w:rFonts w:hint="default"/>
                      <w:vertAlign w:val="baseline"/>
                      <w:lang w:val="en-US" w:eastAsia="zh-CN"/>
                    </w:rPr>
                  </w:pPr>
                </w:p>
              </w:tc>
              <w:tc>
                <w:tcPr>
                  <w:tcW w:w="757" w:type="dxa"/>
                  <w:vAlign w:val="center"/>
                </w:tcPr>
                <w:p w14:paraId="2E3A6FD9">
                  <w:pPr>
                    <w:pStyle w:val="1111"/>
                    <w:bidi w:val="0"/>
                    <w:rPr>
                      <w:rFonts w:hint="default" w:ascii="Times New Roman" w:hAnsi="Times New Roman" w:eastAsia="宋体" w:cs="Times New Roman"/>
                      <w:kern w:val="0"/>
                      <w:sz w:val="21"/>
                      <w:szCs w:val="20"/>
                      <w:lang w:val="en-US" w:eastAsia="zh-CN" w:bidi="ar-SA"/>
                    </w:rPr>
                  </w:pPr>
                  <w:r>
                    <w:rPr>
                      <w:rFonts w:hint="default"/>
                      <w:lang w:val="en-US" w:eastAsia="zh-CN"/>
                    </w:rPr>
                    <w:t>SS</w:t>
                  </w:r>
                </w:p>
              </w:tc>
              <w:tc>
                <w:tcPr>
                  <w:tcW w:w="752" w:type="dxa"/>
                  <w:vMerge w:val="continue"/>
                </w:tcPr>
                <w:p w14:paraId="6DFC01AB">
                  <w:pPr>
                    <w:pStyle w:val="1111"/>
                    <w:bidi w:val="0"/>
                    <w:rPr>
                      <w:rFonts w:hint="default"/>
                      <w:vertAlign w:val="baseline"/>
                      <w:lang w:val="en-US" w:eastAsia="zh-CN"/>
                    </w:rPr>
                  </w:pPr>
                </w:p>
              </w:tc>
              <w:tc>
                <w:tcPr>
                  <w:tcW w:w="794" w:type="dxa"/>
                  <w:vAlign w:val="center"/>
                </w:tcPr>
                <w:p w14:paraId="2EEF1197">
                  <w:pPr>
                    <w:pStyle w:val="1111"/>
                    <w:bidi w:val="0"/>
                    <w:rPr>
                      <w:rFonts w:hint="default" w:ascii="Times New Roman" w:hAnsi="Times New Roman" w:eastAsia="宋体" w:cs="Times New Roman"/>
                      <w:kern w:val="0"/>
                      <w:sz w:val="21"/>
                      <w:szCs w:val="20"/>
                      <w:lang w:val="en-US" w:eastAsia="zh-CN" w:bidi="ar-SA"/>
                    </w:rPr>
                  </w:pPr>
                  <w:r>
                    <w:rPr>
                      <w:rFonts w:hint="default"/>
                      <w:lang w:val="en-US" w:eastAsia="zh-CN"/>
                    </w:rPr>
                    <w:t>300</w:t>
                  </w:r>
                </w:p>
              </w:tc>
              <w:tc>
                <w:tcPr>
                  <w:tcW w:w="794" w:type="dxa"/>
                  <w:vAlign w:val="center"/>
                </w:tcPr>
                <w:p w14:paraId="2072A03B">
                  <w:pPr>
                    <w:pStyle w:val="1111"/>
                    <w:bidi w:val="0"/>
                    <w:rPr>
                      <w:rFonts w:hint="default" w:ascii="Times New Roman" w:hAnsi="Times New Roman" w:eastAsia="宋体" w:cs="Times New Roman"/>
                      <w:kern w:val="0"/>
                      <w:sz w:val="21"/>
                      <w:szCs w:val="20"/>
                      <w:lang w:val="en-US" w:eastAsia="zh-CN" w:bidi="ar-SA"/>
                    </w:rPr>
                  </w:pPr>
                  <w:r>
                    <w:rPr>
                      <w:rFonts w:hint="default"/>
                      <w:lang w:val="en-US" w:eastAsia="zh-CN"/>
                    </w:rPr>
                    <w:t>0.0216</w:t>
                  </w:r>
                </w:p>
              </w:tc>
              <w:tc>
                <w:tcPr>
                  <w:tcW w:w="759" w:type="dxa"/>
                  <w:vAlign w:val="center"/>
                </w:tcPr>
                <w:p w14:paraId="28861FD9">
                  <w:pPr>
                    <w:pStyle w:val="1111"/>
                    <w:bidi w:val="0"/>
                    <w:rPr>
                      <w:rFonts w:hint="default" w:ascii="Times New Roman" w:hAnsi="Times New Roman" w:eastAsia="宋体" w:cs="Times New Roman"/>
                      <w:kern w:val="0"/>
                      <w:sz w:val="21"/>
                      <w:szCs w:val="20"/>
                      <w:lang w:val="en-US" w:eastAsia="zh-CN" w:bidi="ar-SA"/>
                    </w:rPr>
                  </w:pPr>
                  <w:r>
                    <w:rPr>
                      <w:rFonts w:hint="default"/>
                      <w:lang w:val="en-US" w:eastAsia="zh-CN"/>
                    </w:rPr>
                    <w:t>120</w:t>
                  </w:r>
                </w:p>
              </w:tc>
              <w:tc>
                <w:tcPr>
                  <w:tcW w:w="794" w:type="dxa"/>
                  <w:vAlign w:val="center"/>
                </w:tcPr>
                <w:p w14:paraId="224DF111">
                  <w:pPr>
                    <w:pStyle w:val="1111"/>
                    <w:bidi w:val="0"/>
                    <w:rPr>
                      <w:rFonts w:hint="default" w:ascii="Times New Roman" w:hAnsi="Times New Roman" w:eastAsia="宋体" w:cs="Times New Roman"/>
                      <w:kern w:val="0"/>
                      <w:sz w:val="21"/>
                      <w:szCs w:val="20"/>
                      <w:lang w:val="en-US" w:eastAsia="zh-CN" w:bidi="ar-SA"/>
                    </w:rPr>
                  </w:pPr>
                  <w:r>
                    <w:rPr>
                      <w:rFonts w:hint="default"/>
                      <w:lang w:val="en-US" w:eastAsia="zh-CN"/>
                    </w:rPr>
                    <w:t>0.0086</w:t>
                  </w:r>
                </w:p>
              </w:tc>
              <w:tc>
                <w:tcPr>
                  <w:tcW w:w="759" w:type="dxa"/>
                  <w:vAlign w:val="center"/>
                </w:tcPr>
                <w:p w14:paraId="6D39F2CD">
                  <w:pPr>
                    <w:pStyle w:val="1111"/>
                    <w:bidi w:val="0"/>
                    <w:rPr>
                      <w:rFonts w:hint="default" w:ascii="Times New Roman" w:hAnsi="Times New Roman" w:eastAsia="宋体" w:cs="Times New Roman"/>
                      <w:kern w:val="0"/>
                      <w:sz w:val="21"/>
                      <w:szCs w:val="20"/>
                      <w:lang w:val="en-US" w:eastAsia="zh-CN" w:bidi="ar-SA"/>
                    </w:rPr>
                  </w:pPr>
                  <w:r>
                    <w:rPr>
                      <w:rFonts w:hint="default"/>
                      <w:lang w:val="en-US" w:eastAsia="zh-CN"/>
                    </w:rPr>
                    <w:t>60.19</w:t>
                  </w:r>
                </w:p>
              </w:tc>
              <w:tc>
                <w:tcPr>
                  <w:tcW w:w="747" w:type="dxa"/>
                  <w:vAlign w:val="center"/>
                </w:tcPr>
                <w:p w14:paraId="48D0C7CC">
                  <w:pPr>
                    <w:pStyle w:val="1111"/>
                    <w:bidi w:val="0"/>
                    <w:rPr>
                      <w:rFonts w:hint="default" w:ascii="Times New Roman" w:hAnsi="Times New Roman" w:eastAsia="宋体" w:cs="Times New Roman"/>
                      <w:kern w:val="0"/>
                      <w:sz w:val="21"/>
                      <w:szCs w:val="20"/>
                      <w:lang w:val="en-US" w:eastAsia="zh-CN" w:bidi="ar-SA"/>
                    </w:rPr>
                  </w:pPr>
                  <w:r>
                    <w:rPr>
                      <w:rFonts w:hint="default"/>
                      <w:lang w:val="en-US" w:eastAsia="zh-CN"/>
                    </w:rPr>
                    <w:t>120</w:t>
                  </w:r>
                </w:p>
              </w:tc>
              <w:tc>
                <w:tcPr>
                  <w:tcW w:w="755" w:type="dxa"/>
                  <w:vMerge w:val="continue"/>
                </w:tcPr>
                <w:p w14:paraId="2A50E533">
                  <w:pPr>
                    <w:pStyle w:val="1111"/>
                    <w:bidi w:val="0"/>
                    <w:rPr>
                      <w:rFonts w:hint="default"/>
                      <w:vertAlign w:val="baseline"/>
                      <w:lang w:val="en-US" w:eastAsia="zh-CN"/>
                    </w:rPr>
                  </w:pPr>
                </w:p>
              </w:tc>
            </w:tr>
            <w:tr w14:paraId="4A55BF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2" w:hRule="atLeast"/>
              </w:trPr>
              <w:tc>
                <w:tcPr>
                  <w:tcW w:w="738" w:type="dxa"/>
                  <w:vMerge w:val="continue"/>
                </w:tcPr>
                <w:p w14:paraId="092FCBE9">
                  <w:pPr>
                    <w:pStyle w:val="1111"/>
                    <w:bidi w:val="0"/>
                    <w:rPr>
                      <w:rFonts w:hint="default"/>
                      <w:vertAlign w:val="baseline"/>
                      <w:lang w:val="en-US" w:eastAsia="zh-CN"/>
                    </w:rPr>
                  </w:pPr>
                </w:p>
              </w:tc>
              <w:tc>
                <w:tcPr>
                  <w:tcW w:w="757" w:type="dxa"/>
                  <w:vAlign w:val="center"/>
                </w:tcPr>
                <w:p w14:paraId="37F0CF22">
                  <w:pPr>
                    <w:pStyle w:val="1111"/>
                    <w:bidi w:val="0"/>
                    <w:rPr>
                      <w:rFonts w:hint="default" w:ascii="Times New Roman" w:hAnsi="Times New Roman" w:eastAsia="宋体" w:cs="Times New Roman"/>
                      <w:kern w:val="0"/>
                      <w:sz w:val="21"/>
                      <w:szCs w:val="20"/>
                      <w:lang w:val="en-US" w:eastAsia="zh-CN" w:bidi="ar-SA"/>
                    </w:rPr>
                  </w:pPr>
                  <w:r>
                    <w:rPr>
                      <w:rFonts w:hint="eastAsia"/>
                      <w:lang w:val="en-US" w:eastAsia="zh-CN"/>
                    </w:rPr>
                    <w:t>氨氮</w:t>
                  </w:r>
                </w:p>
              </w:tc>
              <w:tc>
                <w:tcPr>
                  <w:tcW w:w="752" w:type="dxa"/>
                  <w:vMerge w:val="continue"/>
                </w:tcPr>
                <w:p w14:paraId="46EE4707">
                  <w:pPr>
                    <w:pStyle w:val="1111"/>
                    <w:bidi w:val="0"/>
                    <w:rPr>
                      <w:rFonts w:hint="default"/>
                      <w:vertAlign w:val="baseline"/>
                      <w:lang w:val="en-US" w:eastAsia="zh-CN"/>
                    </w:rPr>
                  </w:pPr>
                </w:p>
              </w:tc>
              <w:tc>
                <w:tcPr>
                  <w:tcW w:w="794" w:type="dxa"/>
                  <w:vAlign w:val="center"/>
                </w:tcPr>
                <w:p w14:paraId="2F3AEA44">
                  <w:pPr>
                    <w:pStyle w:val="1111"/>
                    <w:bidi w:val="0"/>
                    <w:rPr>
                      <w:rFonts w:hint="default" w:ascii="Times New Roman" w:hAnsi="Times New Roman" w:eastAsia="宋体" w:cs="Times New Roman"/>
                      <w:kern w:val="0"/>
                      <w:sz w:val="21"/>
                      <w:szCs w:val="20"/>
                      <w:lang w:val="en-US" w:eastAsia="zh-CN" w:bidi="ar-SA"/>
                    </w:rPr>
                  </w:pPr>
                  <w:r>
                    <w:rPr>
                      <w:rFonts w:hint="default"/>
                      <w:lang w:val="en-US" w:eastAsia="zh-CN"/>
                    </w:rPr>
                    <w:t>45</w:t>
                  </w:r>
                </w:p>
              </w:tc>
              <w:tc>
                <w:tcPr>
                  <w:tcW w:w="794" w:type="dxa"/>
                  <w:vAlign w:val="center"/>
                </w:tcPr>
                <w:p w14:paraId="2C98B432">
                  <w:pPr>
                    <w:pStyle w:val="1111"/>
                    <w:bidi w:val="0"/>
                    <w:rPr>
                      <w:rFonts w:hint="default" w:ascii="Times New Roman" w:hAnsi="Times New Roman" w:eastAsia="宋体" w:cs="Times New Roman"/>
                      <w:kern w:val="0"/>
                      <w:sz w:val="21"/>
                      <w:szCs w:val="20"/>
                      <w:lang w:val="en-US" w:eastAsia="zh-CN" w:bidi="ar-SA"/>
                    </w:rPr>
                  </w:pPr>
                  <w:r>
                    <w:rPr>
                      <w:rFonts w:hint="default"/>
                      <w:lang w:val="en-US" w:eastAsia="zh-CN"/>
                    </w:rPr>
                    <w:t>0.0032</w:t>
                  </w:r>
                </w:p>
              </w:tc>
              <w:tc>
                <w:tcPr>
                  <w:tcW w:w="759" w:type="dxa"/>
                  <w:vAlign w:val="center"/>
                </w:tcPr>
                <w:p w14:paraId="501D2EEA">
                  <w:pPr>
                    <w:pStyle w:val="1111"/>
                    <w:bidi w:val="0"/>
                    <w:rPr>
                      <w:rFonts w:hint="default" w:ascii="Times New Roman" w:hAnsi="Times New Roman" w:eastAsia="宋体" w:cs="Times New Roman"/>
                      <w:kern w:val="0"/>
                      <w:sz w:val="21"/>
                      <w:szCs w:val="20"/>
                      <w:lang w:val="en-US" w:eastAsia="zh-CN" w:bidi="ar-SA"/>
                    </w:rPr>
                  </w:pPr>
                  <w:r>
                    <w:rPr>
                      <w:rFonts w:hint="default"/>
                      <w:lang w:val="en-US" w:eastAsia="zh-CN"/>
                    </w:rPr>
                    <w:t>35</w:t>
                  </w:r>
                </w:p>
              </w:tc>
              <w:tc>
                <w:tcPr>
                  <w:tcW w:w="794" w:type="dxa"/>
                  <w:vAlign w:val="center"/>
                </w:tcPr>
                <w:p w14:paraId="6A50554B">
                  <w:pPr>
                    <w:pStyle w:val="1111"/>
                    <w:bidi w:val="0"/>
                    <w:rPr>
                      <w:rFonts w:hint="default" w:ascii="Times New Roman" w:hAnsi="Times New Roman" w:eastAsia="宋体" w:cs="Times New Roman"/>
                      <w:kern w:val="0"/>
                      <w:sz w:val="21"/>
                      <w:szCs w:val="20"/>
                      <w:lang w:val="en-US" w:eastAsia="zh-CN" w:bidi="ar-SA"/>
                    </w:rPr>
                  </w:pPr>
                  <w:r>
                    <w:rPr>
                      <w:rFonts w:hint="default"/>
                      <w:lang w:val="en-US" w:eastAsia="zh-CN"/>
                    </w:rPr>
                    <w:t>0.0025</w:t>
                  </w:r>
                </w:p>
              </w:tc>
              <w:tc>
                <w:tcPr>
                  <w:tcW w:w="759" w:type="dxa"/>
                  <w:vAlign w:val="center"/>
                </w:tcPr>
                <w:p w14:paraId="2A0EED34">
                  <w:pPr>
                    <w:pStyle w:val="1111"/>
                    <w:bidi w:val="0"/>
                    <w:rPr>
                      <w:rFonts w:hint="default" w:ascii="Times New Roman" w:hAnsi="Times New Roman" w:eastAsia="宋体" w:cs="Times New Roman"/>
                      <w:kern w:val="0"/>
                      <w:sz w:val="21"/>
                      <w:szCs w:val="20"/>
                      <w:lang w:val="en-US" w:eastAsia="zh-CN" w:bidi="ar-SA"/>
                    </w:rPr>
                  </w:pPr>
                  <w:r>
                    <w:rPr>
                      <w:rFonts w:hint="default"/>
                      <w:lang w:val="en-US" w:eastAsia="zh-CN"/>
                    </w:rPr>
                    <w:t>21.88</w:t>
                  </w:r>
                </w:p>
              </w:tc>
              <w:tc>
                <w:tcPr>
                  <w:tcW w:w="747" w:type="dxa"/>
                  <w:vAlign w:val="center"/>
                </w:tcPr>
                <w:p w14:paraId="72450254">
                  <w:pPr>
                    <w:pStyle w:val="1111"/>
                    <w:bidi w:val="0"/>
                    <w:rPr>
                      <w:rFonts w:hint="default" w:ascii="Times New Roman" w:hAnsi="Times New Roman" w:eastAsia="宋体" w:cs="Times New Roman"/>
                      <w:kern w:val="0"/>
                      <w:sz w:val="21"/>
                      <w:szCs w:val="20"/>
                      <w:lang w:val="en-US" w:eastAsia="zh-CN" w:bidi="ar-SA"/>
                    </w:rPr>
                  </w:pPr>
                  <w:r>
                    <w:rPr>
                      <w:rFonts w:hint="default"/>
                      <w:lang w:val="en-US" w:eastAsia="zh-CN"/>
                    </w:rPr>
                    <w:t>35</w:t>
                  </w:r>
                </w:p>
              </w:tc>
              <w:tc>
                <w:tcPr>
                  <w:tcW w:w="755" w:type="dxa"/>
                  <w:vMerge w:val="continue"/>
                </w:tcPr>
                <w:p w14:paraId="56B554BB">
                  <w:pPr>
                    <w:pStyle w:val="1111"/>
                    <w:bidi w:val="0"/>
                    <w:rPr>
                      <w:rFonts w:hint="default"/>
                      <w:vertAlign w:val="baseline"/>
                      <w:lang w:val="en-US" w:eastAsia="zh-CN"/>
                    </w:rPr>
                  </w:pPr>
                </w:p>
              </w:tc>
            </w:tr>
            <w:tr w14:paraId="4B3796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2" w:hRule="atLeast"/>
              </w:trPr>
              <w:tc>
                <w:tcPr>
                  <w:tcW w:w="738" w:type="dxa"/>
                  <w:vMerge w:val="continue"/>
                </w:tcPr>
                <w:p w14:paraId="1316E400">
                  <w:pPr>
                    <w:pStyle w:val="1111"/>
                    <w:bidi w:val="0"/>
                    <w:rPr>
                      <w:rFonts w:hint="default"/>
                      <w:vertAlign w:val="baseline"/>
                      <w:lang w:val="en-US" w:eastAsia="zh-CN"/>
                    </w:rPr>
                  </w:pPr>
                </w:p>
              </w:tc>
              <w:tc>
                <w:tcPr>
                  <w:tcW w:w="757" w:type="dxa"/>
                  <w:vAlign w:val="center"/>
                </w:tcPr>
                <w:p w14:paraId="5DBAC56B">
                  <w:pPr>
                    <w:pStyle w:val="1111"/>
                    <w:bidi w:val="0"/>
                    <w:rPr>
                      <w:rFonts w:hint="default" w:ascii="Times New Roman" w:hAnsi="Times New Roman" w:eastAsia="宋体" w:cs="Times New Roman"/>
                      <w:kern w:val="0"/>
                      <w:sz w:val="21"/>
                      <w:szCs w:val="20"/>
                      <w:lang w:val="en-US" w:eastAsia="zh-CN" w:bidi="ar-SA"/>
                    </w:rPr>
                  </w:pPr>
                  <w:r>
                    <w:rPr>
                      <w:rFonts w:hint="eastAsia"/>
                      <w:lang w:val="en-US" w:eastAsia="zh-CN"/>
                    </w:rPr>
                    <w:t>总氮</w:t>
                  </w:r>
                </w:p>
              </w:tc>
              <w:tc>
                <w:tcPr>
                  <w:tcW w:w="752" w:type="dxa"/>
                  <w:vMerge w:val="continue"/>
                </w:tcPr>
                <w:p w14:paraId="156796F7">
                  <w:pPr>
                    <w:pStyle w:val="1111"/>
                    <w:bidi w:val="0"/>
                    <w:rPr>
                      <w:rFonts w:hint="default"/>
                      <w:vertAlign w:val="baseline"/>
                      <w:lang w:val="en-US" w:eastAsia="zh-CN"/>
                    </w:rPr>
                  </w:pPr>
                </w:p>
              </w:tc>
              <w:tc>
                <w:tcPr>
                  <w:tcW w:w="794" w:type="dxa"/>
                  <w:vAlign w:val="center"/>
                </w:tcPr>
                <w:p w14:paraId="2A4E8796">
                  <w:pPr>
                    <w:pStyle w:val="1111"/>
                    <w:bidi w:val="0"/>
                    <w:rPr>
                      <w:rFonts w:hint="default" w:ascii="Times New Roman" w:hAnsi="Times New Roman" w:eastAsia="宋体" w:cs="Times New Roman"/>
                      <w:kern w:val="0"/>
                      <w:sz w:val="21"/>
                      <w:szCs w:val="20"/>
                      <w:lang w:val="en-US" w:eastAsia="zh-CN" w:bidi="ar-SA"/>
                    </w:rPr>
                  </w:pPr>
                  <w:r>
                    <w:rPr>
                      <w:rFonts w:hint="default"/>
                      <w:lang w:val="en-US" w:eastAsia="zh-CN"/>
                    </w:rPr>
                    <w:t>50</w:t>
                  </w:r>
                </w:p>
              </w:tc>
              <w:tc>
                <w:tcPr>
                  <w:tcW w:w="794" w:type="dxa"/>
                  <w:vAlign w:val="center"/>
                </w:tcPr>
                <w:p w14:paraId="0F6DB83B">
                  <w:pPr>
                    <w:pStyle w:val="1111"/>
                    <w:bidi w:val="0"/>
                    <w:rPr>
                      <w:rFonts w:hint="default" w:ascii="Times New Roman" w:hAnsi="Times New Roman" w:eastAsia="宋体" w:cs="Times New Roman"/>
                      <w:kern w:val="0"/>
                      <w:sz w:val="21"/>
                      <w:szCs w:val="20"/>
                      <w:lang w:val="en-US" w:eastAsia="zh-CN" w:bidi="ar-SA"/>
                    </w:rPr>
                  </w:pPr>
                  <w:r>
                    <w:rPr>
                      <w:rFonts w:hint="default"/>
                      <w:lang w:val="en-US" w:eastAsia="zh-CN"/>
                    </w:rPr>
                    <w:t>0.0036</w:t>
                  </w:r>
                </w:p>
              </w:tc>
              <w:tc>
                <w:tcPr>
                  <w:tcW w:w="759" w:type="dxa"/>
                  <w:vAlign w:val="center"/>
                </w:tcPr>
                <w:p w14:paraId="029971AF">
                  <w:pPr>
                    <w:pStyle w:val="1111"/>
                    <w:bidi w:val="0"/>
                    <w:rPr>
                      <w:rFonts w:hint="default" w:ascii="Times New Roman" w:hAnsi="Times New Roman" w:eastAsia="宋体" w:cs="Times New Roman"/>
                      <w:kern w:val="0"/>
                      <w:sz w:val="21"/>
                      <w:szCs w:val="20"/>
                      <w:lang w:val="en-US" w:eastAsia="zh-CN" w:bidi="ar-SA"/>
                    </w:rPr>
                  </w:pPr>
                  <w:r>
                    <w:rPr>
                      <w:rFonts w:hint="default"/>
                      <w:lang w:val="en-US" w:eastAsia="zh-CN"/>
                    </w:rPr>
                    <w:t>50</w:t>
                  </w:r>
                </w:p>
              </w:tc>
              <w:tc>
                <w:tcPr>
                  <w:tcW w:w="794" w:type="dxa"/>
                  <w:vAlign w:val="center"/>
                </w:tcPr>
                <w:p w14:paraId="05F5E139">
                  <w:pPr>
                    <w:pStyle w:val="1111"/>
                    <w:bidi w:val="0"/>
                    <w:rPr>
                      <w:rFonts w:hint="default" w:ascii="Times New Roman" w:hAnsi="Times New Roman" w:eastAsia="宋体" w:cs="Times New Roman"/>
                      <w:kern w:val="0"/>
                      <w:sz w:val="21"/>
                      <w:szCs w:val="20"/>
                      <w:lang w:val="en-US" w:eastAsia="zh-CN" w:bidi="ar-SA"/>
                    </w:rPr>
                  </w:pPr>
                  <w:r>
                    <w:rPr>
                      <w:rFonts w:hint="default"/>
                      <w:lang w:val="en-US" w:eastAsia="zh-CN"/>
                    </w:rPr>
                    <w:t>0.0036</w:t>
                  </w:r>
                </w:p>
              </w:tc>
              <w:tc>
                <w:tcPr>
                  <w:tcW w:w="759" w:type="dxa"/>
                  <w:vAlign w:val="center"/>
                </w:tcPr>
                <w:p w14:paraId="69BA6F0A">
                  <w:pPr>
                    <w:pStyle w:val="1111"/>
                    <w:bidi w:val="0"/>
                    <w:rPr>
                      <w:rFonts w:hint="default" w:ascii="Times New Roman" w:hAnsi="Times New Roman" w:eastAsia="宋体" w:cs="Times New Roman"/>
                      <w:kern w:val="0"/>
                      <w:sz w:val="21"/>
                      <w:szCs w:val="20"/>
                      <w:lang w:val="en-US" w:eastAsia="zh-CN" w:bidi="ar-SA"/>
                    </w:rPr>
                  </w:pPr>
                  <w:r>
                    <w:rPr>
                      <w:rFonts w:hint="default"/>
                      <w:lang w:val="en-US" w:eastAsia="zh-CN"/>
                    </w:rPr>
                    <w:t>0</w:t>
                  </w:r>
                </w:p>
              </w:tc>
              <w:tc>
                <w:tcPr>
                  <w:tcW w:w="747" w:type="dxa"/>
                  <w:vAlign w:val="center"/>
                </w:tcPr>
                <w:p w14:paraId="4560DDCC">
                  <w:pPr>
                    <w:pStyle w:val="1111"/>
                    <w:bidi w:val="0"/>
                    <w:rPr>
                      <w:rFonts w:hint="default" w:ascii="Times New Roman" w:hAnsi="Times New Roman" w:eastAsia="宋体" w:cs="Times New Roman"/>
                      <w:kern w:val="0"/>
                      <w:sz w:val="21"/>
                      <w:szCs w:val="20"/>
                      <w:lang w:val="en-US" w:eastAsia="zh-CN" w:bidi="ar-SA"/>
                    </w:rPr>
                  </w:pPr>
                  <w:r>
                    <w:rPr>
                      <w:rFonts w:hint="default"/>
                      <w:lang w:val="en-US" w:eastAsia="zh-CN"/>
                    </w:rPr>
                    <w:t>60</w:t>
                  </w:r>
                </w:p>
              </w:tc>
              <w:tc>
                <w:tcPr>
                  <w:tcW w:w="755" w:type="dxa"/>
                  <w:vMerge w:val="continue"/>
                </w:tcPr>
                <w:p w14:paraId="017BCEFB">
                  <w:pPr>
                    <w:pStyle w:val="1111"/>
                    <w:bidi w:val="0"/>
                    <w:rPr>
                      <w:rFonts w:hint="default"/>
                      <w:vertAlign w:val="baseline"/>
                      <w:lang w:val="en-US" w:eastAsia="zh-CN"/>
                    </w:rPr>
                  </w:pPr>
                </w:p>
              </w:tc>
            </w:tr>
            <w:tr w14:paraId="45574B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7" w:hRule="atLeast"/>
              </w:trPr>
              <w:tc>
                <w:tcPr>
                  <w:tcW w:w="738" w:type="dxa"/>
                  <w:vMerge w:val="continue"/>
                </w:tcPr>
                <w:p w14:paraId="3575DE02">
                  <w:pPr>
                    <w:pStyle w:val="1111"/>
                    <w:bidi w:val="0"/>
                    <w:rPr>
                      <w:rFonts w:hint="default"/>
                      <w:vertAlign w:val="baseline"/>
                      <w:lang w:val="en-US" w:eastAsia="zh-CN"/>
                    </w:rPr>
                  </w:pPr>
                </w:p>
              </w:tc>
              <w:tc>
                <w:tcPr>
                  <w:tcW w:w="757" w:type="dxa"/>
                  <w:vAlign w:val="center"/>
                </w:tcPr>
                <w:p w14:paraId="4F4525B9">
                  <w:pPr>
                    <w:pStyle w:val="1111"/>
                    <w:bidi w:val="0"/>
                    <w:rPr>
                      <w:rFonts w:hint="default" w:ascii="Times New Roman" w:hAnsi="Times New Roman" w:eastAsia="宋体" w:cs="Times New Roman"/>
                      <w:kern w:val="0"/>
                      <w:sz w:val="21"/>
                      <w:szCs w:val="20"/>
                      <w:lang w:val="en-US" w:eastAsia="zh-CN" w:bidi="ar-SA"/>
                    </w:rPr>
                  </w:pPr>
                  <w:r>
                    <w:rPr>
                      <w:rFonts w:hint="eastAsia"/>
                      <w:lang w:val="en-US" w:eastAsia="zh-CN"/>
                    </w:rPr>
                    <w:t>总磷</w:t>
                  </w:r>
                </w:p>
              </w:tc>
              <w:tc>
                <w:tcPr>
                  <w:tcW w:w="752" w:type="dxa"/>
                  <w:vMerge w:val="continue"/>
                </w:tcPr>
                <w:p w14:paraId="091927C3">
                  <w:pPr>
                    <w:pStyle w:val="1111"/>
                    <w:bidi w:val="0"/>
                    <w:rPr>
                      <w:rFonts w:hint="default"/>
                      <w:vertAlign w:val="baseline"/>
                      <w:lang w:val="en-US" w:eastAsia="zh-CN"/>
                    </w:rPr>
                  </w:pPr>
                </w:p>
              </w:tc>
              <w:tc>
                <w:tcPr>
                  <w:tcW w:w="794" w:type="dxa"/>
                  <w:vAlign w:val="center"/>
                </w:tcPr>
                <w:p w14:paraId="3A70DB7B">
                  <w:pPr>
                    <w:pStyle w:val="1111"/>
                    <w:bidi w:val="0"/>
                    <w:rPr>
                      <w:rFonts w:hint="default" w:ascii="Times New Roman" w:hAnsi="Times New Roman" w:eastAsia="宋体" w:cs="Times New Roman"/>
                      <w:kern w:val="0"/>
                      <w:sz w:val="21"/>
                      <w:szCs w:val="20"/>
                      <w:lang w:val="en-US" w:eastAsia="zh-CN" w:bidi="ar-SA"/>
                    </w:rPr>
                  </w:pPr>
                  <w:r>
                    <w:rPr>
                      <w:rFonts w:hint="default"/>
                      <w:lang w:val="en-US" w:eastAsia="zh-CN"/>
                    </w:rPr>
                    <w:t>5</w:t>
                  </w:r>
                </w:p>
              </w:tc>
              <w:tc>
                <w:tcPr>
                  <w:tcW w:w="794" w:type="dxa"/>
                  <w:vAlign w:val="center"/>
                </w:tcPr>
                <w:p w14:paraId="4518A8C1">
                  <w:pPr>
                    <w:pStyle w:val="1111"/>
                    <w:bidi w:val="0"/>
                    <w:rPr>
                      <w:rFonts w:hint="default" w:ascii="Times New Roman" w:hAnsi="Times New Roman" w:eastAsia="宋体" w:cs="Times New Roman"/>
                      <w:kern w:val="0"/>
                      <w:sz w:val="21"/>
                      <w:szCs w:val="20"/>
                      <w:lang w:val="en-US" w:eastAsia="zh-CN" w:bidi="ar-SA"/>
                    </w:rPr>
                  </w:pPr>
                  <w:r>
                    <w:rPr>
                      <w:rFonts w:hint="default"/>
                      <w:lang w:val="en-US" w:eastAsia="zh-CN"/>
                    </w:rPr>
                    <w:t>0.0004</w:t>
                  </w:r>
                </w:p>
              </w:tc>
              <w:tc>
                <w:tcPr>
                  <w:tcW w:w="759" w:type="dxa"/>
                  <w:vAlign w:val="center"/>
                </w:tcPr>
                <w:p w14:paraId="2615A68E">
                  <w:pPr>
                    <w:pStyle w:val="1111"/>
                    <w:bidi w:val="0"/>
                    <w:rPr>
                      <w:rFonts w:hint="default" w:ascii="Times New Roman" w:hAnsi="Times New Roman" w:eastAsia="宋体" w:cs="Times New Roman"/>
                      <w:kern w:val="0"/>
                      <w:sz w:val="21"/>
                      <w:szCs w:val="20"/>
                      <w:lang w:val="en-US" w:eastAsia="zh-CN" w:bidi="ar-SA"/>
                    </w:rPr>
                  </w:pPr>
                  <w:r>
                    <w:rPr>
                      <w:rFonts w:hint="default"/>
                      <w:lang w:val="en-US" w:eastAsia="zh-CN"/>
                    </w:rPr>
                    <w:t>5</w:t>
                  </w:r>
                </w:p>
              </w:tc>
              <w:tc>
                <w:tcPr>
                  <w:tcW w:w="794" w:type="dxa"/>
                  <w:vAlign w:val="center"/>
                </w:tcPr>
                <w:p w14:paraId="2F9E9688">
                  <w:pPr>
                    <w:pStyle w:val="1111"/>
                    <w:bidi w:val="0"/>
                    <w:rPr>
                      <w:rFonts w:hint="default" w:ascii="Times New Roman" w:hAnsi="Times New Roman" w:eastAsia="宋体" w:cs="Times New Roman"/>
                      <w:kern w:val="0"/>
                      <w:sz w:val="21"/>
                      <w:szCs w:val="20"/>
                      <w:lang w:val="en-US" w:eastAsia="zh-CN" w:bidi="ar-SA"/>
                    </w:rPr>
                  </w:pPr>
                  <w:r>
                    <w:rPr>
                      <w:rFonts w:hint="default"/>
                      <w:lang w:val="en-US" w:eastAsia="zh-CN"/>
                    </w:rPr>
                    <w:t>0.0004</w:t>
                  </w:r>
                </w:p>
              </w:tc>
              <w:tc>
                <w:tcPr>
                  <w:tcW w:w="759" w:type="dxa"/>
                  <w:vAlign w:val="center"/>
                </w:tcPr>
                <w:p w14:paraId="63DF6906">
                  <w:pPr>
                    <w:pStyle w:val="1111"/>
                    <w:bidi w:val="0"/>
                    <w:rPr>
                      <w:rFonts w:hint="default" w:ascii="Times New Roman" w:hAnsi="Times New Roman" w:eastAsia="宋体" w:cs="Times New Roman"/>
                      <w:kern w:val="0"/>
                      <w:sz w:val="21"/>
                      <w:szCs w:val="20"/>
                      <w:lang w:val="en-US" w:eastAsia="zh-CN" w:bidi="ar-SA"/>
                    </w:rPr>
                  </w:pPr>
                  <w:r>
                    <w:rPr>
                      <w:rFonts w:hint="default"/>
                      <w:lang w:val="en-US" w:eastAsia="zh-CN"/>
                    </w:rPr>
                    <w:t>0</w:t>
                  </w:r>
                </w:p>
              </w:tc>
              <w:tc>
                <w:tcPr>
                  <w:tcW w:w="747" w:type="dxa"/>
                  <w:vAlign w:val="center"/>
                </w:tcPr>
                <w:p w14:paraId="2EECE4AB">
                  <w:pPr>
                    <w:pStyle w:val="1111"/>
                    <w:bidi w:val="0"/>
                    <w:rPr>
                      <w:rFonts w:hint="default" w:ascii="Times New Roman" w:hAnsi="Times New Roman" w:eastAsia="宋体" w:cs="Times New Roman"/>
                      <w:kern w:val="0"/>
                      <w:sz w:val="21"/>
                      <w:szCs w:val="20"/>
                      <w:lang w:val="en-US" w:eastAsia="zh-CN" w:bidi="ar-SA"/>
                    </w:rPr>
                  </w:pPr>
                  <w:r>
                    <w:rPr>
                      <w:rFonts w:hint="default"/>
                      <w:lang w:val="en-US" w:eastAsia="zh-CN"/>
                    </w:rPr>
                    <w:t>8</w:t>
                  </w:r>
                </w:p>
              </w:tc>
              <w:tc>
                <w:tcPr>
                  <w:tcW w:w="755" w:type="dxa"/>
                  <w:vMerge w:val="continue"/>
                </w:tcPr>
                <w:p w14:paraId="7CA63748">
                  <w:pPr>
                    <w:pStyle w:val="1111"/>
                    <w:bidi w:val="0"/>
                    <w:rPr>
                      <w:rFonts w:hint="default"/>
                      <w:vertAlign w:val="baseline"/>
                      <w:lang w:val="en-US" w:eastAsia="zh-CN"/>
                    </w:rPr>
                  </w:pPr>
                </w:p>
              </w:tc>
            </w:tr>
            <w:tr w14:paraId="6BDF80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1" w:hRule="atLeast"/>
              </w:trPr>
              <w:tc>
                <w:tcPr>
                  <w:tcW w:w="738" w:type="dxa"/>
                  <w:vMerge w:val="restart"/>
                  <w:vAlign w:val="center"/>
                </w:tcPr>
                <w:p w14:paraId="07B43C20">
                  <w:pPr>
                    <w:pStyle w:val="1111"/>
                    <w:bidi w:val="0"/>
                    <w:rPr>
                      <w:rFonts w:hint="default"/>
                      <w:vertAlign w:val="baseline"/>
                      <w:lang w:val="en-US" w:eastAsia="zh-CN"/>
                    </w:rPr>
                  </w:pPr>
                  <w:r>
                    <w:rPr>
                      <w:rFonts w:hint="eastAsia"/>
                      <w:lang w:val="en-US" w:eastAsia="zh-CN"/>
                    </w:rPr>
                    <w:t>喷淋废水</w:t>
                  </w:r>
                </w:p>
              </w:tc>
              <w:tc>
                <w:tcPr>
                  <w:tcW w:w="757" w:type="dxa"/>
                  <w:vAlign w:val="center"/>
                </w:tcPr>
                <w:p w14:paraId="0F1AAA64">
                  <w:pPr>
                    <w:pStyle w:val="1111"/>
                    <w:bidi w:val="0"/>
                    <w:rPr>
                      <w:rFonts w:hint="default" w:ascii="Times New Roman" w:hAnsi="Times New Roman" w:eastAsia="宋体" w:cs="Times New Roman"/>
                      <w:kern w:val="0"/>
                      <w:sz w:val="21"/>
                      <w:szCs w:val="20"/>
                      <w:lang w:val="en-US" w:eastAsia="zh-CN" w:bidi="ar-SA"/>
                    </w:rPr>
                  </w:pPr>
                  <w:r>
                    <w:rPr>
                      <w:rFonts w:hint="default"/>
                      <w:lang w:val="en-US" w:eastAsia="zh-CN"/>
                    </w:rPr>
                    <w:t>COD</w:t>
                  </w:r>
                </w:p>
              </w:tc>
              <w:tc>
                <w:tcPr>
                  <w:tcW w:w="752" w:type="dxa"/>
                  <w:vMerge w:val="restart"/>
                  <w:vAlign w:val="center"/>
                </w:tcPr>
                <w:p w14:paraId="133E0AF5">
                  <w:pPr>
                    <w:pStyle w:val="1111"/>
                    <w:bidi w:val="0"/>
                    <w:rPr>
                      <w:rFonts w:hint="default"/>
                      <w:vertAlign w:val="baseline"/>
                      <w:lang w:val="en-US" w:eastAsia="zh-CN"/>
                    </w:rPr>
                  </w:pPr>
                  <w:r>
                    <w:rPr>
                      <w:rFonts w:hint="default"/>
                      <w:lang w:val="en-US" w:eastAsia="zh-CN"/>
                    </w:rPr>
                    <w:t>120</w:t>
                  </w:r>
                </w:p>
              </w:tc>
              <w:tc>
                <w:tcPr>
                  <w:tcW w:w="794" w:type="dxa"/>
                  <w:vAlign w:val="center"/>
                </w:tcPr>
                <w:p w14:paraId="171D76E7">
                  <w:pPr>
                    <w:pStyle w:val="1111"/>
                    <w:bidi w:val="0"/>
                    <w:rPr>
                      <w:rFonts w:hint="default" w:ascii="Times New Roman" w:hAnsi="Times New Roman" w:eastAsia="宋体" w:cs="Times New Roman"/>
                      <w:kern w:val="0"/>
                      <w:sz w:val="21"/>
                      <w:szCs w:val="20"/>
                      <w:lang w:val="en-US" w:eastAsia="zh-CN" w:bidi="ar-SA"/>
                    </w:rPr>
                  </w:pPr>
                  <w:r>
                    <w:rPr>
                      <w:rFonts w:hint="default"/>
                      <w:lang w:val="en-US" w:eastAsia="zh-CN"/>
                    </w:rPr>
                    <w:t>1500</w:t>
                  </w:r>
                </w:p>
              </w:tc>
              <w:tc>
                <w:tcPr>
                  <w:tcW w:w="794" w:type="dxa"/>
                  <w:vAlign w:val="center"/>
                </w:tcPr>
                <w:p w14:paraId="4EAAED7B">
                  <w:pPr>
                    <w:pStyle w:val="1111"/>
                    <w:bidi w:val="0"/>
                    <w:rPr>
                      <w:rFonts w:hint="default" w:ascii="Times New Roman" w:hAnsi="Times New Roman" w:eastAsia="宋体" w:cs="Times New Roman"/>
                      <w:kern w:val="0"/>
                      <w:sz w:val="21"/>
                      <w:szCs w:val="20"/>
                      <w:lang w:val="en-US" w:eastAsia="zh-CN" w:bidi="ar-SA"/>
                    </w:rPr>
                  </w:pPr>
                  <w:r>
                    <w:rPr>
                      <w:rFonts w:hint="default"/>
                      <w:lang w:val="en-US" w:eastAsia="zh-CN"/>
                    </w:rPr>
                    <w:t>0.18</w:t>
                  </w:r>
                </w:p>
              </w:tc>
              <w:tc>
                <w:tcPr>
                  <w:tcW w:w="759" w:type="dxa"/>
                  <w:vAlign w:val="center"/>
                </w:tcPr>
                <w:p w14:paraId="724571FF">
                  <w:pPr>
                    <w:pStyle w:val="1111"/>
                    <w:bidi w:val="0"/>
                    <w:rPr>
                      <w:rFonts w:hint="default" w:ascii="Times New Roman" w:hAnsi="Times New Roman" w:eastAsia="宋体" w:cs="Times New Roman"/>
                      <w:kern w:val="0"/>
                      <w:sz w:val="21"/>
                      <w:szCs w:val="20"/>
                      <w:lang w:val="en-US" w:eastAsia="zh-CN" w:bidi="ar-SA"/>
                    </w:rPr>
                  </w:pPr>
                  <w:r>
                    <w:rPr>
                      <w:rFonts w:hint="default"/>
                      <w:lang w:val="en-US" w:eastAsia="zh-CN"/>
                    </w:rPr>
                    <w:t>500</w:t>
                  </w:r>
                </w:p>
              </w:tc>
              <w:tc>
                <w:tcPr>
                  <w:tcW w:w="794" w:type="dxa"/>
                  <w:vAlign w:val="center"/>
                </w:tcPr>
                <w:p w14:paraId="0D8C91EB">
                  <w:pPr>
                    <w:pStyle w:val="1111"/>
                    <w:bidi w:val="0"/>
                    <w:rPr>
                      <w:rFonts w:hint="default" w:ascii="Times New Roman" w:hAnsi="Times New Roman" w:eastAsia="宋体" w:cs="Times New Roman"/>
                      <w:kern w:val="0"/>
                      <w:sz w:val="21"/>
                      <w:szCs w:val="20"/>
                      <w:lang w:val="en-US" w:eastAsia="zh-CN" w:bidi="ar-SA"/>
                    </w:rPr>
                  </w:pPr>
                  <w:r>
                    <w:rPr>
                      <w:rFonts w:hint="default"/>
                      <w:lang w:val="en-US" w:eastAsia="zh-CN"/>
                    </w:rPr>
                    <w:t>0.06</w:t>
                  </w:r>
                </w:p>
              </w:tc>
              <w:tc>
                <w:tcPr>
                  <w:tcW w:w="759" w:type="dxa"/>
                  <w:vAlign w:val="center"/>
                </w:tcPr>
                <w:p w14:paraId="3EB150C5">
                  <w:pPr>
                    <w:pStyle w:val="1111"/>
                    <w:bidi w:val="0"/>
                    <w:rPr>
                      <w:rFonts w:hint="default" w:ascii="Times New Roman" w:hAnsi="Times New Roman" w:eastAsia="宋体" w:cs="Times New Roman"/>
                      <w:kern w:val="0"/>
                      <w:sz w:val="21"/>
                      <w:szCs w:val="20"/>
                      <w:lang w:val="en-US" w:eastAsia="zh-CN" w:bidi="ar-SA"/>
                    </w:rPr>
                  </w:pPr>
                  <w:r>
                    <w:rPr>
                      <w:rFonts w:hint="default"/>
                      <w:lang w:val="en-US" w:eastAsia="zh-CN"/>
                    </w:rPr>
                    <w:t>66.6</w:t>
                  </w:r>
                </w:p>
              </w:tc>
              <w:tc>
                <w:tcPr>
                  <w:tcW w:w="747" w:type="dxa"/>
                  <w:vAlign w:val="center"/>
                </w:tcPr>
                <w:p w14:paraId="126232E4">
                  <w:pPr>
                    <w:pStyle w:val="1111"/>
                    <w:bidi w:val="0"/>
                    <w:rPr>
                      <w:rFonts w:hint="default" w:ascii="Times New Roman" w:hAnsi="Times New Roman" w:eastAsia="宋体" w:cs="Times New Roman"/>
                      <w:kern w:val="0"/>
                      <w:sz w:val="21"/>
                      <w:szCs w:val="20"/>
                      <w:lang w:val="en-US" w:eastAsia="zh-CN" w:bidi="ar-SA"/>
                    </w:rPr>
                  </w:pPr>
                  <w:r>
                    <w:rPr>
                      <w:rFonts w:hint="default"/>
                      <w:lang w:val="en-US" w:eastAsia="zh-CN"/>
                    </w:rPr>
                    <w:t>500</w:t>
                  </w:r>
                </w:p>
              </w:tc>
              <w:tc>
                <w:tcPr>
                  <w:tcW w:w="755" w:type="dxa"/>
                  <w:vMerge w:val="continue"/>
                </w:tcPr>
                <w:p w14:paraId="0C8390ED">
                  <w:pPr>
                    <w:pStyle w:val="1111"/>
                    <w:bidi w:val="0"/>
                    <w:rPr>
                      <w:rFonts w:hint="default"/>
                      <w:vertAlign w:val="baseline"/>
                      <w:lang w:val="en-US" w:eastAsia="zh-CN"/>
                    </w:rPr>
                  </w:pPr>
                </w:p>
              </w:tc>
            </w:tr>
            <w:tr w14:paraId="0E98B6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738" w:type="dxa"/>
                  <w:vMerge w:val="continue"/>
                </w:tcPr>
                <w:p w14:paraId="7905C897">
                  <w:pPr>
                    <w:pStyle w:val="1111"/>
                    <w:bidi w:val="0"/>
                    <w:rPr>
                      <w:rFonts w:hint="default"/>
                      <w:vertAlign w:val="baseline"/>
                      <w:lang w:val="en-US" w:eastAsia="zh-CN"/>
                    </w:rPr>
                  </w:pPr>
                </w:p>
              </w:tc>
              <w:tc>
                <w:tcPr>
                  <w:tcW w:w="757" w:type="dxa"/>
                  <w:vAlign w:val="center"/>
                </w:tcPr>
                <w:p w14:paraId="00232737">
                  <w:pPr>
                    <w:pStyle w:val="1111"/>
                    <w:bidi w:val="0"/>
                    <w:rPr>
                      <w:rFonts w:hint="default" w:ascii="Times New Roman" w:hAnsi="Times New Roman" w:eastAsia="宋体" w:cs="Times New Roman"/>
                      <w:kern w:val="0"/>
                      <w:sz w:val="21"/>
                      <w:szCs w:val="20"/>
                      <w:lang w:val="en-US" w:eastAsia="zh-CN" w:bidi="ar-SA"/>
                    </w:rPr>
                  </w:pPr>
                  <w:r>
                    <w:rPr>
                      <w:rFonts w:hint="default"/>
                      <w:lang w:val="en-US" w:eastAsia="zh-CN"/>
                    </w:rPr>
                    <w:t>SS</w:t>
                  </w:r>
                </w:p>
              </w:tc>
              <w:tc>
                <w:tcPr>
                  <w:tcW w:w="752" w:type="dxa"/>
                  <w:vMerge w:val="continue"/>
                </w:tcPr>
                <w:p w14:paraId="7FD8F2D0">
                  <w:pPr>
                    <w:pStyle w:val="1111"/>
                    <w:bidi w:val="0"/>
                    <w:rPr>
                      <w:rFonts w:hint="default"/>
                      <w:vertAlign w:val="baseline"/>
                      <w:lang w:val="en-US" w:eastAsia="zh-CN"/>
                    </w:rPr>
                  </w:pPr>
                </w:p>
              </w:tc>
              <w:tc>
                <w:tcPr>
                  <w:tcW w:w="794" w:type="dxa"/>
                  <w:vAlign w:val="center"/>
                </w:tcPr>
                <w:p w14:paraId="2D847AA5">
                  <w:pPr>
                    <w:pStyle w:val="1111"/>
                    <w:bidi w:val="0"/>
                    <w:rPr>
                      <w:rFonts w:hint="default" w:ascii="Times New Roman" w:hAnsi="Times New Roman" w:eastAsia="宋体" w:cs="Times New Roman"/>
                      <w:kern w:val="0"/>
                      <w:sz w:val="21"/>
                      <w:szCs w:val="20"/>
                      <w:lang w:val="en-US" w:eastAsia="zh-CN" w:bidi="ar-SA"/>
                    </w:rPr>
                  </w:pPr>
                  <w:r>
                    <w:rPr>
                      <w:rFonts w:hint="default"/>
                      <w:lang w:val="en-US" w:eastAsia="zh-CN"/>
                    </w:rPr>
                    <w:t>200</w:t>
                  </w:r>
                </w:p>
              </w:tc>
              <w:tc>
                <w:tcPr>
                  <w:tcW w:w="794" w:type="dxa"/>
                  <w:vAlign w:val="center"/>
                </w:tcPr>
                <w:p w14:paraId="05B0C396">
                  <w:pPr>
                    <w:pStyle w:val="1111"/>
                    <w:bidi w:val="0"/>
                    <w:rPr>
                      <w:rFonts w:hint="default" w:ascii="Times New Roman" w:hAnsi="Times New Roman" w:eastAsia="宋体" w:cs="Times New Roman"/>
                      <w:kern w:val="0"/>
                      <w:sz w:val="21"/>
                      <w:szCs w:val="20"/>
                      <w:lang w:val="en-US" w:eastAsia="zh-CN" w:bidi="ar-SA"/>
                    </w:rPr>
                  </w:pPr>
                  <w:r>
                    <w:rPr>
                      <w:rFonts w:hint="default"/>
                      <w:lang w:val="en-US" w:eastAsia="zh-CN"/>
                    </w:rPr>
                    <w:t>0.024</w:t>
                  </w:r>
                </w:p>
              </w:tc>
              <w:tc>
                <w:tcPr>
                  <w:tcW w:w="759" w:type="dxa"/>
                  <w:vAlign w:val="center"/>
                </w:tcPr>
                <w:p w14:paraId="10010082">
                  <w:pPr>
                    <w:pStyle w:val="1111"/>
                    <w:bidi w:val="0"/>
                    <w:rPr>
                      <w:rFonts w:hint="default" w:ascii="Times New Roman" w:hAnsi="Times New Roman" w:eastAsia="宋体" w:cs="Times New Roman"/>
                      <w:kern w:val="0"/>
                      <w:sz w:val="21"/>
                      <w:szCs w:val="20"/>
                      <w:lang w:val="en-US" w:eastAsia="zh-CN" w:bidi="ar-SA"/>
                    </w:rPr>
                  </w:pPr>
                  <w:r>
                    <w:rPr>
                      <w:rFonts w:hint="default"/>
                      <w:lang w:val="en-US" w:eastAsia="zh-CN"/>
                    </w:rPr>
                    <w:t>120</w:t>
                  </w:r>
                </w:p>
              </w:tc>
              <w:tc>
                <w:tcPr>
                  <w:tcW w:w="794" w:type="dxa"/>
                  <w:vAlign w:val="center"/>
                </w:tcPr>
                <w:p w14:paraId="242B505E">
                  <w:pPr>
                    <w:pStyle w:val="1111"/>
                    <w:bidi w:val="0"/>
                    <w:rPr>
                      <w:rFonts w:hint="default" w:ascii="Times New Roman" w:hAnsi="Times New Roman" w:eastAsia="宋体" w:cs="Times New Roman"/>
                      <w:kern w:val="0"/>
                      <w:sz w:val="21"/>
                      <w:szCs w:val="20"/>
                      <w:lang w:val="en-US" w:eastAsia="zh-CN" w:bidi="ar-SA"/>
                    </w:rPr>
                  </w:pPr>
                  <w:r>
                    <w:rPr>
                      <w:rFonts w:hint="default"/>
                      <w:lang w:val="en-US" w:eastAsia="zh-CN"/>
                    </w:rPr>
                    <w:t>0.014</w:t>
                  </w:r>
                </w:p>
              </w:tc>
              <w:tc>
                <w:tcPr>
                  <w:tcW w:w="759" w:type="dxa"/>
                  <w:vAlign w:val="center"/>
                </w:tcPr>
                <w:p w14:paraId="1249BC44">
                  <w:pPr>
                    <w:pStyle w:val="1111"/>
                    <w:bidi w:val="0"/>
                    <w:rPr>
                      <w:rFonts w:hint="default" w:ascii="Times New Roman" w:hAnsi="Times New Roman" w:eastAsia="宋体" w:cs="Times New Roman"/>
                      <w:kern w:val="0"/>
                      <w:sz w:val="21"/>
                      <w:szCs w:val="20"/>
                      <w:lang w:val="en-US" w:eastAsia="zh-CN" w:bidi="ar-SA"/>
                    </w:rPr>
                  </w:pPr>
                  <w:r>
                    <w:rPr>
                      <w:rFonts w:hint="default"/>
                      <w:lang w:val="en-US" w:eastAsia="zh-CN"/>
                    </w:rPr>
                    <w:t>40</w:t>
                  </w:r>
                </w:p>
              </w:tc>
              <w:tc>
                <w:tcPr>
                  <w:tcW w:w="747" w:type="dxa"/>
                  <w:vAlign w:val="center"/>
                </w:tcPr>
                <w:p w14:paraId="3FB0F48A">
                  <w:pPr>
                    <w:pStyle w:val="1111"/>
                    <w:bidi w:val="0"/>
                    <w:rPr>
                      <w:rFonts w:hint="default" w:ascii="Times New Roman" w:hAnsi="Times New Roman" w:eastAsia="宋体" w:cs="Times New Roman"/>
                      <w:kern w:val="0"/>
                      <w:sz w:val="21"/>
                      <w:szCs w:val="20"/>
                      <w:lang w:val="en-US" w:eastAsia="zh-CN" w:bidi="ar-SA"/>
                    </w:rPr>
                  </w:pPr>
                  <w:r>
                    <w:rPr>
                      <w:rFonts w:hint="default"/>
                      <w:lang w:val="en-US" w:eastAsia="zh-CN"/>
                    </w:rPr>
                    <w:t>120</w:t>
                  </w:r>
                </w:p>
              </w:tc>
              <w:tc>
                <w:tcPr>
                  <w:tcW w:w="755" w:type="dxa"/>
                  <w:vMerge w:val="continue"/>
                </w:tcPr>
                <w:p w14:paraId="31AE666A">
                  <w:pPr>
                    <w:pStyle w:val="1111"/>
                    <w:bidi w:val="0"/>
                    <w:rPr>
                      <w:rFonts w:hint="default"/>
                      <w:vertAlign w:val="baseline"/>
                      <w:lang w:val="en-US" w:eastAsia="zh-CN"/>
                    </w:rPr>
                  </w:pPr>
                </w:p>
              </w:tc>
            </w:tr>
          </w:tbl>
          <w:p w14:paraId="6A89806E">
            <w:pPr>
              <w:pStyle w:val="1111"/>
              <w:bidi w:val="0"/>
            </w:pPr>
          </w:p>
          <w:p w14:paraId="29890CC1">
            <w:pPr>
              <w:pStyle w:val="512"/>
              <w:bidi w:val="0"/>
              <w:rPr>
                <w:rFonts w:hint="eastAsia" w:eastAsia="宋体"/>
                <w:lang w:eastAsia="zh-CN"/>
              </w:rPr>
            </w:pPr>
            <w:r>
              <w:rPr>
                <w:rFonts w:hint="eastAsia"/>
                <w:lang w:val="en-US" w:eastAsia="zh-CN"/>
              </w:rPr>
              <w:t>（2）</w:t>
            </w:r>
            <w:r>
              <w:t>废水治理措施</w:t>
            </w:r>
            <w:r>
              <w:rPr>
                <w:rFonts w:hint="eastAsia"/>
                <w:lang w:eastAsia="zh-CN"/>
              </w:rPr>
              <w:t>可行性分析</w:t>
            </w:r>
          </w:p>
          <w:p w14:paraId="34844C3A">
            <w:pPr>
              <w:pStyle w:val="512"/>
              <w:bidi w:val="0"/>
            </w:pPr>
            <w:r>
              <w:t>本项目产生</w:t>
            </w:r>
            <w:r>
              <w:rPr>
                <w:rFonts w:hint="eastAsia"/>
              </w:rPr>
              <w:t>废气</w:t>
            </w:r>
            <w:r>
              <w:t>吸收废水、生活污水水质满足中华药港污水站接管标准要求，经中华药港污水站采用经“调节池+水解酸化+A/O生化+沉淀池+消毒池”处理，污染物浓度满足《生物制药行业水和大气污染物排放限值》</w:t>
            </w:r>
            <w:r>
              <w:rPr>
                <w:rFonts w:hint="eastAsia"/>
                <w:lang w:eastAsia="zh-CN"/>
              </w:rPr>
              <w:t>（</w:t>
            </w:r>
            <w:r>
              <w:t>DB32/3560-2019</w:t>
            </w:r>
            <w:r>
              <w:rPr>
                <w:rFonts w:hint="eastAsia"/>
                <w:lang w:eastAsia="zh-CN"/>
              </w:rPr>
              <w:t>）</w:t>
            </w:r>
            <w:r>
              <w:t>表2间接排放限值及《污水排入城镇下水道水质标准》</w:t>
            </w:r>
            <w:r>
              <w:rPr>
                <w:rFonts w:hint="eastAsia"/>
                <w:lang w:eastAsia="zh-CN"/>
              </w:rPr>
              <w:t>（</w:t>
            </w:r>
            <w:r>
              <w:t>GB/T31962-2015</w:t>
            </w:r>
            <w:r>
              <w:rPr>
                <w:rFonts w:hint="eastAsia"/>
                <w:lang w:eastAsia="zh-CN"/>
              </w:rPr>
              <w:t>）</w:t>
            </w:r>
            <w:r>
              <w:t>表1中A等级标准后进入开发区临港污水处理厂集中处理。项目废水量为</w:t>
            </w:r>
            <w:r>
              <w:rPr>
                <w:rFonts w:hint="eastAsia"/>
                <w:lang w:eastAsia="zh-CN"/>
              </w:rPr>
              <w:t>0.533t/d</w:t>
            </w:r>
            <w:r>
              <w:t>，中华药港污水站处理能力</w:t>
            </w:r>
            <w:r>
              <w:rPr>
                <w:rFonts w:hint="eastAsia"/>
              </w:rPr>
              <w:t>7200</w:t>
            </w:r>
            <w:r>
              <w:t>t/d</w:t>
            </w:r>
            <w:r>
              <w:rPr>
                <w:rFonts w:hint="eastAsia"/>
              </w:rPr>
              <w:t>，</w:t>
            </w:r>
            <w:r>
              <w:t>占中华药港污水站处理能力较小，中华药港污水站有足够的容量接纳本项目产生的废水，从水质、水量上来说，项目废水可以进中华药港污水站处理后排放。</w:t>
            </w:r>
          </w:p>
          <w:p w14:paraId="5E73C618">
            <w:pPr>
              <w:pStyle w:val="512"/>
              <w:bidi w:val="0"/>
            </w:pPr>
            <w:r>
              <w:rPr>
                <w:rFonts w:hint="eastAsia"/>
                <w:lang w:val="en-US" w:eastAsia="zh-CN"/>
              </w:rPr>
              <w:t>（3）</w:t>
            </w:r>
            <w:r>
              <w:t>临港产业区污水处理厂废水接管可行性分析</w:t>
            </w:r>
          </w:p>
          <w:p w14:paraId="6FF0BA5C">
            <w:pPr>
              <w:pStyle w:val="512"/>
              <w:bidi w:val="0"/>
            </w:pPr>
            <w:r>
              <w:t>已建临港产业区污水处理厂（原西北组团污水处理厂）位于连云港经济技术开发区开太河南侧、云池路北侧、临洪路东侧、云桥路西侧，项目一期工程项目总投资为15566万元，处理规模为48000t/d，占地4.98公顷，采用“MSBR+高效混凝沉淀+转盘过滤+二氧化氯消毒”污水处理工艺，污水处理厂尾水排入大浦河排污通道，执行《城镇污水处理厂污染物排放标准》（GB18918-2002）表1中的一级A标准。其收水范围主要由两部分组成：一是临港产业区西北片区，污水性质为工业废水和生活污水；二是连云新城（滨海新区）西南片区，主要以居住和公用设施用地为主，污水性质为生活污水，近期服务范围覆盖面积约47.66km</w:t>
            </w:r>
            <w:r>
              <w:rPr>
                <w:vertAlign w:val="superscript"/>
              </w:rPr>
              <w:t>2</w:t>
            </w:r>
            <w:r>
              <w:t>。项目环评报告书于2012年6月21日取得连云港市环保局的批复（连环发[2012]246号），目前已建设完毕，一期工程（2.4万t/d）于2017年10月26日通过连云港市环保局的“三同时”验收（连环验[2017]19号）。污水通过管道收集后，经污水泵站提升后排入污水处理厂集中处理。</w:t>
            </w:r>
          </w:p>
          <w:p w14:paraId="0FA04A1C">
            <w:pPr>
              <w:pStyle w:val="512"/>
              <w:bidi w:val="0"/>
            </w:pPr>
            <w:r>
              <w:t>项目生活污水依托中华药港污水处理站处理，废水预处理后满足临港产业区污水处理厂的接管水质浓度要求，本项目废水排放量为0.5</w:t>
            </w:r>
            <w:r>
              <w:rPr>
                <w:rFonts w:hint="eastAsia"/>
                <w:lang w:val="en-US" w:eastAsia="zh-CN"/>
              </w:rPr>
              <w:t>33</w:t>
            </w:r>
            <w:r>
              <w:t>m</w:t>
            </w:r>
            <w:r>
              <w:rPr>
                <w:vertAlign w:val="superscript"/>
              </w:rPr>
              <w:t>3</w:t>
            </w:r>
            <w:r>
              <w:t>/d，占临港产业区污水处理厂处理能力较小，临港产业区污水处理厂有足够的容量接纳本项目产生的废水，从水质、水量上来说，项目废水可以进临港产业区污水处理厂处理后排放。</w:t>
            </w:r>
          </w:p>
          <w:p w14:paraId="41869FBE">
            <w:pPr>
              <w:pStyle w:val="512"/>
              <w:bidi w:val="0"/>
            </w:pPr>
            <w:r>
              <w:t>本项目属于临港产业区污水处理厂的服务范围内。目前，临港产业区污水处理厂及配套的污水收集管网已建成。因此，本项目废水经预处理后接入临港产业区污水处理厂处理是可行的。</w:t>
            </w:r>
          </w:p>
          <w:p w14:paraId="0AEC8D31">
            <w:pPr>
              <w:pStyle w:val="512"/>
              <w:bidi w:val="0"/>
            </w:pPr>
            <w:r>
              <w:rPr>
                <w:rFonts w:hint="eastAsia"/>
                <w:lang w:val="en-US" w:eastAsia="zh-CN"/>
              </w:rPr>
              <w:t>（4）</w:t>
            </w:r>
            <w:r>
              <w:t>废水排口信息</w:t>
            </w:r>
          </w:p>
          <w:p w14:paraId="56EDB43B">
            <w:pPr>
              <w:pStyle w:val="512"/>
              <w:bidi w:val="0"/>
            </w:pPr>
            <w:r>
              <w:t>本项目预处理后废水</w:t>
            </w:r>
            <w:r>
              <w:rPr>
                <w:rFonts w:hint="eastAsia"/>
                <w:lang w:eastAsia="zh-CN"/>
              </w:rPr>
              <w:t>通过中华药港污水站排口</w:t>
            </w:r>
            <w:r>
              <w:t>进</w:t>
            </w:r>
            <w:r>
              <w:rPr>
                <w:rFonts w:hint="eastAsia"/>
                <w:lang w:eastAsia="zh-CN"/>
              </w:rPr>
              <w:t>入</w:t>
            </w:r>
            <w:r>
              <w:t>临港产业区污水处理厂，废水排放口信息见表4-1</w:t>
            </w:r>
            <w:r>
              <w:rPr>
                <w:rFonts w:hint="eastAsia"/>
                <w:lang w:val="en-US" w:eastAsia="zh-CN"/>
              </w:rPr>
              <w:t>4</w:t>
            </w:r>
            <w:r>
              <w:t>。</w:t>
            </w:r>
          </w:p>
          <w:p w14:paraId="088209F7">
            <w:pPr>
              <w:pStyle w:val="1111"/>
              <w:bidi w:val="0"/>
            </w:pPr>
            <w:r>
              <w:t>表4-1</w:t>
            </w:r>
            <w:r>
              <w:rPr>
                <w:rFonts w:hint="eastAsia"/>
                <w:lang w:val="en-US" w:eastAsia="zh-CN"/>
              </w:rPr>
              <w:t>4</w:t>
            </w:r>
            <w:r>
              <w:t xml:space="preserve"> 废水排放口信息表</w:t>
            </w:r>
          </w:p>
          <w:tbl>
            <w:tblPr>
              <w:tblStyle w:val="7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2"/>
              <w:gridCol w:w="644"/>
              <w:gridCol w:w="924"/>
              <w:gridCol w:w="896"/>
              <w:gridCol w:w="674"/>
              <w:gridCol w:w="748"/>
              <w:gridCol w:w="469"/>
              <w:gridCol w:w="439"/>
              <w:gridCol w:w="780"/>
              <w:gridCol w:w="749"/>
              <w:gridCol w:w="934"/>
            </w:tblGrid>
            <w:tr w14:paraId="220A5F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3" w:hRule="atLeast"/>
                <w:jc w:val="center"/>
              </w:trPr>
              <w:tc>
                <w:tcPr>
                  <w:tcW w:w="250" w:type="pct"/>
                  <w:vMerge w:val="restart"/>
                  <w:noWrap w:val="0"/>
                  <w:vAlign w:val="center"/>
                </w:tcPr>
                <w:p w14:paraId="511BFB69">
                  <w:pPr>
                    <w:pStyle w:val="1111"/>
                    <w:bidi w:val="0"/>
                  </w:pPr>
                  <w:r>
                    <w:t>序号</w:t>
                  </w:r>
                </w:p>
              </w:tc>
              <w:tc>
                <w:tcPr>
                  <w:tcW w:w="421" w:type="pct"/>
                  <w:vMerge w:val="restart"/>
                  <w:noWrap w:val="0"/>
                  <w:vAlign w:val="center"/>
                </w:tcPr>
                <w:p w14:paraId="0176E795">
                  <w:pPr>
                    <w:pStyle w:val="1111"/>
                    <w:bidi w:val="0"/>
                  </w:pPr>
                  <w:r>
                    <w:t>排放口编号</w:t>
                  </w:r>
                </w:p>
              </w:tc>
              <w:tc>
                <w:tcPr>
                  <w:tcW w:w="1190" w:type="pct"/>
                  <w:gridSpan w:val="2"/>
                  <w:noWrap w:val="0"/>
                  <w:vAlign w:val="center"/>
                </w:tcPr>
                <w:p w14:paraId="5DCB164E">
                  <w:pPr>
                    <w:pStyle w:val="1111"/>
                    <w:bidi w:val="0"/>
                  </w:pPr>
                  <w:r>
                    <w:t>排放口地理坐标</w:t>
                  </w:r>
                </w:p>
              </w:tc>
              <w:tc>
                <w:tcPr>
                  <w:tcW w:w="441" w:type="pct"/>
                  <w:vMerge w:val="restart"/>
                  <w:noWrap w:val="0"/>
                  <w:vAlign w:val="center"/>
                </w:tcPr>
                <w:p w14:paraId="3C1A7EA5">
                  <w:pPr>
                    <w:pStyle w:val="1111"/>
                    <w:bidi w:val="0"/>
                  </w:pPr>
                  <w:r>
                    <w:t>本项目废水排放量m</w:t>
                  </w:r>
                  <w:r>
                    <w:rPr>
                      <w:vertAlign w:val="superscript"/>
                    </w:rPr>
                    <w:t>3</w:t>
                  </w:r>
                  <w:r>
                    <w:t>/a</w:t>
                  </w:r>
                </w:p>
              </w:tc>
              <w:tc>
                <w:tcPr>
                  <w:tcW w:w="489" w:type="pct"/>
                  <w:vMerge w:val="restart"/>
                  <w:noWrap w:val="0"/>
                  <w:vAlign w:val="center"/>
                </w:tcPr>
                <w:p w14:paraId="3BFB9D8D">
                  <w:pPr>
                    <w:pStyle w:val="1111"/>
                    <w:bidi w:val="0"/>
                  </w:pPr>
                  <w:r>
                    <w:t>排放去向</w:t>
                  </w:r>
                </w:p>
              </w:tc>
              <w:tc>
                <w:tcPr>
                  <w:tcW w:w="307" w:type="pct"/>
                  <w:vMerge w:val="restart"/>
                  <w:noWrap w:val="0"/>
                  <w:vAlign w:val="center"/>
                </w:tcPr>
                <w:p w14:paraId="60B077F3">
                  <w:pPr>
                    <w:pStyle w:val="1111"/>
                    <w:bidi w:val="0"/>
                  </w:pPr>
                  <w:r>
                    <w:t>排放规律</w:t>
                  </w:r>
                </w:p>
              </w:tc>
              <w:tc>
                <w:tcPr>
                  <w:tcW w:w="287" w:type="pct"/>
                  <w:vMerge w:val="restart"/>
                  <w:noWrap w:val="0"/>
                  <w:vAlign w:val="center"/>
                </w:tcPr>
                <w:p w14:paraId="152702EC">
                  <w:pPr>
                    <w:pStyle w:val="1111"/>
                    <w:bidi w:val="0"/>
                  </w:pPr>
                  <w:r>
                    <w:t>间歇排放时段</w:t>
                  </w:r>
                </w:p>
              </w:tc>
              <w:tc>
                <w:tcPr>
                  <w:tcW w:w="1611" w:type="pct"/>
                  <w:gridSpan w:val="3"/>
                  <w:noWrap w:val="0"/>
                  <w:vAlign w:val="center"/>
                </w:tcPr>
                <w:p w14:paraId="1EE3493B">
                  <w:pPr>
                    <w:pStyle w:val="1111"/>
                    <w:bidi w:val="0"/>
                  </w:pPr>
                  <w:r>
                    <w:t>受纳污水处理厂信息</w:t>
                  </w:r>
                </w:p>
              </w:tc>
            </w:tr>
            <w:tr w14:paraId="467775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50" w:type="pct"/>
                  <w:vMerge w:val="continue"/>
                  <w:noWrap w:val="0"/>
                  <w:vAlign w:val="center"/>
                </w:tcPr>
                <w:p w14:paraId="1898559C">
                  <w:pPr>
                    <w:pStyle w:val="1111"/>
                    <w:bidi w:val="0"/>
                  </w:pPr>
                </w:p>
              </w:tc>
              <w:tc>
                <w:tcPr>
                  <w:tcW w:w="421" w:type="pct"/>
                  <w:vMerge w:val="continue"/>
                  <w:noWrap w:val="0"/>
                  <w:vAlign w:val="center"/>
                </w:tcPr>
                <w:p w14:paraId="04C5B9AC">
                  <w:pPr>
                    <w:pStyle w:val="1111"/>
                    <w:bidi w:val="0"/>
                  </w:pPr>
                </w:p>
              </w:tc>
              <w:tc>
                <w:tcPr>
                  <w:tcW w:w="604" w:type="pct"/>
                  <w:noWrap w:val="0"/>
                  <w:vAlign w:val="center"/>
                </w:tcPr>
                <w:p w14:paraId="38AF1E37">
                  <w:pPr>
                    <w:pStyle w:val="1111"/>
                    <w:bidi w:val="0"/>
                  </w:pPr>
                  <w:r>
                    <w:t>经度</w:t>
                  </w:r>
                </w:p>
              </w:tc>
              <w:tc>
                <w:tcPr>
                  <w:tcW w:w="585" w:type="pct"/>
                  <w:noWrap w:val="0"/>
                  <w:vAlign w:val="center"/>
                </w:tcPr>
                <w:p w14:paraId="678B9D13">
                  <w:pPr>
                    <w:pStyle w:val="1111"/>
                    <w:bidi w:val="0"/>
                  </w:pPr>
                  <w:r>
                    <w:t>纬度</w:t>
                  </w:r>
                </w:p>
              </w:tc>
              <w:tc>
                <w:tcPr>
                  <w:tcW w:w="441" w:type="pct"/>
                  <w:vMerge w:val="continue"/>
                  <w:noWrap w:val="0"/>
                  <w:vAlign w:val="center"/>
                </w:tcPr>
                <w:p w14:paraId="4947252A">
                  <w:pPr>
                    <w:pStyle w:val="1111"/>
                    <w:bidi w:val="0"/>
                  </w:pPr>
                </w:p>
              </w:tc>
              <w:tc>
                <w:tcPr>
                  <w:tcW w:w="489" w:type="pct"/>
                  <w:vMerge w:val="continue"/>
                  <w:noWrap w:val="0"/>
                  <w:vAlign w:val="center"/>
                </w:tcPr>
                <w:p w14:paraId="0B775C8A">
                  <w:pPr>
                    <w:pStyle w:val="1111"/>
                    <w:bidi w:val="0"/>
                  </w:pPr>
                </w:p>
              </w:tc>
              <w:tc>
                <w:tcPr>
                  <w:tcW w:w="307" w:type="pct"/>
                  <w:vMerge w:val="continue"/>
                  <w:noWrap w:val="0"/>
                  <w:vAlign w:val="center"/>
                </w:tcPr>
                <w:p w14:paraId="2A887FBB">
                  <w:pPr>
                    <w:pStyle w:val="1111"/>
                    <w:bidi w:val="0"/>
                  </w:pPr>
                </w:p>
              </w:tc>
              <w:tc>
                <w:tcPr>
                  <w:tcW w:w="287" w:type="pct"/>
                  <w:vMerge w:val="continue"/>
                  <w:noWrap w:val="0"/>
                  <w:vAlign w:val="center"/>
                </w:tcPr>
                <w:p w14:paraId="5D9C2046">
                  <w:pPr>
                    <w:pStyle w:val="1111"/>
                    <w:bidi w:val="0"/>
                  </w:pPr>
                </w:p>
              </w:tc>
              <w:tc>
                <w:tcPr>
                  <w:tcW w:w="510" w:type="pct"/>
                  <w:noWrap w:val="0"/>
                  <w:vAlign w:val="center"/>
                </w:tcPr>
                <w:p w14:paraId="1045DC27">
                  <w:pPr>
                    <w:pStyle w:val="1111"/>
                    <w:bidi w:val="0"/>
                  </w:pPr>
                  <w:r>
                    <w:t>名称</w:t>
                  </w:r>
                </w:p>
              </w:tc>
              <w:tc>
                <w:tcPr>
                  <w:tcW w:w="490" w:type="pct"/>
                  <w:noWrap w:val="0"/>
                  <w:vAlign w:val="center"/>
                </w:tcPr>
                <w:p w14:paraId="204B5141">
                  <w:pPr>
                    <w:pStyle w:val="1111"/>
                    <w:bidi w:val="0"/>
                  </w:pPr>
                  <w:r>
                    <w:t>污染物种类</w:t>
                  </w:r>
                </w:p>
              </w:tc>
              <w:tc>
                <w:tcPr>
                  <w:tcW w:w="611" w:type="pct"/>
                  <w:noWrap w:val="0"/>
                  <w:vAlign w:val="center"/>
                </w:tcPr>
                <w:p w14:paraId="39F5A208">
                  <w:pPr>
                    <w:pStyle w:val="1111"/>
                    <w:bidi w:val="0"/>
                  </w:pPr>
                  <w:r>
                    <w:t>国家或地方污染物排放浓度限值mg/L</w:t>
                  </w:r>
                </w:p>
              </w:tc>
            </w:tr>
            <w:tr w14:paraId="68E7E0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3" w:hRule="atLeast"/>
                <w:jc w:val="center"/>
              </w:trPr>
              <w:tc>
                <w:tcPr>
                  <w:tcW w:w="250" w:type="pct"/>
                  <w:vMerge w:val="restart"/>
                  <w:noWrap w:val="0"/>
                  <w:vAlign w:val="center"/>
                </w:tcPr>
                <w:p w14:paraId="012995F7">
                  <w:pPr>
                    <w:pStyle w:val="1111"/>
                    <w:bidi w:val="0"/>
                  </w:pPr>
                  <w:r>
                    <w:t>1</w:t>
                  </w:r>
                </w:p>
              </w:tc>
              <w:tc>
                <w:tcPr>
                  <w:tcW w:w="421" w:type="pct"/>
                  <w:vMerge w:val="restart"/>
                  <w:noWrap w:val="0"/>
                  <w:vAlign w:val="center"/>
                </w:tcPr>
                <w:p w14:paraId="3580824C">
                  <w:pPr>
                    <w:pStyle w:val="1111"/>
                    <w:bidi w:val="0"/>
                  </w:pPr>
                  <w:r>
                    <w:t>DW001（依托</w:t>
                  </w:r>
                  <w:r>
                    <w:rPr>
                      <w:rFonts w:hint="eastAsia"/>
                      <w:lang w:eastAsia="zh-CN"/>
                    </w:rPr>
                    <w:t>中华药港污水站排口</w:t>
                  </w:r>
                  <w:r>
                    <w:t>）</w:t>
                  </w:r>
                </w:p>
              </w:tc>
              <w:tc>
                <w:tcPr>
                  <w:tcW w:w="604" w:type="pct"/>
                  <w:vMerge w:val="restart"/>
                  <w:noWrap w:val="0"/>
                  <w:vAlign w:val="center"/>
                </w:tcPr>
                <w:p w14:paraId="60143799">
                  <w:pPr>
                    <w:pStyle w:val="1111"/>
                    <w:bidi w:val="0"/>
                  </w:pPr>
                  <w:r>
                    <w:t>119.111864</w:t>
                  </w:r>
                </w:p>
              </w:tc>
              <w:tc>
                <w:tcPr>
                  <w:tcW w:w="585" w:type="pct"/>
                  <w:vMerge w:val="restart"/>
                  <w:noWrap w:val="0"/>
                  <w:vAlign w:val="center"/>
                </w:tcPr>
                <w:p w14:paraId="5F6E6727">
                  <w:pPr>
                    <w:pStyle w:val="1111"/>
                    <w:bidi w:val="0"/>
                  </w:pPr>
                  <w:r>
                    <w:t>34.602349</w:t>
                  </w:r>
                </w:p>
              </w:tc>
              <w:tc>
                <w:tcPr>
                  <w:tcW w:w="441" w:type="pct"/>
                  <w:vMerge w:val="restart"/>
                  <w:noWrap w:val="0"/>
                  <w:vAlign w:val="center"/>
                </w:tcPr>
                <w:p w14:paraId="70467A8B">
                  <w:pPr>
                    <w:pStyle w:val="1111"/>
                    <w:bidi w:val="0"/>
                  </w:pPr>
                  <w:r>
                    <w:t>192</w:t>
                  </w:r>
                </w:p>
              </w:tc>
              <w:tc>
                <w:tcPr>
                  <w:tcW w:w="489" w:type="pct"/>
                  <w:vMerge w:val="restart"/>
                  <w:noWrap w:val="0"/>
                  <w:vAlign w:val="center"/>
                </w:tcPr>
                <w:p w14:paraId="717311C8">
                  <w:pPr>
                    <w:pStyle w:val="1111"/>
                    <w:bidi w:val="0"/>
                  </w:pPr>
                  <w:r>
                    <w:t>开发区临港污水处理厂</w:t>
                  </w:r>
                </w:p>
              </w:tc>
              <w:tc>
                <w:tcPr>
                  <w:tcW w:w="307" w:type="pct"/>
                  <w:vMerge w:val="restart"/>
                  <w:noWrap w:val="0"/>
                  <w:vAlign w:val="center"/>
                </w:tcPr>
                <w:p w14:paraId="7A6CEF77">
                  <w:pPr>
                    <w:pStyle w:val="1111"/>
                    <w:bidi w:val="0"/>
                  </w:pPr>
                  <w:r>
                    <w:t>间断排放</w:t>
                  </w:r>
                </w:p>
              </w:tc>
              <w:tc>
                <w:tcPr>
                  <w:tcW w:w="287" w:type="pct"/>
                  <w:vMerge w:val="restart"/>
                  <w:noWrap w:val="0"/>
                  <w:vAlign w:val="center"/>
                </w:tcPr>
                <w:p w14:paraId="6DCD0851">
                  <w:pPr>
                    <w:pStyle w:val="1111"/>
                    <w:bidi w:val="0"/>
                  </w:pPr>
                  <w:r>
                    <w:t>/</w:t>
                  </w:r>
                </w:p>
              </w:tc>
              <w:tc>
                <w:tcPr>
                  <w:tcW w:w="510" w:type="pct"/>
                  <w:vMerge w:val="restart"/>
                  <w:noWrap w:val="0"/>
                  <w:vAlign w:val="center"/>
                </w:tcPr>
                <w:p w14:paraId="01B4DC60">
                  <w:pPr>
                    <w:pStyle w:val="1111"/>
                    <w:bidi w:val="0"/>
                  </w:pPr>
                  <w:r>
                    <w:t>开发区临港污水处理厂</w:t>
                  </w:r>
                </w:p>
              </w:tc>
              <w:tc>
                <w:tcPr>
                  <w:tcW w:w="490" w:type="pct"/>
                  <w:noWrap w:val="0"/>
                  <w:vAlign w:val="center"/>
                </w:tcPr>
                <w:p w14:paraId="34A67D9B">
                  <w:pPr>
                    <w:pStyle w:val="1111"/>
                    <w:bidi w:val="0"/>
                  </w:pPr>
                  <w:r>
                    <w:t>pH</w:t>
                  </w:r>
                </w:p>
              </w:tc>
              <w:tc>
                <w:tcPr>
                  <w:tcW w:w="611" w:type="pct"/>
                  <w:noWrap w:val="0"/>
                  <w:vAlign w:val="center"/>
                </w:tcPr>
                <w:p w14:paraId="63D0BA83">
                  <w:pPr>
                    <w:pStyle w:val="1111"/>
                    <w:bidi w:val="0"/>
                  </w:pPr>
                  <w:r>
                    <w:t>6-9</w:t>
                  </w:r>
                </w:p>
              </w:tc>
            </w:tr>
            <w:tr w14:paraId="799846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3" w:hRule="atLeast"/>
                <w:jc w:val="center"/>
              </w:trPr>
              <w:tc>
                <w:tcPr>
                  <w:tcW w:w="250" w:type="pct"/>
                  <w:vMerge w:val="continue"/>
                  <w:noWrap w:val="0"/>
                  <w:vAlign w:val="center"/>
                </w:tcPr>
                <w:p w14:paraId="58F7A000">
                  <w:pPr>
                    <w:pStyle w:val="1111"/>
                    <w:bidi w:val="0"/>
                  </w:pPr>
                </w:p>
              </w:tc>
              <w:tc>
                <w:tcPr>
                  <w:tcW w:w="421" w:type="pct"/>
                  <w:vMerge w:val="continue"/>
                  <w:noWrap w:val="0"/>
                  <w:vAlign w:val="center"/>
                </w:tcPr>
                <w:p w14:paraId="12885D07">
                  <w:pPr>
                    <w:pStyle w:val="1111"/>
                    <w:bidi w:val="0"/>
                  </w:pPr>
                </w:p>
              </w:tc>
              <w:tc>
                <w:tcPr>
                  <w:tcW w:w="604" w:type="pct"/>
                  <w:vMerge w:val="continue"/>
                  <w:noWrap w:val="0"/>
                  <w:vAlign w:val="center"/>
                </w:tcPr>
                <w:p w14:paraId="32B1B0FD">
                  <w:pPr>
                    <w:pStyle w:val="1111"/>
                    <w:bidi w:val="0"/>
                  </w:pPr>
                </w:p>
              </w:tc>
              <w:tc>
                <w:tcPr>
                  <w:tcW w:w="585" w:type="pct"/>
                  <w:vMerge w:val="continue"/>
                  <w:noWrap w:val="0"/>
                  <w:vAlign w:val="center"/>
                </w:tcPr>
                <w:p w14:paraId="5D65E793">
                  <w:pPr>
                    <w:pStyle w:val="1111"/>
                    <w:bidi w:val="0"/>
                  </w:pPr>
                </w:p>
              </w:tc>
              <w:tc>
                <w:tcPr>
                  <w:tcW w:w="441" w:type="pct"/>
                  <w:vMerge w:val="continue"/>
                  <w:noWrap w:val="0"/>
                  <w:vAlign w:val="center"/>
                </w:tcPr>
                <w:p w14:paraId="241601E0">
                  <w:pPr>
                    <w:pStyle w:val="1111"/>
                    <w:bidi w:val="0"/>
                  </w:pPr>
                </w:p>
              </w:tc>
              <w:tc>
                <w:tcPr>
                  <w:tcW w:w="489" w:type="pct"/>
                  <w:vMerge w:val="continue"/>
                  <w:noWrap w:val="0"/>
                  <w:vAlign w:val="center"/>
                </w:tcPr>
                <w:p w14:paraId="51A8B196">
                  <w:pPr>
                    <w:pStyle w:val="1111"/>
                    <w:bidi w:val="0"/>
                  </w:pPr>
                </w:p>
              </w:tc>
              <w:tc>
                <w:tcPr>
                  <w:tcW w:w="307" w:type="pct"/>
                  <w:vMerge w:val="continue"/>
                  <w:noWrap w:val="0"/>
                  <w:vAlign w:val="center"/>
                </w:tcPr>
                <w:p w14:paraId="0E0DDFD3">
                  <w:pPr>
                    <w:pStyle w:val="1111"/>
                    <w:bidi w:val="0"/>
                  </w:pPr>
                </w:p>
              </w:tc>
              <w:tc>
                <w:tcPr>
                  <w:tcW w:w="287" w:type="pct"/>
                  <w:vMerge w:val="continue"/>
                  <w:noWrap w:val="0"/>
                  <w:vAlign w:val="center"/>
                </w:tcPr>
                <w:p w14:paraId="62F1ABF4">
                  <w:pPr>
                    <w:pStyle w:val="1111"/>
                    <w:bidi w:val="0"/>
                  </w:pPr>
                </w:p>
              </w:tc>
              <w:tc>
                <w:tcPr>
                  <w:tcW w:w="510" w:type="pct"/>
                  <w:vMerge w:val="continue"/>
                  <w:noWrap w:val="0"/>
                  <w:vAlign w:val="center"/>
                </w:tcPr>
                <w:p w14:paraId="0FE3236E">
                  <w:pPr>
                    <w:pStyle w:val="1111"/>
                    <w:bidi w:val="0"/>
                  </w:pPr>
                </w:p>
              </w:tc>
              <w:tc>
                <w:tcPr>
                  <w:tcW w:w="490" w:type="pct"/>
                  <w:noWrap w:val="0"/>
                  <w:vAlign w:val="center"/>
                </w:tcPr>
                <w:p w14:paraId="59EDB9DD">
                  <w:pPr>
                    <w:pStyle w:val="1111"/>
                    <w:bidi w:val="0"/>
                  </w:pPr>
                  <w:r>
                    <w:t>COD</w:t>
                  </w:r>
                </w:p>
              </w:tc>
              <w:tc>
                <w:tcPr>
                  <w:tcW w:w="611" w:type="pct"/>
                  <w:noWrap w:val="0"/>
                  <w:vAlign w:val="center"/>
                </w:tcPr>
                <w:p w14:paraId="0DD6220E">
                  <w:pPr>
                    <w:pStyle w:val="1111"/>
                    <w:bidi w:val="0"/>
                  </w:pPr>
                  <w:r>
                    <w:t>50</w:t>
                  </w:r>
                </w:p>
              </w:tc>
            </w:tr>
            <w:tr w14:paraId="2A8C0E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3" w:hRule="atLeast"/>
                <w:jc w:val="center"/>
              </w:trPr>
              <w:tc>
                <w:tcPr>
                  <w:tcW w:w="250" w:type="pct"/>
                  <w:vMerge w:val="continue"/>
                  <w:noWrap w:val="0"/>
                  <w:vAlign w:val="center"/>
                </w:tcPr>
                <w:p w14:paraId="0EBFC173">
                  <w:pPr>
                    <w:pStyle w:val="1111"/>
                    <w:bidi w:val="0"/>
                  </w:pPr>
                </w:p>
              </w:tc>
              <w:tc>
                <w:tcPr>
                  <w:tcW w:w="421" w:type="pct"/>
                  <w:vMerge w:val="continue"/>
                  <w:noWrap w:val="0"/>
                  <w:vAlign w:val="center"/>
                </w:tcPr>
                <w:p w14:paraId="4E577DD1">
                  <w:pPr>
                    <w:pStyle w:val="1111"/>
                    <w:bidi w:val="0"/>
                  </w:pPr>
                </w:p>
              </w:tc>
              <w:tc>
                <w:tcPr>
                  <w:tcW w:w="604" w:type="pct"/>
                  <w:vMerge w:val="continue"/>
                  <w:noWrap w:val="0"/>
                  <w:vAlign w:val="center"/>
                </w:tcPr>
                <w:p w14:paraId="1344C164">
                  <w:pPr>
                    <w:pStyle w:val="1111"/>
                    <w:bidi w:val="0"/>
                  </w:pPr>
                </w:p>
              </w:tc>
              <w:tc>
                <w:tcPr>
                  <w:tcW w:w="585" w:type="pct"/>
                  <w:vMerge w:val="continue"/>
                  <w:noWrap w:val="0"/>
                  <w:vAlign w:val="center"/>
                </w:tcPr>
                <w:p w14:paraId="36ECEF26">
                  <w:pPr>
                    <w:pStyle w:val="1111"/>
                    <w:bidi w:val="0"/>
                  </w:pPr>
                </w:p>
              </w:tc>
              <w:tc>
                <w:tcPr>
                  <w:tcW w:w="441" w:type="pct"/>
                  <w:vMerge w:val="continue"/>
                  <w:noWrap w:val="0"/>
                  <w:vAlign w:val="center"/>
                </w:tcPr>
                <w:p w14:paraId="20E24F4C">
                  <w:pPr>
                    <w:pStyle w:val="1111"/>
                    <w:bidi w:val="0"/>
                  </w:pPr>
                </w:p>
              </w:tc>
              <w:tc>
                <w:tcPr>
                  <w:tcW w:w="489" w:type="pct"/>
                  <w:vMerge w:val="continue"/>
                  <w:noWrap w:val="0"/>
                  <w:vAlign w:val="center"/>
                </w:tcPr>
                <w:p w14:paraId="32AAB72A">
                  <w:pPr>
                    <w:pStyle w:val="1111"/>
                    <w:bidi w:val="0"/>
                  </w:pPr>
                </w:p>
              </w:tc>
              <w:tc>
                <w:tcPr>
                  <w:tcW w:w="307" w:type="pct"/>
                  <w:vMerge w:val="continue"/>
                  <w:noWrap w:val="0"/>
                  <w:vAlign w:val="center"/>
                </w:tcPr>
                <w:p w14:paraId="0A95A9C0">
                  <w:pPr>
                    <w:pStyle w:val="1111"/>
                    <w:bidi w:val="0"/>
                  </w:pPr>
                </w:p>
              </w:tc>
              <w:tc>
                <w:tcPr>
                  <w:tcW w:w="287" w:type="pct"/>
                  <w:vMerge w:val="continue"/>
                  <w:noWrap w:val="0"/>
                  <w:vAlign w:val="center"/>
                </w:tcPr>
                <w:p w14:paraId="247BF6D3">
                  <w:pPr>
                    <w:pStyle w:val="1111"/>
                    <w:bidi w:val="0"/>
                  </w:pPr>
                </w:p>
              </w:tc>
              <w:tc>
                <w:tcPr>
                  <w:tcW w:w="510" w:type="pct"/>
                  <w:vMerge w:val="continue"/>
                  <w:noWrap w:val="0"/>
                  <w:vAlign w:val="center"/>
                </w:tcPr>
                <w:p w14:paraId="14404831">
                  <w:pPr>
                    <w:pStyle w:val="1111"/>
                    <w:bidi w:val="0"/>
                  </w:pPr>
                </w:p>
              </w:tc>
              <w:tc>
                <w:tcPr>
                  <w:tcW w:w="490" w:type="pct"/>
                  <w:noWrap w:val="0"/>
                  <w:vAlign w:val="center"/>
                </w:tcPr>
                <w:p w14:paraId="6B457BF1">
                  <w:pPr>
                    <w:pStyle w:val="1111"/>
                    <w:bidi w:val="0"/>
                  </w:pPr>
                  <w:r>
                    <w:t>SS</w:t>
                  </w:r>
                </w:p>
              </w:tc>
              <w:tc>
                <w:tcPr>
                  <w:tcW w:w="611" w:type="pct"/>
                  <w:noWrap w:val="0"/>
                  <w:vAlign w:val="center"/>
                </w:tcPr>
                <w:p w14:paraId="3E9BF435">
                  <w:pPr>
                    <w:pStyle w:val="1111"/>
                    <w:bidi w:val="0"/>
                  </w:pPr>
                  <w:r>
                    <w:t>10</w:t>
                  </w:r>
                </w:p>
              </w:tc>
            </w:tr>
            <w:tr w14:paraId="0CCA1A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3" w:hRule="atLeast"/>
                <w:jc w:val="center"/>
              </w:trPr>
              <w:tc>
                <w:tcPr>
                  <w:tcW w:w="250" w:type="pct"/>
                  <w:vMerge w:val="continue"/>
                  <w:noWrap w:val="0"/>
                  <w:vAlign w:val="center"/>
                </w:tcPr>
                <w:p w14:paraId="4C6545F5">
                  <w:pPr>
                    <w:pStyle w:val="1111"/>
                    <w:bidi w:val="0"/>
                  </w:pPr>
                </w:p>
              </w:tc>
              <w:tc>
                <w:tcPr>
                  <w:tcW w:w="421" w:type="pct"/>
                  <w:vMerge w:val="continue"/>
                  <w:noWrap w:val="0"/>
                  <w:vAlign w:val="center"/>
                </w:tcPr>
                <w:p w14:paraId="6DAA9789">
                  <w:pPr>
                    <w:pStyle w:val="1111"/>
                    <w:bidi w:val="0"/>
                  </w:pPr>
                </w:p>
              </w:tc>
              <w:tc>
                <w:tcPr>
                  <w:tcW w:w="604" w:type="pct"/>
                  <w:vMerge w:val="continue"/>
                  <w:noWrap w:val="0"/>
                  <w:vAlign w:val="center"/>
                </w:tcPr>
                <w:p w14:paraId="07162B9A">
                  <w:pPr>
                    <w:pStyle w:val="1111"/>
                    <w:bidi w:val="0"/>
                  </w:pPr>
                </w:p>
              </w:tc>
              <w:tc>
                <w:tcPr>
                  <w:tcW w:w="585" w:type="pct"/>
                  <w:vMerge w:val="continue"/>
                  <w:noWrap w:val="0"/>
                  <w:vAlign w:val="center"/>
                </w:tcPr>
                <w:p w14:paraId="77F53138">
                  <w:pPr>
                    <w:pStyle w:val="1111"/>
                    <w:bidi w:val="0"/>
                  </w:pPr>
                </w:p>
              </w:tc>
              <w:tc>
                <w:tcPr>
                  <w:tcW w:w="441" w:type="pct"/>
                  <w:vMerge w:val="continue"/>
                  <w:noWrap w:val="0"/>
                  <w:vAlign w:val="center"/>
                </w:tcPr>
                <w:p w14:paraId="6E60286C">
                  <w:pPr>
                    <w:pStyle w:val="1111"/>
                    <w:bidi w:val="0"/>
                  </w:pPr>
                </w:p>
              </w:tc>
              <w:tc>
                <w:tcPr>
                  <w:tcW w:w="489" w:type="pct"/>
                  <w:vMerge w:val="continue"/>
                  <w:noWrap w:val="0"/>
                  <w:vAlign w:val="center"/>
                </w:tcPr>
                <w:p w14:paraId="5C173886">
                  <w:pPr>
                    <w:pStyle w:val="1111"/>
                    <w:bidi w:val="0"/>
                  </w:pPr>
                </w:p>
              </w:tc>
              <w:tc>
                <w:tcPr>
                  <w:tcW w:w="307" w:type="pct"/>
                  <w:vMerge w:val="continue"/>
                  <w:noWrap w:val="0"/>
                  <w:vAlign w:val="center"/>
                </w:tcPr>
                <w:p w14:paraId="4300190C">
                  <w:pPr>
                    <w:pStyle w:val="1111"/>
                    <w:bidi w:val="0"/>
                  </w:pPr>
                </w:p>
              </w:tc>
              <w:tc>
                <w:tcPr>
                  <w:tcW w:w="287" w:type="pct"/>
                  <w:vMerge w:val="continue"/>
                  <w:noWrap w:val="0"/>
                  <w:vAlign w:val="center"/>
                </w:tcPr>
                <w:p w14:paraId="1001AAC7">
                  <w:pPr>
                    <w:pStyle w:val="1111"/>
                    <w:bidi w:val="0"/>
                  </w:pPr>
                </w:p>
              </w:tc>
              <w:tc>
                <w:tcPr>
                  <w:tcW w:w="510" w:type="pct"/>
                  <w:vMerge w:val="continue"/>
                  <w:noWrap w:val="0"/>
                  <w:vAlign w:val="center"/>
                </w:tcPr>
                <w:p w14:paraId="239DF09D">
                  <w:pPr>
                    <w:pStyle w:val="1111"/>
                    <w:bidi w:val="0"/>
                  </w:pPr>
                </w:p>
              </w:tc>
              <w:tc>
                <w:tcPr>
                  <w:tcW w:w="490" w:type="pct"/>
                  <w:noWrap w:val="0"/>
                  <w:vAlign w:val="center"/>
                </w:tcPr>
                <w:p w14:paraId="4F87B938">
                  <w:pPr>
                    <w:pStyle w:val="1111"/>
                    <w:bidi w:val="0"/>
                  </w:pPr>
                  <w:r>
                    <w:t>总氮</w:t>
                  </w:r>
                </w:p>
              </w:tc>
              <w:tc>
                <w:tcPr>
                  <w:tcW w:w="611" w:type="pct"/>
                  <w:noWrap w:val="0"/>
                  <w:vAlign w:val="center"/>
                </w:tcPr>
                <w:p w14:paraId="53B3B180">
                  <w:pPr>
                    <w:pStyle w:val="1111"/>
                    <w:bidi w:val="0"/>
                  </w:pPr>
                  <w:r>
                    <w:t>15</w:t>
                  </w:r>
                </w:p>
              </w:tc>
            </w:tr>
            <w:tr w14:paraId="3C32AD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3" w:hRule="atLeast"/>
                <w:jc w:val="center"/>
              </w:trPr>
              <w:tc>
                <w:tcPr>
                  <w:tcW w:w="250" w:type="pct"/>
                  <w:vMerge w:val="continue"/>
                  <w:noWrap w:val="0"/>
                  <w:vAlign w:val="center"/>
                </w:tcPr>
                <w:p w14:paraId="45220055">
                  <w:pPr>
                    <w:pStyle w:val="1111"/>
                    <w:bidi w:val="0"/>
                  </w:pPr>
                </w:p>
              </w:tc>
              <w:tc>
                <w:tcPr>
                  <w:tcW w:w="421" w:type="pct"/>
                  <w:vMerge w:val="continue"/>
                  <w:noWrap w:val="0"/>
                  <w:vAlign w:val="center"/>
                </w:tcPr>
                <w:p w14:paraId="27F55512">
                  <w:pPr>
                    <w:pStyle w:val="1111"/>
                    <w:bidi w:val="0"/>
                  </w:pPr>
                </w:p>
              </w:tc>
              <w:tc>
                <w:tcPr>
                  <w:tcW w:w="604" w:type="pct"/>
                  <w:vMerge w:val="continue"/>
                  <w:noWrap w:val="0"/>
                  <w:vAlign w:val="center"/>
                </w:tcPr>
                <w:p w14:paraId="4B8C203D">
                  <w:pPr>
                    <w:pStyle w:val="1111"/>
                    <w:bidi w:val="0"/>
                  </w:pPr>
                </w:p>
              </w:tc>
              <w:tc>
                <w:tcPr>
                  <w:tcW w:w="585" w:type="pct"/>
                  <w:vMerge w:val="continue"/>
                  <w:noWrap w:val="0"/>
                  <w:vAlign w:val="center"/>
                </w:tcPr>
                <w:p w14:paraId="29F5F550">
                  <w:pPr>
                    <w:pStyle w:val="1111"/>
                    <w:bidi w:val="0"/>
                  </w:pPr>
                </w:p>
              </w:tc>
              <w:tc>
                <w:tcPr>
                  <w:tcW w:w="441" w:type="pct"/>
                  <w:vMerge w:val="continue"/>
                  <w:noWrap w:val="0"/>
                  <w:vAlign w:val="center"/>
                </w:tcPr>
                <w:p w14:paraId="3BB77DAE">
                  <w:pPr>
                    <w:pStyle w:val="1111"/>
                    <w:bidi w:val="0"/>
                  </w:pPr>
                </w:p>
              </w:tc>
              <w:tc>
                <w:tcPr>
                  <w:tcW w:w="489" w:type="pct"/>
                  <w:vMerge w:val="continue"/>
                  <w:noWrap w:val="0"/>
                  <w:vAlign w:val="center"/>
                </w:tcPr>
                <w:p w14:paraId="5E247D1B">
                  <w:pPr>
                    <w:pStyle w:val="1111"/>
                    <w:bidi w:val="0"/>
                  </w:pPr>
                </w:p>
              </w:tc>
              <w:tc>
                <w:tcPr>
                  <w:tcW w:w="307" w:type="pct"/>
                  <w:vMerge w:val="continue"/>
                  <w:noWrap w:val="0"/>
                  <w:vAlign w:val="center"/>
                </w:tcPr>
                <w:p w14:paraId="3CFA2D98">
                  <w:pPr>
                    <w:pStyle w:val="1111"/>
                    <w:bidi w:val="0"/>
                  </w:pPr>
                </w:p>
              </w:tc>
              <w:tc>
                <w:tcPr>
                  <w:tcW w:w="287" w:type="pct"/>
                  <w:vMerge w:val="continue"/>
                  <w:noWrap w:val="0"/>
                  <w:vAlign w:val="center"/>
                </w:tcPr>
                <w:p w14:paraId="14DBEB06">
                  <w:pPr>
                    <w:pStyle w:val="1111"/>
                    <w:bidi w:val="0"/>
                  </w:pPr>
                </w:p>
              </w:tc>
              <w:tc>
                <w:tcPr>
                  <w:tcW w:w="510" w:type="pct"/>
                  <w:vMerge w:val="continue"/>
                  <w:noWrap w:val="0"/>
                  <w:vAlign w:val="center"/>
                </w:tcPr>
                <w:p w14:paraId="2575794C">
                  <w:pPr>
                    <w:pStyle w:val="1111"/>
                    <w:bidi w:val="0"/>
                  </w:pPr>
                </w:p>
              </w:tc>
              <w:tc>
                <w:tcPr>
                  <w:tcW w:w="490" w:type="pct"/>
                  <w:noWrap w:val="0"/>
                  <w:vAlign w:val="center"/>
                </w:tcPr>
                <w:p w14:paraId="3E71072E">
                  <w:pPr>
                    <w:pStyle w:val="1111"/>
                    <w:bidi w:val="0"/>
                  </w:pPr>
                  <w:r>
                    <w:t>氨氮</w:t>
                  </w:r>
                </w:p>
              </w:tc>
              <w:tc>
                <w:tcPr>
                  <w:tcW w:w="611" w:type="pct"/>
                  <w:noWrap w:val="0"/>
                  <w:vAlign w:val="center"/>
                </w:tcPr>
                <w:p w14:paraId="5977DB8D">
                  <w:pPr>
                    <w:pStyle w:val="1111"/>
                    <w:bidi w:val="0"/>
                  </w:pPr>
                  <w:r>
                    <w:t>5</w:t>
                  </w:r>
                </w:p>
              </w:tc>
            </w:tr>
            <w:tr w14:paraId="0B7C1B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3" w:hRule="atLeast"/>
                <w:jc w:val="center"/>
              </w:trPr>
              <w:tc>
                <w:tcPr>
                  <w:tcW w:w="250" w:type="pct"/>
                  <w:vMerge w:val="continue"/>
                  <w:noWrap w:val="0"/>
                  <w:vAlign w:val="center"/>
                </w:tcPr>
                <w:p w14:paraId="233E3554">
                  <w:pPr>
                    <w:pStyle w:val="1111"/>
                    <w:bidi w:val="0"/>
                  </w:pPr>
                </w:p>
              </w:tc>
              <w:tc>
                <w:tcPr>
                  <w:tcW w:w="421" w:type="pct"/>
                  <w:vMerge w:val="continue"/>
                  <w:noWrap w:val="0"/>
                  <w:vAlign w:val="center"/>
                </w:tcPr>
                <w:p w14:paraId="3C71655E">
                  <w:pPr>
                    <w:pStyle w:val="1111"/>
                    <w:bidi w:val="0"/>
                  </w:pPr>
                </w:p>
              </w:tc>
              <w:tc>
                <w:tcPr>
                  <w:tcW w:w="604" w:type="pct"/>
                  <w:vMerge w:val="continue"/>
                  <w:noWrap w:val="0"/>
                  <w:vAlign w:val="center"/>
                </w:tcPr>
                <w:p w14:paraId="2FF52C84">
                  <w:pPr>
                    <w:pStyle w:val="1111"/>
                    <w:bidi w:val="0"/>
                  </w:pPr>
                </w:p>
              </w:tc>
              <w:tc>
                <w:tcPr>
                  <w:tcW w:w="585" w:type="pct"/>
                  <w:vMerge w:val="continue"/>
                  <w:noWrap w:val="0"/>
                  <w:vAlign w:val="center"/>
                </w:tcPr>
                <w:p w14:paraId="66C974C0">
                  <w:pPr>
                    <w:pStyle w:val="1111"/>
                    <w:bidi w:val="0"/>
                  </w:pPr>
                </w:p>
              </w:tc>
              <w:tc>
                <w:tcPr>
                  <w:tcW w:w="441" w:type="pct"/>
                  <w:vMerge w:val="continue"/>
                  <w:noWrap w:val="0"/>
                  <w:vAlign w:val="center"/>
                </w:tcPr>
                <w:p w14:paraId="172B3A6A">
                  <w:pPr>
                    <w:pStyle w:val="1111"/>
                    <w:bidi w:val="0"/>
                  </w:pPr>
                </w:p>
              </w:tc>
              <w:tc>
                <w:tcPr>
                  <w:tcW w:w="489" w:type="pct"/>
                  <w:vMerge w:val="continue"/>
                  <w:noWrap w:val="0"/>
                  <w:vAlign w:val="center"/>
                </w:tcPr>
                <w:p w14:paraId="1CDB6C37">
                  <w:pPr>
                    <w:pStyle w:val="1111"/>
                    <w:bidi w:val="0"/>
                  </w:pPr>
                </w:p>
              </w:tc>
              <w:tc>
                <w:tcPr>
                  <w:tcW w:w="307" w:type="pct"/>
                  <w:vMerge w:val="continue"/>
                  <w:noWrap w:val="0"/>
                  <w:vAlign w:val="center"/>
                </w:tcPr>
                <w:p w14:paraId="5187DA73">
                  <w:pPr>
                    <w:pStyle w:val="1111"/>
                    <w:bidi w:val="0"/>
                  </w:pPr>
                </w:p>
              </w:tc>
              <w:tc>
                <w:tcPr>
                  <w:tcW w:w="287" w:type="pct"/>
                  <w:vMerge w:val="continue"/>
                  <w:noWrap w:val="0"/>
                  <w:vAlign w:val="center"/>
                </w:tcPr>
                <w:p w14:paraId="29D8CF31">
                  <w:pPr>
                    <w:pStyle w:val="1111"/>
                    <w:bidi w:val="0"/>
                  </w:pPr>
                </w:p>
              </w:tc>
              <w:tc>
                <w:tcPr>
                  <w:tcW w:w="510" w:type="pct"/>
                  <w:vMerge w:val="continue"/>
                  <w:noWrap w:val="0"/>
                  <w:vAlign w:val="center"/>
                </w:tcPr>
                <w:p w14:paraId="23B12EBD">
                  <w:pPr>
                    <w:pStyle w:val="1111"/>
                    <w:bidi w:val="0"/>
                  </w:pPr>
                </w:p>
              </w:tc>
              <w:tc>
                <w:tcPr>
                  <w:tcW w:w="490" w:type="pct"/>
                  <w:noWrap w:val="0"/>
                  <w:vAlign w:val="center"/>
                </w:tcPr>
                <w:p w14:paraId="43CB824E">
                  <w:pPr>
                    <w:pStyle w:val="1111"/>
                    <w:bidi w:val="0"/>
                  </w:pPr>
                  <w:r>
                    <w:t>总磷</w:t>
                  </w:r>
                </w:p>
              </w:tc>
              <w:tc>
                <w:tcPr>
                  <w:tcW w:w="611" w:type="pct"/>
                  <w:noWrap w:val="0"/>
                  <w:vAlign w:val="center"/>
                </w:tcPr>
                <w:p w14:paraId="7E077313">
                  <w:pPr>
                    <w:pStyle w:val="1111"/>
                    <w:bidi w:val="0"/>
                  </w:pPr>
                  <w:r>
                    <w:t>0.5</w:t>
                  </w:r>
                </w:p>
              </w:tc>
            </w:tr>
          </w:tbl>
          <w:p w14:paraId="1CC5E773">
            <w:pPr>
              <w:pStyle w:val="1111"/>
              <w:bidi w:val="0"/>
            </w:pPr>
            <w:r>
              <w:t>表4-</w:t>
            </w:r>
            <w:r>
              <w:rPr>
                <w:rFonts w:hint="eastAsia"/>
                <w:lang w:val="en-US" w:eastAsia="zh-CN"/>
              </w:rPr>
              <w:t>15</w:t>
            </w:r>
            <w:r>
              <w:t xml:space="preserve"> 废水污染物排放执行标准表</w:t>
            </w:r>
          </w:p>
          <w:tbl>
            <w:tblPr>
              <w:tblStyle w:val="7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8"/>
              <w:gridCol w:w="1059"/>
              <w:gridCol w:w="1323"/>
              <w:gridCol w:w="2466"/>
              <w:gridCol w:w="1913"/>
            </w:tblGrid>
            <w:tr w14:paraId="5A3704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5" w:type="pct"/>
                  <w:vMerge w:val="restart"/>
                  <w:noWrap w:val="0"/>
                  <w:vAlign w:val="center"/>
                </w:tcPr>
                <w:p w14:paraId="11FB267D">
                  <w:pPr>
                    <w:pStyle w:val="1111"/>
                    <w:bidi w:val="0"/>
                  </w:pPr>
                  <w:r>
                    <w:t>序号</w:t>
                  </w:r>
                </w:p>
              </w:tc>
              <w:tc>
                <w:tcPr>
                  <w:tcW w:w="693" w:type="pct"/>
                  <w:vMerge w:val="restart"/>
                  <w:noWrap w:val="0"/>
                  <w:vAlign w:val="center"/>
                </w:tcPr>
                <w:p w14:paraId="6E48B8C7">
                  <w:pPr>
                    <w:pStyle w:val="1111"/>
                    <w:bidi w:val="0"/>
                  </w:pPr>
                  <w:r>
                    <w:t>排放口编号</w:t>
                  </w:r>
                </w:p>
              </w:tc>
              <w:tc>
                <w:tcPr>
                  <w:tcW w:w="866" w:type="pct"/>
                  <w:vMerge w:val="restart"/>
                  <w:noWrap w:val="0"/>
                  <w:vAlign w:val="center"/>
                </w:tcPr>
                <w:p w14:paraId="3E1420CC">
                  <w:pPr>
                    <w:pStyle w:val="1111"/>
                    <w:bidi w:val="0"/>
                  </w:pPr>
                  <w:r>
                    <w:t>污染物种类</w:t>
                  </w:r>
                </w:p>
              </w:tc>
              <w:tc>
                <w:tcPr>
                  <w:tcW w:w="2866" w:type="pct"/>
                  <w:gridSpan w:val="2"/>
                  <w:noWrap w:val="0"/>
                  <w:vAlign w:val="center"/>
                </w:tcPr>
                <w:p w14:paraId="118DE9D9">
                  <w:pPr>
                    <w:pStyle w:val="1111"/>
                    <w:bidi w:val="0"/>
                  </w:pPr>
                  <w:r>
                    <w:t>国家或地方污染物排放标准及其他按规定商定的排放协议</w:t>
                  </w:r>
                </w:p>
              </w:tc>
            </w:tr>
            <w:tr w14:paraId="6CDCBB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5" w:type="pct"/>
                  <w:vMerge w:val="continue"/>
                  <w:noWrap w:val="0"/>
                  <w:vAlign w:val="center"/>
                </w:tcPr>
                <w:p w14:paraId="7455A92C">
                  <w:pPr>
                    <w:pStyle w:val="1111"/>
                    <w:bidi w:val="0"/>
                  </w:pPr>
                </w:p>
              </w:tc>
              <w:tc>
                <w:tcPr>
                  <w:tcW w:w="693" w:type="pct"/>
                  <w:vMerge w:val="continue"/>
                  <w:noWrap w:val="0"/>
                  <w:vAlign w:val="center"/>
                </w:tcPr>
                <w:p w14:paraId="3919F214">
                  <w:pPr>
                    <w:pStyle w:val="1111"/>
                    <w:bidi w:val="0"/>
                  </w:pPr>
                </w:p>
              </w:tc>
              <w:tc>
                <w:tcPr>
                  <w:tcW w:w="866" w:type="pct"/>
                  <w:vMerge w:val="continue"/>
                  <w:noWrap w:val="0"/>
                  <w:vAlign w:val="center"/>
                </w:tcPr>
                <w:p w14:paraId="12B11DDE">
                  <w:pPr>
                    <w:pStyle w:val="1111"/>
                    <w:bidi w:val="0"/>
                  </w:pPr>
                </w:p>
              </w:tc>
              <w:tc>
                <w:tcPr>
                  <w:tcW w:w="1614" w:type="pct"/>
                  <w:noWrap w:val="0"/>
                  <w:vAlign w:val="center"/>
                </w:tcPr>
                <w:p w14:paraId="2159F5EB">
                  <w:pPr>
                    <w:pStyle w:val="1111"/>
                    <w:bidi w:val="0"/>
                  </w:pPr>
                  <w:r>
                    <w:t>名称</w:t>
                  </w:r>
                </w:p>
              </w:tc>
              <w:tc>
                <w:tcPr>
                  <w:tcW w:w="1252" w:type="pct"/>
                  <w:noWrap w:val="0"/>
                  <w:vAlign w:val="center"/>
                </w:tcPr>
                <w:p w14:paraId="64335A76">
                  <w:pPr>
                    <w:pStyle w:val="1111"/>
                    <w:bidi w:val="0"/>
                  </w:pPr>
                  <w:r>
                    <w:t>浓度限值mg/L</w:t>
                  </w:r>
                </w:p>
              </w:tc>
            </w:tr>
            <w:tr w14:paraId="216D3A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5" w:type="pct"/>
                  <w:vMerge w:val="restart"/>
                  <w:noWrap w:val="0"/>
                  <w:vAlign w:val="center"/>
                </w:tcPr>
                <w:p w14:paraId="24007740">
                  <w:pPr>
                    <w:pStyle w:val="1111"/>
                    <w:bidi w:val="0"/>
                  </w:pPr>
                  <w:r>
                    <w:t>1</w:t>
                  </w:r>
                </w:p>
              </w:tc>
              <w:tc>
                <w:tcPr>
                  <w:tcW w:w="693" w:type="pct"/>
                  <w:vMerge w:val="restart"/>
                  <w:noWrap w:val="0"/>
                  <w:vAlign w:val="center"/>
                </w:tcPr>
                <w:p w14:paraId="6447F429">
                  <w:pPr>
                    <w:pStyle w:val="1111"/>
                    <w:bidi w:val="0"/>
                  </w:pPr>
                  <w:r>
                    <w:t>DW001</w:t>
                  </w:r>
                </w:p>
                <w:p w14:paraId="5F29ED91">
                  <w:pPr>
                    <w:pStyle w:val="1111"/>
                    <w:bidi w:val="0"/>
                  </w:pPr>
                  <w:r>
                    <w:t>（依托现有）</w:t>
                  </w:r>
                </w:p>
              </w:tc>
              <w:tc>
                <w:tcPr>
                  <w:tcW w:w="866" w:type="pct"/>
                  <w:noWrap w:val="0"/>
                  <w:vAlign w:val="center"/>
                </w:tcPr>
                <w:p w14:paraId="0172CFBF">
                  <w:pPr>
                    <w:pStyle w:val="1111"/>
                    <w:bidi w:val="0"/>
                  </w:pPr>
                  <w:r>
                    <w:t>COD</w:t>
                  </w:r>
                </w:p>
              </w:tc>
              <w:tc>
                <w:tcPr>
                  <w:tcW w:w="1614" w:type="pct"/>
                  <w:vMerge w:val="restart"/>
                  <w:noWrap w:val="0"/>
                  <w:vAlign w:val="center"/>
                </w:tcPr>
                <w:p w14:paraId="36B28FB8">
                  <w:pPr>
                    <w:pStyle w:val="1111"/>
                    <w:bidi w:val="0"/>
                  </w:pPr>
                  <w:r>
                    <w:t>《生物制药行业水和大气污染物排放限值》</w:t>
                  </w:r>
                  <w:r>
                    <w:rPr>
                      <w:rFonts w:hint="eastAsia"/>
                      <w:lang w:eastAsia="zh-CN"/>
                    </w:rPr>
                    <w:t>（</w:t>
                  </w:r>
                  <w:r>
                    <w:t>DB32/3560-2019</w:t>
                  </w:r>
                  <w:r>
                    <w:rPr>
                      <w:rFonts w:hint="eastAsia"/>
                      <w:lang w:eastAsia="zh-CN"/>
                    </w:rPr>
                    <w:t>）</w:t>
                  </w:r>
                  <w:r>
                    <w:t>表2间接排放限值及《污水排入城镇下水道水质标准》</w:t>
                  </w:r>
                  <w:r>
                    <w:rPr>
                      <w:rFonts w:hint="eastAsia"/>
                      <w:lang w:eastAsia="zh-CN"/>
                    </w:rPr>
                    <w:t>（</w:t>
                  </w:r>
                  <w:r>
                    <w:t>GB/T31962-2015</w:t>
                  </w:r>
                  <w:r>
                    <w:rPr>
                      <w:rFonts w:hint="eastAsia"/>
                      <w:lang w:eastAsia="zh-CN"/>
                    </w:rPr>
                    <w:t>）</w:t>
                  </w:r>
                  <w:r>
                    <w:t>表1中A等级标准</w:t>
                  </w:r>
                </w:p>
              </w:tc>
              <w:tc>
                <w:tcPr>
                  <w:tcW w:w="1252" w:type="pct"/>
                  <w:noWrap w:val="0"/>
                  <w:vAlign w:val="center"/>
                </w:tcPr>
                <w:p w14:paraId="26E3C18C">
                  <w:pPr>
                    <w:pStyle w:val="1111"/>
                    <w:bidi w:val="0"/>
                  </w:pPr>
                  <w:r>
                    <w:t>500</w:t>
                  </w:r>
                </w:p>
              </w:tc>
            </w:tr>
            <w:tr w14:paraId="1BF2B5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5" w:type="pct"/>
                  <w:vMerge w:val="continue"/>
                  <w:noWrap w:val="0"/>
                  <w:vAlign w:val="center"/>
                </w:tcPr>
                <w:p w14:paraId="0763269F">
                  <w:pPr>
                    <w:pStyle w:val="1111"/>
                    <w:bidi w:val="0"/>
                  </w:pPr>
                </w:p>
              </w:tc>
              <w:tc>
                <w:tcPr>
                  <w:tcW w:w="693" w:type="pct"/>
                  <w:vMerge w:val="continue"/>
                  <w:noWrap w:val="0"/>
                  <w:vAlign w:val="center"/>
                </w:tcPr>
                <w:p w14:paraId="36A249BC">
                  <w:pPr>
                    <w:pStyle w:val="1111"/>
                    <w:bidi w:val="0"/>
                  </w:pPr>
                </w:p>
              </w:tc>
              <w:tc>
                <w:tcPr>
                  <w:tcW w:w="866" w:type="pct"/>
                  <w:noWrap w:val="0"/>
                  <w:vAlign w:val="center"/>
                </w:tcPr>
                <w:p w14:paraId="5C3D66F8">
                  <w:pPr>
                    <w:pStyle w:val="1111"/>
                    <w:bidi w:val="0"/>
                  </w:pPr>
                  <w:r>
                    <w:t>SS</w:t>
                  </w:r>
                </w:p>
              </w:tc>
              <w:tc>
                <w:tcPr>
                  <w:tcW w:w="1614" w:type="pct"/>
                  <w:vMerge w:val="continue"/>
                  <w:noWrap w:val="0"/>
                  <w:vAlign w:val="center"/>
                </w:tcPr>
                <w:p w14:paraId="65FE3AD9">
                  <w:pPr>
                    <w:pStyle w:val="1111"/>
                    <w:bidi w:val="0"/>
                  </w:pPr>
                </w:p>
              </w:tc>
              <w:tc>
                <w:tcPr>
                  <w:tcW w:w="1252" w:type="pct"/>
                  <w:noWrap w:val="0"/>
                  <w:vAlign w:val="center"/>
                </w:tcPr>
                <w:p w14:paraId="731D0E9D">
                  <w:pPr>
                    <w:pStyle w:val="1111"/>
                    <w:bidi w:val="0"/>
                  </w:pPr>
                  <w:r>
                    <w:t>120</w:t>
                  </w:r>
                </w:p>
              </w:tc>
            </w:tr>
            <w:tr w14:paraId="288F69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575" w:type="pct"/>
                  <w:vMerge w:val="continue"/>
                  <w:noWrap w:val="0"/>
                  <w:vAlign w:val="center"/>
                </w:tcPr>
                <w:p w14:paraId="05C2B782">
                  <w:pPr>
                    <w:pStyle w:val="1111"/>
                    <w:bidi w:val="0"/>
                  </w:pPr>
                </w:p>
              </w:tc>
              <w:tc>
                <w:tcPr>
                  <w:tcW w:w="693" w:type="pct"/>
                  <w:vMerge w:val="continue"/>
                  <w:noWrap w:val="0"/>
                  <w:vAlign w:val="center"/>
                </w:tcPr>
                <w:p w14:paraId="4176AEF6">
                  <w:pPr>
                    <w:pStyle w:val="1111"/>
                    <w:bidi w:val="0"/>
                  </w:pPr>
                </w:p>
              </w:tc>
              <w:tc>
                <w:tcPr>
                  <w:tcW w:w="866" w:type="pct"/>
                  <w:noWrap w:val="0"/>
                  <w:vAlign w:val="center"/>
                </w:tcPr>
                <w:p w14:paraId="55490BC9">
                  <w:pPr>
                    <w:pStyle w:val="1111"/>
                    <w:bidi w:val="0"/>
                  </w:pPr>
                  <w:r>
                    <w:t>总氮</w:t>
                  </w:r>
                </w:p>
              </w:tc>
              <w:tc>
                <w:tcPr>
                  <w:tcW w:w="1614" w:type="pct"/>
                  <w:vMerge w:val="continue"/>
                  <w:noWrap w:val="0"/>
                  <w:vAlign w:val="center"/>
                </w:tcPr>
                <w:p w14:paraId="43B046AF">
                  <w:pPr>
                    <w:pStyle w:val="1111"/>
                    <w:bidi w:val="0"/>
                  </w:pPr>
                </w:p>
              </w:tc>
              <w:tc>
                <w:tcPr>
                  <w:tcW w:w="1252" w:type="pct"/>
                  <w:noWrap w:val="0"/>
                  <w:vAlign w:val="center"/>
                </w:tcPr>
                <w:p w14:paraId="64DA9B90">
                  <w:pPr>
                    <w:pStyle w:val="1111"/>
                    <w:bidi w:val="0"/>
                  </w:pPr>
                  <w:r>
                    <w:t>35</w:t>
                  </w:r>
                </w:p>
              </w:tc>
            </w:tr>
            <w:tr w14:paraId="5A1D5E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5" w:type="pct"/>
                  <w:vMerge w:val="continue"/>
                  <w:noWrap w:val="0"/>
                  <w:vAlign w:val="center"/>
                </w:tcPr>
                <w:p w14:paraId="53FD3C7A">
                  <w:pPr>
                    <w:pStyle w:val="1111"/>
                    <w:bidi w:val="0"/>
                  </w:pPr>
                </w:p>
              </w:tc>
              <w:tc>
                <w:tcPr>
                  <w:tcW w:w="693" w:type="pct"/>
                  <w:vMerge w:val="continue"/>
                  <w:noWrap w:val="0"/>
                  <w:vAlign w:val="center"/>
                </w:tcPr>
                <w:p w14:paraId="268B1A5F">
                  <w:pPr>
                    <w:pStyle w:val="1111"/>
                    <w:bidi w:val="0"/>
                  </w:pPr>
                </w:p>
              </w:tc>
              <w:tc>
                <w:tcPr>
                  <w:tcW w:w="866" w:type="pct"/>
                  <w:noWrap w:val="0"/>
                  <w:vAlign w:val="center"/>
                </w:tcPr>
                <w:p w14:paraId="4CE97B42">
                  <w:pPr>
                    <w:pStyle w:val="1111"/>
                    <w:bidi w:val="0"/>
                  </w:pPr>
                  <w:r>
                    <w:t>氨氮</w:t>
                  </w:r>
                </w:p>
              </w:tc>
              <w:tc>
                <w:tcPr>
                  <w:tcW w:w="1614" w:type="pct"/>
                  <w:vMerge w:val="continue"/>
                  <w:noWrap w:val="0"/>
                  <w:vAlign w:val="center"/>
                </w:tcPr>
                <w:p w14:paraId="6B99A021">
                  <w:pPr>
                    <w:pStyle w:val="1111"/>
                    <w:bidi w:val="0"/>
                  </w:pPr>
                </w:p>
              </w:tc>
              <w:tc>
                <w:tcPr>
                  <w:tcW w:w="1252" w:type="pct"/>
                  <w:noWrap w:val="0"/>
                  <w:vAlign w:val="center"/>
                </w:tcPr>
                <w:p w14:paraId="7E0116CA">
                  <w:pPr>
                    <w:pStyle w:val="1111"/>
                    <w:bidi w:val="0"/>
                  </w:pPr>
                  <w:r>
                    <w:t>60</w:t>
                  </w:r>
                </w:p>
              </w:tc>
            </w:tr>
            <w:tr w14:paraId="0E7C8F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575" w:type="pct"/>
                  <w:vMerge w:val="continue"/>
                  <w:noWrap w:val="0"/>
                  <w:vAlign w:val="center"/>
                </w:tcPr>
                <w:p w14:paraId="6E01C915">
                  <w:pPr>
                    <w:pStyle w:val="1111"/>
                    <w:bidi w:val="0"/>
                  </w:pPr>
                </w:p>
              </w:tc>
              <w:tc>
                <w:tcPr>
                  <w:tcW w:w="693" w:type="pct"/>
                  <w:vMerge w:val="continue"/>
                  <w:noWrap w:val="0"/>
                  <w:vAlign w:val="center"/>
                </w:tcPr>
                <w:p w14:paraId="71E60BB9">
                  <w:pPr>
                    <w:pStyle w:val="1111"/>
                    <w:bidi w:val="0"/>
                  </w:pPr>
                </w:p>
              </w:tc>
              <w:tc>
                <w:tcPr>
                  <w:tcW w:w="866" w:type="pct"/>
                  <w:noWrap w:val="0"/>
                  <w:vAlign w:val="center"/>
                </w:tcPr>
                <w:p w14:paraId="11CB90AC">
                  <w:pPr>
                    <w:pStyle w:val="1111"/>
                    <w:bidi w:val="0"/>
                  </w:pPr>
                  <w:r>
                    <w:t>总磷</w:t>
                  </w:r>
                </w:p>
              </w:tc>
              <w:tc>
                <w:tcPr>
                  <w:tcW w:w="1614" w:type="pct"/>
                  <w:vMerge w:val="continue"/>
                  <w:noWrap w:val="0"/>
                  <w:vAlign w:val="center"/>
                </w:tcPr>
                <w:p w14:paraId="38FD059D">
                  <w:pPr>
                    <w:pStyle w:val="1111"/>
                    <w:bidi w:val="0"/>
                  </w:pPr>
                </w:p>
              </w:tc>
              <w:tc>
                <w:tcPr>
                  <w:tcW w:w="1252" w:type="pct"/>
                  <w:noWrap w:val="0"/>
                  <w:vAlign w:val="center"/>
                </w:tcPr>
                <w:p w14:paraId="259B19CE">
                  <w:pPr>
                    <w:pStyle w:val="1111"/>
                    <w:bidi w:val="0"/>
                  </w:pPr>
                  <w:r>
                    <w:t>8</w:t>
                  </w:r>
                </w:p>
              </w:tc>
            </w:tr>
          </w:tbl>
          <w:p w14:paraId="28B89896">
            <w:pPr>
              <w:pStyle w:val="512"/>
              <w:bidi w:val="0"/>
            </w:pPr>
            <w:r>
              <w:t>3、声环境影响分析</w:t>
            </w:r>
          </w:p>
          <w:p w14:paraId="05B2CF6D">
            <w:pPr>
              <w:pStyle w:val="512"/>
              <w:bidi w:val="0"/>
            </w:pPr>
            <w:r>
              <w:t>（1）噪声源分析</w:t>
            </w:r>
          </w:p>
          <w:p w14:paraId="2F81EB49">
            <w:pPr>
              <w:pStyle w:val="512"/>
              <w:bidi w:val="0"/>
            </w:pPr>
            <w:r>
              <w:t>本项目运营期噪声</w:t>
            </w:r>
            <w:r>
              <w:rPr>
                <w:bCs/>
                <w:color w:val="000000"/>
              </w:rPr>
              <w:t>源主要为风机运行过程产生的噪声，其噪声源强为80dB（A）。拟选用低噪声设备，并采取减振接触和消声等措施，确保厂界噪声达到《工业企业厂界环境噪声排放标准》</w:t>
            </w:r>
            <w:r>
              <w:rPr>
                <w:rFonts w:hint="eastAsia"/>
                <w:bCs/>
                <w:color w:val="000000"/>
                <w:lang w:eastAsia="zh-CN"/>
              </w:rPr>
              <w:t>（</w:t>
            </w:r>
            <w:r>
              <w:rPr>
                <w:bCs/>
                <w:color w:val="000000"/>
              </w:rPr>
              <w:t>GB12348-2008</w:t>
            </w:r>
            <w:r>
              <w:rPr>
                <w:rFonts w:hint="eastAsia"/>
                <w:bCs/>
                <w:color w:val="000000"/>
                <w:lang w:eastAsia="zh-CN"/>
              </w:rPr>
              <w:t>）</w:t>
            </w:r>
            <w:r>
              <w:rPr>
                <w:bCs/>
                <w:color w:val="000000"/>
              </w:rPr>
              <w:t>中</w:t>
            </w:r>
            <w:r>
              <w:rPr>
                <w:rFonts w:hint="eastAsia"/>
                <w:bCs/>
                <w:color w:val="000000"/>
                <w:lang w:val="en-US" w:eastAsia="zh-CN"/>
              </w:rPr>
              <w:t>2</w:t>
            </w:r>
            <w:r>
              <w:rPr>
                <w:bCs/>
                <w:color w:val="000000"/>
              </w:rPr>
              <w:t>类标</w:t>
            </w:r>
            <w:r>
              <w:t>准要求。</w:t>
            </w:r>
          </w:p>
          <w:p w14:paraId="2560C81B">
            <w:pPr>
              <w:pStyle w:val="1111"/>
              <w:bidi w:val="0"/>
              <w:rPr>
                <w:rFonts w:hint="eastAsia"/>
                <w:lang w:val="en-US" w:eastAsia="zh-CN"/>
              </w:rPr>
            </w:pPr>
            <w:r>
              <w:rPr>
                <w:rFonts w:hint="eastAsia"/>
                <w:lang w:eastAsia="zh-CN"/>
              </w:rPr>
              <w:t>表</w:t>
            </w:r>
            <w:r>
              <w:rPr>
                <w:rFonts w:hint="eastAsia"/>
                <w:lang w:val="en-US" w:eastAsia="zh-CN"/>
              </w:rPr>
              <w:t>4-16 营运期主要噪声源及声源强度   单位：dB（A）</w:t>
            </w:r>
          </w:p>
          <w:tbl>
            <w:tblPr>
              <w:tblStyle w:val="7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1"/>
              <w:gridCol w:w="1090"/>
              <w:gridCol w:w="1424"/>
              <w:gridCol w:w="1059"/>
              <w:gridCol w:w="1626"/>
              <w:gridCol w:w="1104"/>
              <w:gridCol w:w="812"/>
            </w:tblGrid>
            <w:tr w14:paraId="0575AD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1" w:type="pct"/>
                  <w:vAlign w:val="center"/>
                </w:tcPr>
                <w:p w14:paraId="0F4BB18D">
                  <w:pPr>
                    <w:pStyle w:val="1111"/>
                    <w:bidi w:val="0"/>
                    <w:rPr>
                      <w:rFonts w:hint="default"/>
                      <w:vertAlign w:val="baseline"/>
                      <w:lang w:val="en-US" w:eastAsia="zh-CN"/>
                    </w:rPr>
                  </w:pPr>
                  <w:r>
                    <w:rPr>
                      <w:rFonts w:hint="eastAsia"/>
                      <w:vertAlign w:val="baseline"/>
                      <w:lang w:val="en-US" w:eastAsia="zh-CN"/>
                    </w:rPr>
                    <w:t>序号</w:t>
                  </w:r>
                </w:p>
              </w:tc>
              <w:tc>
                <w:tcPr>
                  <w:tcW w:w="713" w:type="pct"/>
                  <w:vAlign w:val="center"/>
                </w:tcPr>
                <w:p w14:paraId="5F1FD4E2">
                  <w:pPr>
                    <w:pStyle w:val="1111"/>
                    <w:bidi w:val="0"/>
                    <w:rPr>
                      <w:rFonts w:hint="default"/>
                      <w:vertAlign w:val="baseline"/>
                      <w:lang w:val="en-US" w:eastAsia="zh-CN"/>
                    </w:rPr>
                  </w:pPr>
                  <w:r>
                    <w:rPr>
                      <w:rFonts w:hint="eastAsia"/>
                      <w:vertAlign w:val="baseline"/>
                      <w:lang w:val="en-US" w:eastAsia="zh-CN"/>
                    </w:rPr>
                    <w:t>噪声源</w:t>
                  </w:r>
                </w:p>
              </w:tc>
              <w:tc>
                <w:tcPr>
                  <w:tcW w:w="932" w:type="pct"/>
                  <w:vAlign w:val="center"/>
                </w:tcPr>
                <w:p w14:paraId="213FDA26">
                  <w:pPr>
                    <w:pStyle w:val="1111"/>
                    <w:bidi w:val="0"/>
                    <w:rPr>
                      <w:rFonts w:hint="default"/>
                      <w:vertAlign w:val="baseline"/>
                      <w:lang w:val="en-US" w:eastAsia="zh-CN"/>
                    </w:rPr>
                  </w:pPr>
                  <w:r>
                    <w:rPr>
                      <w:rFonts w:hint="eastAsia"/>
                      <w:vertAlign w:val="baseline"/>
                      <w:lang w:val="en-US" w:eastAsia="zh-CN"/>
                    </w:rPr>
                    <w:t>位置</w:t>
                  </w:r>
                </w:p>
              </w:tc>
              <w:tc>
                <w:tcPr>
                  <w:tcW w:w="693" w:type="pct"/>
                  <w:vAlign w:val="center"/>
                </w:tcPr>
                <w:p w14:paraId="078F07EE">
                  <w:pPr>
                    <w:pStyle w:val="1111"/>
                    <w:bidi w:val="0"/>
                    <w:rPr>
                      <w:rFonts w:hint="default"/>
                      <w:vertAlign w:val="baseline"/>
                      <w:lang w:val="en-US" w:eastAsia="zh-CN"/>
                    </w:rPr>
                  </w:pPr>
                  <w:r>
                    <w:rPr>
                      <w:rFonts w:hint="eastAsia"/>
                      <w:vertAlign w:val="baseline"/>
                      <w:lang w:val="en-US" w:eastAsia="zh-CN"/>
                    </w:rPr>
                    <w:t>噪声源强</w:t>
                  </w:r>
                </w:p>
              </w:tc>
              <w:tc>
                <w:tcPr>
                  <w:tcW w:w="1064" w:type="pct"/>
                  <w:vAlign w:val="center"/>
                </w:tcPr>
                <w:p w14:paraId="6E390A56">
                  <w:pPr>
                    <w:pStyle w:val="1111"/>
                    <w:bidi w:val="0"/>
                    <w:rPr>
                      <w:rFonts w:hint="default"/>
                      <w:vertAlign w:val="baseline"/>
                      <w:lang w:val="en-US" w:eastAsia="zh-CN"/>
                    </w:rPr>
                  </w:pPr>
                  <w:r>
                    <w:rPr>
                      <w:rFonts w:hint="eastAsia"/>
                      <w:vertAlign w:val="baseline"/>
                      <w:lang w:val="en-US" w:eastAsia="zh-CN"/>
                    </w:rPr>
                    <w:t>拟采取降噪措施</w:t>
                  </w:r>
                </w:p>
              </w:tc>
              <w:tc>
                <w:tcPr>
                  <w:tcW w:w="722" w:type="pct"/>
                  <w:vAlign w:val="center"/>
                </w:tcPr>
                <w:p w14:paraId="30EE19F1">
                  <w:pPr>
                    <w:pStyle w:val="1111"/>
                    <w:bidi w:val="0"/>
                    <w:rPr>
                      <w:rFonts w:hint="default"/>
                      <w:vertAlign w:val="baseline"/>
                      <w:lang w:val="en-US" w:eastAsia="zh-CN"/>
                    </w:rPr>
                  </w:pPr>
                  <w:r>
                    <w:rPr>
                      <w:rFonts w:hint="eastAsia"/>
                      <w:vertAlign w:val="baseline"/>
                      <w:lang w:val="en-US" w:eastAsia="zh-CN"/>
                    </w:rPr>
                    <w:t>治理后噪声值</w:t>
                  </w:r>
                </w:p>
              </w:tc>
              <w:tc>
                <w:tcPr>
                  <w:tcW w:w="531" w:type="pct"/>
                  <w:vAlign w:val="center"/>
                </w:tcPr>
                <w:p w14:paraId="22D2B82B">
                  <w:pPr>
                    <w:pStyle w:val="1111"/>
                    <w:bidi w:val="0"/>
                    <w:rPr>
                      <w:rFonts w:hint="default"/>
                      <w:vertAlign w:val="baseline"/>
                      <w:lang w:val="en-US" w:eastAsia="zh-CN"/>
                    </w:rPr>
                  </w:pPr>
                  <w:r>
                    <w:rPr>
                      <w:rFonts w:hint="eastAsia"/>
                      <w:vertAlign w:val="baseline"/>
                      <w:lang w:val="en-US" w:eastAsia="zh-CN"/>
                    </w:rPr>
                    <w:t>备注</w:t>
                  </w:r>
                </w:p>
              </w:tc>
            </w:tr>
            <w:tr w14:paraId="5381EE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1" w:type="pct"/>
                  <w:vAlign w:val="center"/>
                </w:tcPr>
                <w:p w14:paraId="7D186E21">
                  <w:pPr>
                    <w:pStyle w:val="1111"/>
                    <w:bidi w:val="0"/>
                    <w:rPr>
                      <w:rFonts w:hint="default"/>
                      <w:vertAlign w:val="baseline"/>
                      <w:lang w:val="en-US" w:eastAsia="zh-CN"/>
                    </w:rPr>
                  </w:pPr>
                  <w:r>
                    <w:rPr>
                      <w:rFonts w:hint="eastAsia"/>
                      <w:vertAlign w:val="baseline"/>
                      <w:lang w:val="en-US" w:eastAsia="zh-CN"/>
                    </w:rPr>
                    <w:t>1</w:t>
                  </w:r>
                </w:p>
              </w:tc>
              <w:tc>
                <w:tcPr>
                  <w:tcW w:w="713" w:type="pct"/>
                  <w:vAlign w:val="center"/>
                </w:tcPr>
                <w:p w14:paraId="4EB3E209">
                  <w:pPr>
                    <w:pStyle w:val="1111"/>
                    <w:bidi w:val="0"/>
                    <w:rPr>
                      <w:rFonts w:hint="default"/>
                      <w:vertAlign w:val="baseline"/>
                      <w:lang w:val="en-US" w:eastAsia="zh-CN"/>
                    </w:rPr>
                  </w:pPr>
                  <w:r>
                    <w:rPr>
                      <w:rFonts w:hint="eastAsia"/>
                      <w:vertAlign w:val="baseline"/>
                      <w:lang w:val="en-US" w:eastAsia="zh-CN"/>
                    </w:rPr>
                    <w:t>1#风机</w:t>
                  </w:r>
                </w:p>
              </w:tc>
              <w:tc>
                <w:tcPr>
                  <w:tcW w:w="932" w:type="pct"/>
                  <w:vAlign w:val="center"/>
                </w:tcPr>
                <w:p w14:paraId="4406A391">
                  <w:pPr>
                    <w:pStyle w:val="1111"/>
                    <w:bidi w:val="0"/>
                    <w:rPr>
                      <w:rFonts w:hint="default"/>
                      <w:vertAlign w:val="baseline"/>
                      <w:lang w:val="en-US" w:eastAsia="zh-CN"/>
                    </w:rPr>
                  </w:pPr>
                  <w:r>
                    <w:rPr>
                      <w:rFonts w:hint="eastAsia"/>
                      <w:vertAlign w:val="baseline"/>
                      <w:lang w:val="en-US" w:eastAsia="zh-CN"/>
                    </w:rPr>
                    <w:t>危废库西侧</w:t>
                  </w:r>
                </w:p>
              </w:tc>
              <w:tc>
                <w:tcPr>
                  <w:tcW w:w="693" w:type="pct"/>
                  <w:vAlign w:val="center"/>
                </w:tcPr>
                <w:p w14:paraId="2CA3219E">
                  <w:pPr>
                    <w:pStyle w:val="1111"/>
                    <w:bidi w:val="0"/>
                    <w:rPr>
                      <w:rFonts w:hint="default"/>
                      <w:vertAlign w:val="baseline"/>
                      <w:lang w:val="en-US" w:eastAsia="zh-CN"/>
                    </w:rPr>
                  </w:pPr>
                  <w:r>
                    <w:rPr>
                      <w:rFonts w:hint="eastAsia"/>
                      <w:vertAlign w:val="baseline"/>
                      <w:lang w:val="en-US" w:eastAsia="zh-CN"/>
                    </w:rPr>
                    <w:t>80</w:t>
                  </w:r>
                </w:p>
              </w:tc>
              <w:tc>
                <w:tcPr>
                  <w:tcW w:w="1064" w:type="pct"/>
                  <w:vMerge w:val="restart"/>
                  <w:vAlign w:val="center"/>
                </w:tcPr>
                <w:p w14:paraId="20D6F74A">
                  <w:pPr>
                    <w:pStyle w:val="1111"/>
                    <w:bidi w:val="0"/>
                    <w:rPr>
                      <w:rFonts w:hint="default"/>
                      <w:vertAlign w:val="baseline"/>
                      <w:lang w:val="en-US" w:eastAsia="zh-CN"/>
                    </w:rPr>
                  </w:pPr>
                  <w:r>
                    <w:rPr>
                      <w:rFonts w:hint="eastAsia"/>
                      <w:vertAlign w:val="baseline"/>
                      <w:lang w:val="en-US" w:eastAsia="zh-CN"/>
                    </w:rPr>
                    <w:t>减振、消声、选用低噪声设备</w:t>
                  </w:r>
                </w:p>
              </w:tc>
              <w:tc>
                <w:tcPr>
                  <w:tcW w:w="722" w:type="pct"/>
                  <w:vAlign w:val="center"/>
                </w:tcPr>
                <w:p w14:paraId="4CEA0EC0">
                  <w:pPr>
                    <w:pStyle w:val="1111"/>
                    <w:bidi w:val="0"/>
                    <w:rPr>
                      <w:rFonts w:hint="default"/>
                      <w:vertAlign w:val="baseline"/>
                      <w:lang w:val="en-US" w:eastAsia="zh-CN"/>
                    </w:rPr>
                  </w:pPr>
                  <w:r>
                    <w:rPr>
                      <w:rFonts w:hint="eastAsia"/>
                      <w:vertAlign w:val="baseline"/>
                      <w:lang w:val="en-US" w:eastAsia="zh-CN"/>
                    </w:rPr>
                    <w:t>70</w:t>
                  </w:r>
                </w:p>
              </w:tc>
              <w:tc>
                <w:tcPr>
                  <w:tcW w:w="531" w:type="pct"/>
                  <w:vAlign w:val="center"/>
                </w:tcPr>
                <w:p w14:paraId="4D11A918">
                  <w:pPr>
                    <w:pStyle w:val="1111"/>
                    <w:bidi w:val="0"/>
                    <w:rPr>
                      <w:rFonts w:hint="default"/>
                      <w:vertAlign w:val="baseline"/>
                      <w:lang w:val="en-US" w:eastAsia="zh-CN"/>
                    </w:rPr>
                  </w:pPr>
                  <w:r>
                    <w:rPr>
                      <w:rFonts w:hint="eastAsia"/>
                      <w:vertAlign w:val="baseline"/>
                      <w:lang w:val="en-US" w:eastAsia="zh-CN"/>
                    </w:rPr>
                    <w:t>连续</w:t>
                  </w:r>
                </w:p>
              </w:tc>
            </w:tr>
            <w:tr w14:paraId="497EC5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1" w:type="pct"/>
                  <w:vAlign w:val="center"/>
                </w:tcPr>
                <w:p w14:paraId="7B8C1F81">
                  <w:pPr>
                    <w:pStyle w:val="1111"/>
                    <w:bidi w:val="0"/>
                    <w:rPr>
                      <w:rFonts w:hint="default"/>
                      <w:vertAlign w:val="baseline"/>
                      <w:lang w:val="en-US" w:eastAsia="zh-CN"/>
                    </w:rPr>
                  </w:pPr>
                  <w:r>
                    <w:rPr>
                      <w:rFonts w:hint="eastAsia"/>
                      <w:vertAlign w:val="baseline"/>
                      <w:lang w:val="en-US" w:eastAsia="zh-CN"/>
                    </w:rPr>
                    <w:t>2</w:t>
                  </w:r>
                </w:p>
              </w:tc>
              <w:tc>
                <w:tcPr>
                  <w:tcW w:w="713" w:type="pct"/>
                  <w:vAlign w:val="center"/>
                </w:tcPr>
                <w:p w14:paraId="4E7AB67F">
                  <w:pPr>
                    <w:pStyle w:val="1111"/>
                    <w:bidi w:val="0"/>
                    <w:rPr>
                      <w:rFonts w:hint="eastAsia"/>
                      <w:vertAlign w:val="baseline"/>
                      <w:lang w:val="en-US" w:eastAsia="zh-CN"/>
                    </w:rPr>
                  </w:pPr>
                  <w:r>
                    <w:rPr>
                      <w:rFonts w:hint="eastAsia"/>
                      <w:vertAlign w:val="baseline"/>
                      <w:lang w:val="en-US" w:eastAsia="zh-CN"/>
                    </w:rPr>
                    <w:t>2#风机</w:t>
                  </w:r>
                </w:p>
              </w:tc>
              <w:tc>
                <w:tcPr>
                  <w:tcW w:w="932" w:type="pct"/>
                  <w:vAlign w:val="center"/>
                </w:tcPr>
                <w:p w14:paraId="4654D27F">
                  <w:pPr>
                    <w:pStyle w:val="1111"/>
                    <w:bidi w:val="0"/>
                    <w:rPr>
                      <w:rFonts w:hint="eastAsia"/>
                      <w:vertAlign w:val="baseline"/>
                      <w:lang w:val="en-US" w:eastAsia="zh-CN"/>
                    </w:rPr>
                  </w:pPr>
                  <w:r>
                    <w:rPr>
                      <w:rFonts w:hint="eastAsia"/>
                      <w:vertAlign w:val="baseline"/>
                      <w:lang w:val="en-US" w:eastAsia="zh-CN"/>
                    </w:rPr>
                    <w:t>危废库西侧</w:t>
                  </w:r>
                </w:p>
              </w:tc>
              <w:tc>
                <w:tcPr>
                  <w:tcW w:w="693" w:type="pct"/>
                  <w:vAlign w:val="center"/>
                </w:tcPr>
                <w:p w14:paraId="50638E87">
                  <w:pPr>
                    <w:pStyle w:val="1111"/>
                    <w:bidi w:val="0"/>
                    <w:rPr>
                      <w:rFonts w:hint="default"/>
                      <w:vertAlign w:val="baseline"/>
                      <w:lang w:val="en-US" w:eastAsia="zh-CN"/>
                    </w:rPr>
                  </w:pPr>
                  <w:r>
                    <w:rPr>
                      <w:rFonts w:hint="eastAsia"/>
                      <w:vertAlign w:val="baseline"/>
                      <w:lang w:val="en-US" w:eastAsia="zh-CN"/>
                    </w:rPr>
                    <w:t>80</w:t>
                  </w:r>
                </w:p>
              </w:tc>
              <w:tc>
                <w:tcPr>
                  <w:tcW w:w="1064" w:type="pct"/>
                  <w:vMerge w:val="continue"/>
                  <w:vAlign w:val="center"/>
                </w:tcPr>
                <w:p w14:paraId="06A293EC">
                  <w:pPr>
                    <w:pStyle w:val="1111"/>
                    <w:bidi w:val="0"/>
                    <w:rPr>
                      <w:rFonts w:hint="eastAsia"/>
                      <w:vertAlign w:val="baseline"/>
                      <w:lang w:val="en-US" w:eastAsia="zh-CN"/>
                    </w:rPr>
                  </w:pPr>
                </w:p>
              </w:tc>
              <w:tc>
                <w:tcPr>
                  <w:tcW w:w="722" w:type="pct"/>
                  <w:vAlign w:val="center"/>
                </w:tcPr>
                <w:p w14:paraId="7CAB1DD0">
                  <w:pPr>
                    <w:pStyle w:val="1111"/>
                    <w:bidi w:val="0"/>
                    <w:rPr>
                      <w:rFonts w:hint="default"/>
                      <w:vertAlign w:val="baseline"/>
                      <w:lang w:val="en-US" w:eastAsia="zh-CN"/>
                    </w:rPr>
                  </w:pPr>
                  <w:r>
                    <w:rPr>
                      <w:rFonts w:hint="eastAsia"/>
                      <w:vertAlign w:val="baseline"/>
                      <w:lang w:val="en-US" w:eastAsia="zh-CN"/>
                    </w:rPr>
                    <w:t>70</w:t>
                  </w:r>
                </w:p>
              </w:tc>
              <w:tc>
                <w:tcPr>
                  <w:tcW w:w="531" w:type="pct"/>
                  <w:vAlign w:val="center"/>
                </w:tcPr>
                <w:p w14:paraId="04C93A59">
                  <w:pPr>
                    <w:pStyle w:val="1111"/>
                    <w:bidi w:val="0"/>
                    <w:rPr>
                      <w:rFonts w:hint="eastAsia"/>
                      <w:vertAlign w:val="baseline"/>
                      <w:lang w:val="en-US" w:eastAsia="zh-CN"/>
                    </w:rPr>
                  </w:pPr>
                  <w:r>
                    <w:rPr>
                      <w:rFonts w:hint="eastAsia"/>
                      <w:vertAlign w:val="baseline"/>
                      <w:lang w:val="en-US" w:eastAsia="zh-CN"/>
                    </w:rPr>
                    <w:t>连续</w:t>
                  </w:r>
                </w:p>
              </w:tc>
            </w:tr>
            <w:tr w14:paraId="525037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1" w:type="pct"/>
                  <w:vAlign w:val="center"/>
                </w:tcPr>
                <w:p w14:paraId="493732B0">
                  <w:pPr>
                    <w:pStyle w:val="1111"/>
                    <w:bidi w:val="0"/>
                    <w:rPr>
                      <w:rFonts w:hint="default"/>
                      <w:vertAlign w:val="baseline"/>
                      <w:lang w:val="en-US" w:eastAsia="zh-CN"/>
                    </w:rPr>
                  </w:pPr>
                  <w:r>
                    <w:rPr>
                      <w:rFonts w:hint="eastAsia"/>
                      <w:vertAlign w:val="baseline"/>
                      <w:lang w:val="en-US" w:eastAsia="zh-CN"/>
                    </w:rPr>
                    <w:t>3</w:t>
                  </w:r>
                </w:p>
              </w:tc>
              <w:tc>
                <w:tcPr>
                  <w:tcW w:w="713" w:type="pct"/>
                  <w:vAlign w:val="center"/>
                </w:tcPr>
                <w:p w14:paraId="166CD113">
                  <w:pPr>
                    <w:pStyle w:val="1111"/>
                    <w:bidi w:val="0"/>
                    <w:rPr>
                      <w:rFonts w:hint="eastAsia"/>
                      <w:vertAlign w:val="baseline"/>
                      <w:lang w:val="en-US" w:eastAsia="zh-CN"/>
                    </w:rPr>
                  </w:pPr>
                  <w:r>
                    <w:rPr>
                      <w:rFonts w:hint="eastAsia"/>
                      <w:vertAlign w:val="baseline"/>
                      <w:lang w:val="en-US" w:eastAsia="zh-CN"/>
                    </w:rPr>
                    <w:t>3#风机</w:t>
                  </w:r>
                </w:p>
              </w:tc>
              <w:tc>
                <w:tcPr>
                  <w:tcW w:w="932" w:type="pct"/>
                  <w:vAlign w:val="center"/>
                </w:tcPr>
                <w:p w14:paraId="2EB473EA">
                  <w:pPr>
                    <w:pStyle w:val="1111"/>
                    <w:bidi w:val="0"/>
                    <w:rPr>
                      <w:rFonts w:hint="eastAsia"/>
                      <w:vertAlign w:val="baseline"/>
                      <w:lang w:val="en-US" w:eastAsia="zh-CN"/>
                    </w:rPr>
                  </w:pPr>
                  <w:r>
                    <w:rPr>
                      <w:rFonts w:hint="eastAsia"/>
                      <w:vertAlign w:val="baseline"/>
                      <w:lang w:val="en-US" w:eastAsia="zh-CN"/>
                    </w:rPr>
                    <w:t>危废库南侧</w:t>
                  </w:r>
                </w:p>
              </w:tc>
              <w:tc>
                <w:tcPr>
                  <w:tcW w:w="693" w:type="pct"/>
                  <w:vAlign w:val="center"/>
                </w:tcPr>
                <w:p w14:paraId="4CD1474B">
                  <w:pPr>
                    <w:pStyle w:val="1111"/>
                    <w:bidi w:val="0"/>
                    <w:rPr>
                      <w:rFonts w:hint="default"/>
                      <w:vertAlign w:val="baseline"/>
                      <w:lang w:val="en-US" w:eastAsia="zh-CN"/>
                    </w:rPr>
                  </w:pPr>
                  <w:r>
                    <w:rPr>
                      <w:rFonts w:hint="eastAsia"/>
                      <w:vertAlign w:val="baseline"/>
                      <w:lang w:val="en-US" w:eastAsia="zh-CN"/>
                    </w:rPr>
                    <w:t>80</w:t>
                  </w:r>
                </w:p>
              </w:tc>
              <w:tc>
                <w:tcPr>
                  <w:tcW w:w="1064" w:type="pct"/>
                  <w:vMerge w:val="continue"/>
                  <w:vAlign w:val="center"/>
                </w:tcPr>
                <w:p w14:paraId="0072CCED">
                  <w:pPr>
                    <w:pStyle w:val="1111"/>
                    <w:bidi w:val="0"/>
                    <w:rPr>
                      <w:rFonts w:hint="eastAsia"/>
                      <w:vertAlign w:val="baseline"/>
                      <w:lang w:val="en-US" w:eastAsia="zh-CN"/>
                    </w:rPr>
                  </w:pPr>
                </w:p>
              </w:tc>
              <w:tc>
                <w:tcPr>
                  <w:tcW w:w="722" w:type="pct"/>
                  <w:vAlign w:val="center"/>
                </w:tcPr>
                <w:p w14:paraId="32EB6838">
                  <w:pPr>
                    <w:pStyle w:val="1111"/>
                    <w:bidi w:val="0"/>
                    <w:rPr>
                      <w:rFonts w:hint="default"/>
                      <w:vertAlign w:val="baseline"/>
                      <w:lang w:val="en-US" w:eastAsia="zh-CN"/>
                    </w:rPr>
                  </w:pPr>
                  <w:r>
                    <w:rPr>
                      <w:rFonts w:hint="eastAsia"/>
                      <w:vertAlign w:val="baseline"/>
                      <w:lang w:val="en-US" w:eastAsia="zh-CN"/>
                    </w:rPr>
                    <w:t>70</w:t>
                  </w:r>
                </w:p>
              </w:tc>
              <w:tc>
                <w:tcPr>
                  <w:tcW w:w="531" w:type="pct"/>
                  <w:vAlign w:val="center"/>
                </w:tcPr>
                <w:p w14:paraId="3B9D951E">
                  <w:pPr>
                    <w:pStyle w:val="1111"/>
                    <w:bidi w:val="0"/>
                    <w:rPr>
                      <w:rFonts w:hint="eastAsia"/>
                      <w:vertAlign w:val="baseline"/>
                      <w:lang w:val="en-US" w:eastAsia="zh-CN"/>
                    </w:rPr>
                  </w:pPr>
                  <w:r>
                    <w:rPr>
                      <w:rFonts w:hint="eastAsia"/>
                      <w:vertAlign w:val="baseline"/>
                      <w:lang w:val="en-US" w:eastAsia="zh-CN"/>
                    </w:rPr>
                    <w:t>连续</w:t>
                  </w:r>
                </w:p>
              </w:tc>
            </w:tr>
          </w:tbl>
          <w:p w14:paraId="4C19BFFA">
            <w:pPr>
              <w:pStyle w:val="512"/>
              <w:bidi w:val="0"/>
            </w:pPr>
            <w:r>
              <w:t>（2）噪声污染防治措施评述</w:t>
            </w:r>
          </w:p>
          <w:p w14:paraId="4460A647">
            <w:pPr>
              <w:pStyle w:val="512"/>
              <w:bidi w:val="0"/>
            </w:pPr>
            <w:r>
              <w:t>企业运营过程中，通过以下措施防治噪声污染：</w:t>
            </w:r>
          </w:p>
          <w:p w14:paraId="7D17D61A">
            <w:pPr>
              <w:pStyle w:val="512"/>
              <w:bidi w:val="0"/>
            </w:pPr>
            <w:r>
              <w:t>①企业厂区设合理布局“闹静分开”，使高噪声设备尽可能远离厂界；</w:t>
            </w:r>
          </w:p>
          <w:p w14:paraId="1DDAA7EC">
            <w:pPr>
              <w:pStyle w:val="512"/>
              <w:bidi w:val="0"/>
            </w:pPr>
            <w:r>
              <w:t>②对装卸、转运、碰撞等偶发噪声，主要通过</w:t>
            </w:r>
            <w:r>
              <w:rPr>
                <w:rFonts w:hint="eastAsia"/>
                <w:lang w:eastAsia="zh-CN"/>
              </w:rPr>
              <w:t>距</w:t>
            </w:r>
            <w:r>
              <w:t>离衰减、隔声屏障、加强管理方法进行防治。</w:t>
            </w:r>
          </w:p>
          <w:p w14:paraId="0D53DBF3">
            <w:pPr>
              <w:pStyle w:val="512"/>
              <w:bidi w:val="0"/>
            </w:pPr>
            <w:r>
              <w:t>（3）噪声环境影响分析</w:t>
            </w:r>
          </w:p>
          <w:p w14:paraId="296771F8">
            <w:pPr>
              <w:pStyle w:val="512"/>
              <w:bidi w:val="0"/>
            </w:pPr>
            <w:r>
              <w:t>根据资料和建设项目声环境现状，以常规的噪声衰减和叠加模式进行预测计算与评价。计算中考虑了屏障效应、隔声、吸声、消声及距离衰减等因素，预测了在正常生产条件下生产噪声对厂界的影响值。</w:t>
            </w:r>
          </w:p>
          <w:p w14:paraId="11204FFA">
            <w:pPr>
              <w:pStyle w:val="512"/>
              <w:bidi w:val="0"/>
            </w:pPr>
            <w:r>
              <w:t>①声环境影响预测模式</w:t>
            </w:r>
          </w:p>
          <w:p w14:paraId="316F3BCD">
            <w:pPr>
              <w:pStyle w:val="512"/>
              <w:bidi w:val="0"/>
              <w:ind w:left="0" w:leftChars="0" w:firstLine="0" w:firstLineChars="0"/>
              <w:jc w:val="center"/>
            </w:pPr>
            <w:r>
              <w:t>L</w:t>
            </w:r>
            <w:r>
              <w:rPr>
                <w:vertAlign w:val="subscript"/>
              </w:rPr>
              <w:t>X</w:t>
            </w:r>
            <w:r>
              <w:t>=L</w:t>
            </w:r>
            <w:r>
              <w:rPr>
                <w:vertAlign w:val="subscript"/>
              </w:rPr>
              <w:t>N</w:t>
            </w:r>
            <w:r>
              <w:t>—L</w:t>
            </w:r>
            <w:r>
              <w:rPr>
                <w:vertAlign w:val="subscript"/>
              </w:rPr>
              <w:t>W</w:t>
            </w:r>
            <w:r>
              <w:t>—L</w:t>
            </w:r>
            <w:r>
              <w:rPr>
                <w:vertAlign w:val="subscript"/>
              </w:rPr>
              <w:t>S</w:t>
            </w:r>
          </w:p>
          <w:p w14:paraId="41092A72">
            <w:pPr>
              <w:pStyle w:val="512"/>
              <w:bidi w:val="0"/>
            </w:pPr>
            <w:r>
              <w:t>式中：L</w:t>
            </w:r>
            <w:r>
              <w:rPr>
                <w:vertAlign w:val="subscript"/>
              </w:rPr>
              <w:t>X</w:t>
            </w:r>
            <w:r>
              <w:t>——预测点新增噪声值，dB</w:t>
            </w:r>
            <w:r>
              <w:rPr>
                <w:rFonts w:hint="eastAsia"/>
                <w:lang w:eastAsia="zh-CN"/>
              </w:rPr>
              <w:t>（</w:t>
            </w:r>
            <w:r>
              <w:t>A</w:t>
            </w:r>
            <w:r>
              <w:rPr>
                <w:rFonts w:hint="eastAsia"/>
                <w:lang w:eastAsia="zh-CN"/>
              </w:rPr>
              <w:t>）</w:t>
            </w:r>
            <w:r>
              <w:t>；</w:t>
            </w:r>
          </w:p>
          <w:p w14:paraId="2EFD72CA">
            <w:pPr>
              <w:pStyle w:val="512"/>
              <w:bidi w:val="0"/>
            </w:pPr>
            <w:r>
              <w:t>L</w:t>
            </w:r>
            <w:r>
              <w:rPr>
                <w:vertAlign w:val="subscript"/>
              </w:rPr>
              <w:t>N</w:t>
            </w:r>
            <w:r>
              <w:t>——噪声源噪声值，dB</w:t>
            </w:r>
            <w:r>
              <w:rPr>
                <w:rFonts w:hint="eastAsia"/>
                <w:lang w:eastAsia="zh-CN"/>
              </w:rPr>
              <w:t>（</w:t>
            </w:r>
            <w:r>
              <w:t>A</w:t>
            </w:r>
            <w:r>
              <w:rPr>
                <w:rFonts w:hint="eastAsia"/>
                <w:lang w:eastAsia="zh-CN"/>
              </w:rPr>
              <w:t>）</w:t>
            </w:r>
            <w:r>
              <w:t>；</w:t>
            </w:r>
          </w:p>
          <w:p w14:paraId="10843B9F">
            <w:pPr>
              <w:pStyle w:val="512"/>
              <w:bidi w:val="0"/>
            </w:pPr>
            <w:r>
              <w:t>L</w:t>
            </w:r>
            <w:r>
              <w:rPr>
                <w:vertAlign w:val="subscript"/>
              </w:rPr>
              <w:t>W</w:t>
            </w:r>
            <w:r>
              <w:t>——围护结构的隔声量，dB</w:t>
            </w:r>
            <w:r>
              <w:rPr>
                <w:rFonts w:hint="eastAsia"/>
                <w:lang w:eastAsia="zh-CN"/>
              </w:rPr>
              <w:t>（</w:t>
            </w:r>
            <w:r>
              <w:t>A</w:t>
            </w:r>
            <w:r>
              <w:rPr>
                <w:rFonts w:hint="eastAsia"/>
                <w:lang w:eastAsia="zh-CN"/>
              </w:rPr>
              <w:t>）</w:t>
            </w:r>
            <w:r>
              <w:t>；</w:t>
            </w:r>
          </w:p>
          <w:p w14:paraId="4346284B">
            <w:pPr>
              <w:pStyle w:val="512"/>
              <w:bidi w:val="0"/>
            </w:pPr>
            <w:r>
              <w:t>L</w:t>
            </w:r>
            <w:r>
              <w:rPr>
                <w:vertAlign w:val="subscript"/>
              </w:rPr>
              <w:t>S</w:t>
            </w:r>
            <w:r>
              <w:t>——距离衰减值，dB</w:t>
            </w:r>
            <w:r>
              <w:rPr>
                <w:rFonts w:hint="eastAsia"/>
                <w:lang w:eastAsia="zh-CN"/>
              </w:rPr>
              <w:t>（</w:t>
            </w:r>
            <w:r>
              <w:t>A</w:t>
            </w:r>
            <w:r>
              <w:rPr>
                <w:rFonts w:hint="eastAsia"/>
                <w:lang w:eastAsia="zh-CN"/>
              </w:rPr>
              <w:t>）</w:t>
            </w:r>
            <w:r>
              <w:t>。</w:t>
            </w:r>
          </w:p>
          <w:p w14:paraId="0C640AAA">
            <w:pPr>
              <w:pStyle w:val="512"/>
              <w:bidi w:val="0"/>
            </w:pPr>
            <w:r>
              <w:t>厂房墙壁、门窗等围护结构的隔声量主要取决于其单位面积质量G</w:t>
            </w:r>
            <w:r>
              <w:rPr>
                <w:rFonts w:hint="eastAsia"/>
                <w:lang w:eastAsia="zh-CN"/>
              </w:rPr>
              <w:t>（</w:t>
            </w:r>
            <w:r>
              <w:t>kg/m</w:t>
            </w:r>
            <w:r>
              <w:rPr>
                <w:vertAlign w:val="superscript"/>
              </w:rPr>
              <w:t>2</w:t>
            </w:r>
            <w:r>
              <w:rPr>
                <w:rFonts w:hint="eastAsia"/>
                <w:lang w:eastAsia="zh-CN"/>
              </w:rPr>
              <w:t>）</w:t>
            </w:r>
            <w:r>
              <w:t>及噪声频率f</w:t>
            </w:r>
            <w:r>
              <w:rPr>
                <w:rFonts w:hint="eastAsia"/>
                <w:lang w:eastAsia="zh-CN"/>
              </w:rPr>
              <w:t>（</w:t>
            </w:r>
            <w:r>
              <w:t>Hz</w:t>
            </w:r>
            <w:r>
              <w:rPr>
                <w:rFonts w:hint="eastAsia"/>
                <w:lang w:eastAsia="zh-CN"/>
              </w:rPr>
              <w:t>）</w:t>
            </w:r>
            <w:r>
              <w:t>。</w:t>
            </w:r>
          </w:p>
          <w:p w14:paraId="4C5AFAE8">
            <w:pPr>
              <w:pStyle w:val="512"/>
              <w:bidi w:val="0"/>
            </w:pPr>
            <w:r>
              <w:t>②在环境噪声预测中各噪声源作为点声源处理，故距离衰减值：</w:t>
            </w:r>
          </w:p>
          <w:p w14:paraId="204931E0">
            <w:pPr>
              <w:pStyle w:val="512"/>
              <w:bidi w:val="0"/>
              <w:ind w:left="0" w:leftChars="0" w:firstLine="0" w:firstLineChars="0"/>
              <w:jc w:val="center"/>
            </w:pPr>
            <w:r>
              <w:t>L</w:t>
            </w:r>
            <w:r>
              <w:rPr>
                <w:vertAlign w:val="subscript"/>
              </w:rPr>
              <w:t>S</w:t>
            </w:r>
            <w:r>
              <w:t>=20lg（r/r</w:t>
            </w:r>
            <w:r>
              <w:rPr>
                <w:vertAlign w:val="subscript"/>
              </w:rPr>
              <w:t>0</w:t>
            </w:r>
            <w:r>
              <w:t>）</w:t>
            </w:r>
          </w:p>
          <w:p w14:paraId="2ADB2DB0">
            <w:pPr>
              <w:pStyle w:val="512"/>
              <w:bidi w:val="0"/>
            </w:pPr>
            <w:r>
              <w:t>式中：r——关心点与噪声源合成级点的距离（m）；</w:t>
            </w:r>
          </w:p>
          <w:p w14:paraId="21BFB105">
            <w:pPr>
              <w:pStyle w:val="512"/>
              <w:bidi w:val="0"/>
            </w:pPr>
            <w:r>
              <w:t>r</w:t>
            </w:r>
            <w:r>
              <w:rPr>
                <w:vertAlign w:val="subscript"/>
              </w:rPr>
              <w:t>0</w:t>
            </w:r>
            <w:r>
              <w:t>——噪声合成点与噪声源的距离，统一r</w:t>
            </w:r>
            <w:r>
              <w:rPr>
                <w:vertAlign w:val="subscript"/>
              </w:rPr>
              <w:t>0</w:t>
            </w:r>
            <w:r>
              <w:t>=1.0m。</w:t>
            </w:r>
          </w:p>
          <w:p w14:paraId="7873D520">
            <w:pPr>
              <w:pStyle w:val="512"/>
              <w:bidi w:val="0"/>
            </w:pPr>
            <w:r>
              <w:t>③多台相同设备在预测点产生的声级合成</w:t>
            </w:r>
          </w:p>
          <w:p w14:paraId="3218A0C5">
            <w:pPr>
              <w:pStyle w:val="1111"/>
              <w:bidi w:val="0"/>
            </w:pPr>
            <w:r>
              <w:drawing>
                <wp:inline distT="0" distB="0" distL="114300" distR="114300">
                  <wp:extent cx="1371600" cy="314325"/>
                  <wp:effectExtent l="0" t="0" r="0" b="9525"/>
                  <wp:docPr id="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pic:cNvPicPr>
                            <a:picLocks noChangeAspect="1"/>
                          </pic:cNvPicPr>
                        </pic:nvPicPr>
                        <pic:blipFill>
                          <a:blip r:embed="rId20"/>
                          <a:stretch>
                            <a:fillRect/>
                          </a:stretch>
                        </pic:blipFill>
                        <pic:spPr>
                          <a:xfrm>
                            <a:off x="0" y="0"/>
                            <a:ext cx="1371600" cy="314325"/>
                          </a:xfrm>
                          <a:prstGeom prst="rect">
                            <a:avLst/>
                          </a:prstGeom>
                          <a:noFill/>
                          <a:ln>
                            <a:noFill/>
                          </a:ln>
                        </pic:spPr>
                      </pic:pic>
                    </a:graphicData>
                  </a:graphic>
                </wp:inline>
              </w:drawing>
            </w:r>
          </w:p>
          <w:p w14:paraId="4F8DA599">
            <w:pPr>
              <w:pStyle w:val="512"/>
              <w:bidi w:val="0"/>
            </w:pPr>
            <w:r>
              <w:t>式中：L</w:t>
            </w:r>
            <w:r>
              <w:rPr>
                <w:vertAlign w:val="subscript"/>
              </w:rPr>
              <w:t>Tp</w:t>
            </w:r>
            <w:r>
              <w:t>——多台相同设备在预测点的合成声级，dB</w:t>
            </w:r>
            <w:r>
              <w:rPr>
                <w:rFonts w:hint="eastAsia"/>
                <w:lang w:eastAsia="zh-CN"/>
              </w:rPr>
              <w:t>（</w:t>
            </w:r>
            <w:r>
              <w:t>A</w:t>
            </w:r>
            <w:r>
              <w:rPr>
                <w:rFonts w:hint="eastAsia"/>
                <w:lang w:eastAsia="zh-CN"/>
              </w:rPr>
              <w:t>）</w:t>
            </w:r>
            <w:r>
              <w:t>；</w:t>
            </w:r>
          </w:p>
          <w:p w14:paraId="72984402">
            <w:pPr>
              <w:pStyle w:val="512"/>
              <w:bidi w:val="0"/>
            </w:pPr>
            <w:r>
              <w:t>Lp</w:t>
            </w:r>
            <w:r>
              <w:rPr>
                <w:vertAlign w:val="baseline"/>
              </w:rPr>
              <w:t>i</w:t>
            </w:r>
            <w:r>
              <w:t>——单台设备在预测点的噪声值，dB</w:t>
            </w:r>
            <w:r>
              <w:rPr>
                <w:rFonts w:hint="eastAsia"/>
                <w:lang w:eastAsia="zh-CN"/>
              </w:rPr>
              <w:t>（</w:t>
            </w:r>
            <w:r>
              <w:t>A</w:t>
            </w:r>
            <w:r>
              <w:rPr>
                <w:rFonts w:hint="eastAsia"/>
                <w:lang w:eastAsia="zh-CN"/>
              </w:rPr>
              <w:t>）</w:t>
            </w:r>
            <w:r>
              <w:t>；</w:t>
            </w:r>
          </w:p>
          <w:p w14:paraId="2417351A">
            <w:pPr>
              <w:pStyle w:val="512"/>
              <w:bidi w:val="0"/>
            </w:pPr>
            <w:r>
              <w:t>n——相同设备数量。</w:t>
            </w:r>
          </w:p>
          <w:p w14:paraId="567B5237">
            <w:pPr>
              <w:pStyle w:val="512"/>
              <w:bidi w:val="0"/>
            </w:pPr>
            <w:r>
              <w:t>④多台不同设备在预测点产生的声级合成</w:t>
            </w:r>
          </w:p>
          <w:p w14:paraId="1AACCFA5">
            <w:pPr>
              <w:pStyle w:val="1111"/>
              <w:bidi w:val="0"/>
            </w:pPr>
            <w:r>
              <w:drawing>
                <wp:inline distT="0" distB="0" distL="114300" distR="114300">
                  <wp:extent cx="2038350" cy="429895"/>
                  <wp:effectExtent l="0" t="0" r="0" b="8255"/>
                  <wp:docPr id="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
                          <pic:cNvPicPr>
                            <a:picLocks noChangeAspect="1"/>
                          </pic:cNvPicPr>
                        </pic:nvPicPr>
                        <pic:blipFill>
                          <a:blip r:embed="rId21"/>
                          <a:stretch>
                            <a:fillRect/>
                          </a:stretch>
                        </pic:blipFill>
                        <pic:spPr>
                          <a:xfrm>
                            <a:off x="0" y="0"/>
                            <a:ext cx="2038350" cy="429895"/>
                          </a:xfrm>
                          <a:prstGeom prst="rect">
                            <a:avLst/>
                          </a:prstGeom>
                          <a:noFill/>
                          <a:ln>
                            <a:noFill/>
                          </a:ln>
                        </pic:spPr>
                      </pic:pic>
                    </a:graphicData>
                  </a:graphic>
                </wp:inline>
              </w:drawing>
            </w:r>
          </w:p>
          <w:p w14:paraId="1A1638B8">
            <w:pPr>
              <w:pStyle w:val="512"/>
              <w:bidi w:val="0"/>
            </w:pPr>
            <w:r>
              <w:t>L</w:t>
            </w:r>
            <w:r>
              <w:rPr>
                <w:vertAlign w:val="subscript"/>
              </w:rPr>
              <w:t>Tp</w:t>
            </w:r>
            <w:r>
              <w:t>——多台设备在预测点的合成声级，dB</w:t>
            </w:r>
            <w:r>
              <w:rPr>
                <w:rFonts w:hint="eastAsia"/>
                <w:lang w:eastAsia="zh-CN"/>
              </w:rPr>
              <w:t>（</w:t>
            </w:r>
            <w:r>
              <w:t>A</w:t>
            </w:r>
            <w:r>
              <w:rPr>
                <w:rFonts w:hint="eastAsia"/>
                <w:lang w:eastAsia="zh-CN"/>
              </w:rPr>
              <w:t>）</w:t>
            </w:r>
            <w:r>
              <w:t>；</w:t>
            </w:r>
          </w:p>
          <w:p w14:paraId="6E2DA484">
            <w:pPr>
              <w:pStyle w:val="512"/>
              <w:bidi w:val="0"/>
            </w:pPr>
            <w:r>
              <w:t>Lp</w:t>
            </w:r>
            <w:r>
              <w:rPr>
                <w:vertAlign w:val="subscript"/>
              </w:rPr>
              <w:t>1</w:t>
            </w:r>
            <w:r>
              <w:t>——声源1在预测点的噪声值，dB</w:t>
            </w:r>
            <w:r>
              <w:rPr>
                <w:rFonts w:hint="eastAsia"/>
                <w:lang w:eastAsia="zh-CN"/>
              </w:rPr>
              <w:t>（</w:t>
            </w:r>
            <w:r>
              <w:t>A</w:t>
            </w:r>
            <w:r>
              <w:rPr>
                <w:rFonts w:hint="eastAsia"/>
                <w:lang w:eastAsia="zh-CN"/>
              </w:rPr>
              <w:t>）</w:t>
            </w:r>
            <w:r>
              <w:t>；</w:t>
            </w:r>
          </w:p>
          <w:p w14:paraId="2A5BB2C1">
            <w:pPr>
              <w:pStyle w:val="512"/>
              <w:bidi w:val="0"/>
            </w:pPr>
            <w:r>
              <w:t>Lp</w:t>
            </w:r>
            <w:r>
              <w:rPr>
                <w:vertAlign w:val="subscript"/>
              </w:rPr>
              <w:t>2</w:t>
            </w:r>
            <w:r>
              <w:t>——声源2在预测点的噪声值，dB</w:t>
            </w:r>
            <w:r>
              <w:rPr>
                <w:rFonts w:hint="eastAsia"/>
                <w:lang w:eastAsia="zh-CN"/>
              </w:rPr>
              <w:t>（</w:t>
            </w:r>
            <w:r>
              <w:t>A</w:t>
            </w:r>
            <w:r>
              <w:rPr>
                <w:rFonts w:hint="eastAsia"/>
                <w:lang w:eastAsia="zh-CN"/>
              </w:rPr>
              <w:t>）</w:t>
            </w:r>
            <w:r>
              <w:t>；</w:t>
            </w:r>
          </w:p>
          <w:p w14:paraId="043D7EF5">
            <w:pPr>
              <w:pStyle w:val="512"/>
              <w:bidi w:val="0"/>
              <w:rPr>
                <w:rFonts w:hint="eastAsia" w:eastAsia="宋体"/>
                <w:lang w:eastAsia="zh-CN"/>
              </w:rPr>
            </w:pPr>
            <w:r>
              <w:rPr>
                <w:rFonts w:hint="eastAsia"/>
                <w:lang w:eastAsia="zh-CN"/>
              </w:rPr>
              <w:t>本项目风机运行噪声</w:t>
            </w:r>
            <w:r>
              <w:t>预测结果</w:t>
            </w:r>
            <w:r>
              <w:rPr>
                <w:rFonts w:hint="eastAsia"/>
                <w:lang w:eastAsia="zh-CN"/>
              </w:rPr>
              <w:t>见下表</w:t>
            </w:r>
          </w:p>
          <w:p w14:paraId="479837AD">
            <w:pPr>
              <w:pStyle w:val="1111"/>
              <w:bidi w:val="0"/>
            </w:pPr>
            <w:r>
              <w:t>表4-</w:t>
            </w:r>
            <w:r>
              <w:rPr>
                <w:rFonts w:hint="eastAsia"/>
                <w:lang w:val="en-US" w:eastAsia="zh-CN"/>
              </w:rPr>
              <w:t xml:space="preserve">17 </w:t>
            </w:r>
            <w:r>
              <w:rPr>
                <w:rFonts w:hint="eastAsia"/>
                <w:lang w:eastAsia="zh-CN"/>
              </w:rPr>
              <w:t>风机不同距离处的噪声源强</w:t>
            </w:r>
            <w:r>
              <w:t>（单位：dB</w:t>
            </w:r>
            <w:r>
              <w:rPr>
                <w:rFonts w:hint="eastAsia"/>
                <w:lang w:eastAsia="zh-CN"/>
              </w:rPr>
              <w:t>（</w:t>
            </w:r>
            <w:r>
              <w:t>A</w:t>
            </w:r>
            <w:r>
              <w:rPr>
                <w:rFonts w:hint="eastAsia"/>
                <w:lang w:eastAsia="zh-CN"/>
              </w:rPr>
              <w:t>）</w:t>
            </w:r>
            <w:r>
              <w:t>）</w:t>
            </w:r>
          </w:p>
          <w:tbl>
            <w:tblPr>
              <w:tblStyle w:val="77"/>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24"/>
              <w:gridCol w:w="689"/>
              <w:gridCol w:w="720"/>
              <w:gridCol w:w="720"/>
              <w:gridCol w:w="735"/>
              <w:gridCol w:w="766"/>
              <w:gridCol w:w="766"/>
              <w:gridCol w:w="705"/>
              <w:gridCol w:w="779"/>
              <w:gridCol w:w="729"/>
            </w:tblGrid>
            <w:tr w14:paraId="2866BE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0" w:type="pct"/>
                  <w:noWrap w:val="0"/>
                  <w:vAlign w:val="center"/>
                </w:tcPr>
                <w:p w14:paraId="52BDCF06">
                  <w:pPr>
                    <w:pStyle w:val="1111"/>
                    <w:bidi w:val="0"/>
                  </w:pPr>
                  <w:r>
                    <w:t>名称</w:t>
                  </w:r>
                </w:p>
              </w:tc>
              <w:tc>
                <w:tcPr>
                  <w:tcW w:w="451" w:type="pct"/>
                  <w:noWrap w:val="0"/>
                  <w:vAlign w:val="center"/>
                </w:tcPr>
                <w:p w14:paraId="715C986C">
                  <w:pPr>
                    <w:pStyle w:val="1111"/>
                    <w:bidi w:val="0"/>
                  </w:pPr>
                  <w:r>
                    <w:t>5m</w:t>
                  </w:r>
                </w:p>
              </w:tc>
              <w:tc>
                <w:tcPr>
                  <w:tcW w:w="471" w:type="pct"/>
                  <w:noWrap w:val="0"/>
                  <w:vAlign w:val="center"/>
                </w:tcPr>
                <w:p w14:paraId="23F10B1D">
                  <w:pPr>
                    <w:pStyle w:val="1111"/>
                    <w:bidi w:val="0"/>
                  </w:pPr>
                  <w:r>
                    <w:t>10m</w:t>
                  </w:r>
                </w:p>
              </w:tc>
              <w:tc>
                <w:tcPr>
                  <w:tcW w:w="471" w:type="pct"/>
                  <w:noWrap w:val="0"/>
                  <w:vAlign w:val="center"/>
                </w:tcPr>
                <w:p w14:paraId="3EE25B34">
                  <w:pPr>
                    <w:pStyle w:val="1111"/>
                    <w:bidi w:val="0"/>
                    <w:rPr>
                      <w:rFonts w:hint="default" w:eastAsia="宋体"/>
                      <w:lang w:val="en-US" w:eastAsia="zh-CN"/>
                    </w:rPr>
                  </w:pPr>
                  <w:r>
                    <w:rPr>
                      <w:rFonts w:hint="eastAsia"/>
                      <w:lang w:val="en-US" w:eastAsia="zh-CN"/>
                    </w:rPr>
                    <w:t>20m</w:t>
                  </w:r>
                </w:p>
              </w:tc>
              <w:tc>
                <w:tcPr>
                  <w:tcW w:w="481" w:type="pct"/>
                  <w:noWrap w:val="0"/>
                  <w:vAlign w:val="center"/>
                </w:tcPr>
                <w:p w14:paraId="27FCBA0F">
                  <w:pPr>
                    <w:pStyle w:val="1111"/>
                    <w:bidi w:val="0"/>
                    <w:rPr>
                      <w:rFonts w:hint="default" w:eastAsia="宋体"/>
                      <w:lang w:val="en-US" w:eastAsia="zh-CN"/>
                    </w:rPr>
                  </w:pPr>
                  <w:r>
                    <w:rPr>
                      <w:rFonts w:hint="eastAsia"/>
                      <w:lang w:val="en-US" w:eastAsia="zh-CN"/>
                    </w:rPr>
                    <w:t>30</w:t>
                  </w:r>
                </w:p>
              </w:tc>
              <w:tc>
                <w:tcPr>
                  <w:tcW w:w="501" w:type="pct"/>
                  <w:noWrap w:val="0"/>
                  <w:vAlign w:val="center"/>
                </w:tcPr>
                <w:p w14:paraId="70533512">
                  <w:pPr>
                    <w:pStyle w:val="1111"/>
                    <w:bidi w:val="0"/>
                  </w:pPr>
                  <w:r>
                    <w:t>50m</w:t>
                  </w:r>
                </w:p>
              </w:tc>
              <w:tc>
                <w:tcPr>
                  <w:tcW w:w="501" w:type="pct"/>
                  <w:noWrap w:val="0"/>
                  <w:vAlign w:val="center"/>
                </w:tcPr>
                <w:p w14:paraId="6A4F03C9">
                  <w:pPr>
                    <w:pStyle w:val="1111"/>
                    <w:bidi w:val="0"/>
                    <w:rPr>
                      <w:rFonts w:ascii="Times New Roman" w:hAnsi="Times New Roman" w:eastAsia="宋体" w:cs="Times New Roman"/>
                      <w:kern w:val="0"/>
                      <w:sz w:val="21"/>
                      <w:szCs w:val="20"/>
                      <w:lang w:val="en-US" w:eastAsia="zh-CN" w:bidi="ar-SA"/>
                    </w:rPr>
                  </w:pPr>
                  <w:r>
                    <w:t>100m</w:t>
                  </w:r>
                </w:p>
              </w:tc>
              <w:tc>
                <w:tcPr>
                  <w:tcW w:w="461" w:type="pct"/>
                  <w:noWrap w:val="0"/>
                  <w:vAlign w:val="center"/>
                </w:tcPr>
                <w:p w14:paraId="5E59383D">
                  <w:pPr>
                    <w:pStyle w:val="1111"/>
                    <w:bidi w:val="0"/>
                    <w:rPr>
                      <w:rFonts w:hint="default" w:eastAsia="宋体"/>
                      <w:lang w:val="en-US" w:eastAsia="zh-CN"/>
                    </w:rPr>
                  </w:pPr>
                  <w:r>
                    <w:rPr>
                      <w:rFonts w:hint="eastAsia"/>
                      <w:lang w:val="en-US" w:eastAsia="zh-CN"/>
                    </w:rPr>
                    <w:t>200m</w:t>
                  </w:r>
                </w:p>
              </w:tc>
              <w:tc>
                <w:tcPr>
                  <w:tcW w:w="510" w:type="pct"/>
                  <w:noWrap w:val="0"/>
                  <w:vAlign w:val="center"/>
                </w:tcPr>
                <w:p w14:paraId="67FDAA07">
                  <w:pPr>
                    <w:pStyle w:val="1111"/>
                    <w:bidi w:val="0"/>
                    <w:rPr>
                      <w:rFonts w:hint="default" w:eastAsia="宋体"/>
                      <w:lang w:val="en-US" w:eastAsia="zh-CN"/>
                    </w:rPr>
                  </w:pPr>
                  <w:r>
                    <w:rPr>
                      <w:rFonts w:hint="eastAsia"/>
                      <w:lang w:val="en-US" w:eastAsia="zh-CN"/>
                    </w:rPr>
                    <w:t>300m</w:t>
                  </w:r>
                </w:p>
              </w:tc>
              <w:tc>
                <w:tcPr>
                  <w:tcW w:w="477" w:type="pct"/>
                  <w:noWrap w:val="0"/>
                  <w:vAlign w:val="center"/>
                </w:tcPr>
                <w:p w14:paraId="7ACA087F">
                  <w:pPr>
                    <w:pStyle w:val="1111"/>
                    <w:bidi w:val="0"/>
                    <w:rPr>
                      <w:rFonts w:hint="default" w:eastAsia="宋体"/>
                      <w:lang w:val="en-US" w:eastAsia="zh-CN"/>
                    </w:rPr>
                  </w:pPr>
                  <w:r>
                    <w:rPr>
                      <w:rFonts w:hint="eastAsia"/>
                      <w:lang w:val="en-US" w:eastAsia="zh-CN"/>
                    </w:rPr>
                    <w:t>450m</w:t>
                  </w:r>
                </w:p>
              </w:tc>
            </w:tr>
            <w:tr w14:paraId="24DAEA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0" w:type="pct"/>
                  <w:noWrap w:val="0"/>
                  <w:vAlign w:val="center"/>
                </w:tcPr>
                <w:p w14:paraId="72FB0EC6">
                  <w:pPr>
                    <w:pStyle w:val="1111"/>
                    <w:bidi w:val="0"/>
                    <w:rPr>
                      <w:rFonts w:hint="default" w:eastAsia="宋体"/>
                      <w:lang w:val="en-US" w:eastAsia="zh-CN"/>
                    </w:rPr>
                  </w:pPr>
                  <w:r>
                    <w:rPr>
                      <w:rFonts w:hint="eastAsia"/>
                      <w:lang w:val="en-US" w:eastAsia="zh-CN"/>
                    </w:rPr>
                    <w:t>1#风机</w:t>
                  </w:r>
                </w:p>
              </w:tc>
              <w:tc>
                <w:tcPr>
                  <w:tcW w:w="451" w:type="pct"/>
                  <w:noWrap w:val="0"/>
                  <w:vAlign w:val="center"/>
                </w:tcPr>
                <w:p w14:paraId="0CE040AE">
                  <w:pPr>
                    <w:pStyle w:val="1111"/>
                    <w:bidi w:val="0"/>
                    <w:rPr>
                      <w:rFonts w:hint="default" w:eastAsia="宋体"/>
                      <w:lang w:val="en-US" w:eastAsia="zh-CN"/>
                    </w:rPr>
                  </w:pPr>
                  <w:r>
                    <w:rPr>
                      <w:rFonts w:hint="eastAsia"/>
                      <w:lang w:val="en-US" w:eastAsia="zh-CN"/>
                    </w:rPr>
                    <w:t>56</w:t>
                  </w:r>
                </w:p>
              </w:tc>
              <w:tc>
                <w:tcPr>
                  <w:tcW w:w="471" w:type="pct"/>
                  <w:noWrap w:val="0"/>
                  <w:vAlign w:val="center"/>
                </w:tcPr>
                <w:p w14:paraId="017859D8">
                  <w:pPr>
                    <w:pStyle w:val="1111"/>
                    <w:bidi w:val="0"/>
                    <w:rPr>
                      <w:rFonts w:hint="default" w:eastAsia="宋体"/>
                      <w:lang w:val="en-US" w:eastAsia="zh-CN"/>
                    </w:rPr>
                  </w:pPr>
                  <w:r>
                    <w:rPr>
                      <w:rFonts w:hint="eastAsia"/>
                      <w:lang w:val="en-US" w:eastAsia="zh-CN"/>
                    </w:rPr>
                    <w:t>50</w:t>
                  </w:r>
                </w:p>
              </w:tc>
              <w:tc>
                <w:tcPr>
                  <w:tcW w:w="471" w:type="pct"/>
                  <w:noWrap w:val="0"/>
                  <w:vAlign w:val="center"/>
                </w:tcPr>
                <w:p w14:paraId="4217C338">
                  <w:pPr>
                    <w:pStyle w:val="1111"/>
                    <w:bidi w:val="0"/>
                    <w:rPr>
                      <w:rFonts w:hint="default"/>
                      <w:lang w:val="en-US" w:eastAsia="zh-CN"/>
                    </w:rPr>
                  </w:pPr>
                  <w:r>
                    <w:rPr>
                      <w:rFonts w:hint="eastAsia"/>
                      <w:lang w:val="en-US" w:eastAsia="zh-CN"/>
                    </w:rPr>
                    <w:t>44</w:t>
                  </w:r>
                </w:p>
              </w:tc>
              <w:tc>
                <w:tcPr>
                  <w:tcW w:w="481" w:type="pct"/>
                  <w:noWrap w:val="0"/>
                  <w:vAlign w:val="center"/>
                </w:tcPr>
                <w:p w14:paraId="0012C877">
                  <w:pPr>
                    <w:pStyle w:val="1111"/>
                    <w:bidi w:val="0"/>
                    <w:rPr>
                      <w:rFonts w:hint="default"/>
                      <w:lang w:val="en-US" w:eastAsia="zh-CN"/>
                    </w:rPr>
                  </w:pPr>
                  <w:r>
                    <w:rPr>
                      <w:rFonts w:hint="eastAsia"/>
                      <w:lang w:val="en-US" w:eastAsia="zh-CN"/>
                    </w:rPr>
                    <w:t>40.5</w:t>
                  </w:r>
                </w:p>
              </w:tc>
              <w:tc>
                <w:tcPr>
                  <w:tcW w:w="501" w:type="pct"/>
                  <w:noWrap w:val="0"/>
                  <w:vAlign w:val="center"/>
                </w:tcPr>
                <w:p w14:paraId="432F3644">
                  <w:pPr>
                    <w:pStyle w:val="1111"/>
                    <w:bidi w:val="0"/>
                    <w:rPr>
                      <w:rFonts w:hint="default" w:eastAsia="宋体"/>
                      <w:lang w:val="en-US" w:eastAsia="zh-CN"/>
                    </w:rPr>
                  </w:pPr>
                  <w:r>
                    <w:rPr>
                      <w:rFonts w:hint="eastAsia"/>
                      <w:lang w:val="en-US" w:eastAsia="zh-CN"/>
                    </w:rPr>
                    <w:t>36</w:t>
                  </w:r>
                </w:p>
              </w:tc>
              <w:tc>
                <w:tcPr>
                  <w:tcW w:w="501" w:type="pct"/>
                  <w:noWrap w:val="0"/>
                  <w:vAlign w:val="center"/>
                </w:tcPr>
                <w:p w14:paraId="1D82C806">
                  <w:pPr>
                    <w:pStyle w:val="1111"/>
                    <w:bidi w:val="0"/>
                    <w:rPr>
                      <w:rFonts w:hint="default" w:ascii="Times New Roman" w:hAnsi="Times New Roman" w:eastAsia="宋体" w:cs="Times New Roman"/>
                      <w:kern w:val="0"/>
                      <w:sz w:val="21"/>
                      <w:szCs w:val="20"/>
                      <w:lang w:val="en-US" w:eastAsia="zh-CN" w:bidi="ar-SA"/>
                    </w:rPr>
                  </w:pPr>
                  <w:r>
                    <w:rPr>
                      <w:rFonts w:hint="eastAsia"/>
                      <w:lang w:val="en-US" w:eastAsia="zh-CN"/>
                    </w:rPr>
                    <w:t>30</w:t>
                  </w:r>
                </w:p>
              </w:tc>
              <w:tc>
                <w:tcPr>
                  <w:tcW w:w="461" w:type="pct"/>
                  <w:noWrap w:val="0"/>
                  <w:vAlign w:val="center"/>
                </w:tcPr>
                <w:p w14:paraId="18A92E42">
                  <w:pPr>
                    <w:pStyle w:val="1111"/>
                    <w:bidi w:val="0"/>
                    <w:rPr>
                      <w:rFonts w:hint="default"/>
                      <w:lang w:val="en-US" w:eastAsia="zh-CN"/>
                    </w:rPr>
                  </w:pPr>
                  <w:r>
                    <w:rPr>
                      <w:rFonts w:hint="eastAsia"/>
                      <w:lang w:val="en-US" w:eastAsia="zh-CN"/>
                    </w:rPr>
                    <w:t>24</w:t>
                  </w:r>
                </w:p>
              </w:tc>
              <w:tc>
                <w:tcPr>
                  <w:tcW w:w="510" w:type="pct"/>
                  <w:noWrap w:val="0"/>
                  <w:vAlign w:val="center"/>
                </w:tcPr>
                <w:p w14:paraId="2211D274">
                  <w:pPr>
                    <w:pStyle w:val="1111"/>
                    <w:bidi w:val="0"/>
                    <w:rPr>
                      <w:rFonts w:hint="default"/>
                      <w:lang w:val="en-US" w:eastAsia="zh-CN"/>
                    </w:rPr>
                  </w:pPr>
                  <w:r>
                    <w:rPr>
                      <w:rFonts w:hint="eastAsia"/>
                      <w:lang w:val="en-US" w:eastAsia="zh-CN"/>
                    </w:rPr>
                    <w:t>20.5</w:t>
                  </w:r>
                </w:p>
              </w:tc>
              <w:tc>
                <w:tcPr>
                  <w:tcW w:w="477" w:type="pct"/>
                  <w:noWrap w:val="0"/>
                  <w:vAlign w:val="center"/>
                </w:tcPr>
                <w:p w14:paraId="3F55A42A">
                  <w:pPr>
                    <w:pStyle w:val="1111"/>
                    <w:bidi w:val="0"/>
                    <w:rPr>
                      <w:rFonts w:hint="default"/>
                      <w:lang w:val="en-US" w:eastAsia="zh-CN"/>
                    </w:rPr>
                  </w:pPr>
                  <w:r>
                    <w:rPr>
                      <w:rFonts w:hint="eastAsia"/>
                      <w:lang w:val="en-US" w:eastAsia="zh-CN"/>
                    </w:rPr>
                    <w:t>16.9</w:t>
                  </w:r>
                </w:p>
              </w:tc>
            </w:tr>
            <w:tr w14:paraId="13F602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0" w:type="pct"/>
                  <w:noWrap w:val="0"/>
                  <w:vAlign w:val="center"/>
                </w:tcPr>
                <w:p w14:paraId="315092C8">
                  <w:pPr>
                    <w:pStyle w:val="1111"/>
                    <w:bidi w:val="0"/>
                    <w:rPr>
                      <w:rFonts w:hint="default" w:eastAsia="宋体"/>
                      <w:lang w:val="en-US" w:eastAsia="zh-CN"/>
                    </w:rPr>
                  </w:pPr>
                  <w:r>
                    <w:rPr>
                      <w:rFonts w:hint="eastAsia"/>
                      <w:lang w:val="en-US" w:eastAsia="zh-CN"/>
                    </w:rPr>
                    <w:t>2#风机</w:t>
                  </w:r>
                </w:p>
              </w:tc>
              <w:tc>
                <w:tcPr>
                  <w:tcW w:w="451" w:type="pct"/>
                  <w:noWrap w:val="0"/>
                  <w:vAlign w:val="center"/>
                </w:tcPr>
                <w:p w14:paraId="71591AE7">
                  <w:pPr>
                    <w:pStyle w:val="1111"/>
                    <w:bidi w:val="0"/>
                  </w:pPr>
                  <w:r>
                    <w:rPr>
                      <w:rFonts w:hint="eastAsia"/>
                      <w:lang w:val="en-US" w:eastAsia="zh-CN"/>
                    </w:rPr>
                    <w:t>56</w:t>
                  </w:r>
                </w:p>
              </w:tc>
              <w:tc>
                <w:tcPr>
                  <w:tcW w:w="471" w:type="pct"/>
                  <w:noWrap w:val="0"/>
                  <w:vAlign w:val="center"/>
                </w:tcPr>
                <w:p w14:paraId="48736BC4">
                  <w:pPr>
                    <w:pStyle w:val="1111"/>
                    <w:bidi w:val="0"/>
                  </w:pPr>
                  <w:r>
                    <w:rPr>
                      <w:rFonts w:hint="eastAsia"/>
                      <w:lang w:val="en-US" w:eastAsia="zh-CN"/>
                    </w:rPr>
                    <w:t>50</w:t>
                  </w:r>
                </w:p>
              </w:tc>
              <w:tc>
                <w:tcPr>
                  <w:tcW w:w="471" w:type="pct"/>
                  <w:noWrap w:val="0"/>
                  <w:vAlign w:val="center"/>
                </w:tcPr>
                <w:p w14:paraId="4F3E945F">
                  <w:pPr>
                    <w:pStyle w:val="1111"/>
                    <w:bidi w:val="0"/>
                  </w:pPr>
                  <w:r>
                    <w:rPr>
                      <w:rFonts w:hint="eastAsia"/>
                      <w:lang w:val="en-US" w:eastAsia="zh-CN"/>
                    </w:rPr>
                    <w:t>44</w:t>
                  </w:r>
                </w:p>
              </w:tc>
              <w:tc>
                <w:tcPr>
                  <w:tcW w:w="481" w:type="pct"/>
                  <w:noWrap w:val="0"/>
                  <w:vAlign w:val="center"/>
                </w:tcPr>
                <w:p w14:paraId="31C58EF5">
                  <w:pPr>
                    <w:pStyle w:val="1111"/>
                    <w:bidi w:val="0"/>
                  </w:pPr>
                  <w:r>
                    <w:rPr>
                      <w:rFonts w:hint="eastAsia"/>
                      <w:lang w:val="en-US" w:eastAsia="zh-CN"/>
                    </w:rPr>
                    <w:t>40.5</w:t>
                  </w:r>
                </w:p>
              </w:tc>
              <w:tc>
                <w:tcPr>
                  <w:tcW w:w="501" w:type="pct"/>
                  <w:noWrap w:val="0"/>
                  <w:vAlign w:val="center"/>
                </w:tcPr>
                <w:p w14:paraId="02091B68">
                  <w:pPr>
                    <w:pStyle w:val="1111"/>
                    <w:bidi w:val="0"/>
                  </w:pPr>
                  <w:r>
                    <w:rPr>
                      <w:rFonts w:hint="eastAsia"/>
                      <w:lang w:val="en-US" w:eastAsia="zh-CN"/>
                    </w:rPr>
                    <w:t>36</w:t>
                  </w:r>
                </w:p>
              </w:tc>
              <w:tc>
                <w:tcPr>
                  <w:tcW w:w="501" w:type="pct"/>
                  <w:noWrap w:val="0"/>
                  <w:vAlign w:val="center"/>
                </w:tcPr>
                <w:p w14:paraId="3B1FF57F">
                  <w:pPr>
                    <w:pStyle w:val="1111"/>
                    <w:bidi w:val="0"/>
                    <w:rPr>
                      <w:rFonts w:ascii="Times New Roman" w:hAnsi="Times New Roman" w:eastAsia="宋体" w:cs="Times New Roman"/>
                      <w:kern w:val="0"/>
                      <w:sz w:val="21"/>
                      <w:szCs w:val="20"/>
                      <w:lang w:val="en-US" w:eastAsia="zh-CN" w:bidi="ar-SA"/>
                    </w:rPr>
                  </w:pPr>
                  <w:r>
                    <w:rPr>
                      <w:rFonts w:hint="eastAsia"/>
                      <w:lang w:val="en-US" w:eastAsia="zh-CN"/>
                    </w:rPr>
                    <w:t>30</w:t>
                  </w:r>
                </w:p>
              </w:tc>
              <w:tc>
                <w:tcPr>
                  <w:tcW w:w="461" w:type="pct"/>
                  <w:noWrap w:val="0"/>
                  <w:vAlign w:val="center"/>
                </w:tcPr>
                <w:p w14:paraId="077895FC">
                  <w:pPr>
                    <w:pStyle w:val="1111"/>
                    <w:bidi w:val="0"/>
                    <w:rPr>
                      <w:rFonts w:hint="eastAsia" w:ascii="Times New Roman" w:hAnsi="Times New Roman" w:eastAsia="宋体" w:cs="Times New Roman"/>
                      <w:kern w:val="0"/>
                      <w:sz w:val="21"/>
                      <w:szCs w:val="20"/>
                      <w:lang w:val="en-US" w:eastAsia="zh-CN" w:bidi="ar-SA"/>
                    </w:rPr>
                  </w:pPr>
                  <w:r>
                    <w:rPr>
                      <w:rFonts w:hint="eastAsia"/>
                      <w:lang w:val="en-US" w:eastAsia="zh-CN"/>
                    </w:rPr>
                    <w:t>24</w:t>
                  </w:r>
                </w:p>
              </w:tc>
              <w:tc>
                <w:tcPr>
                  <w:tcW w:w="510" w:type="pct"/>
                  <w:noWrap w:val="0"/>
                  <w:vAlign w:val="center"/>
                </w:tcPr>
                <w:p w14:paraId="50968899">
                  <w:pPr>
                    <w:pStyle w:val="1111"/>
                    <w:bidi w:val="0"/>
                    <w:rPr>
                      <w:rFonts w:hint="eastAsia" w:ascii="Times New Roman" w:hAnsi="Times New Roman" w:eastAsia="宋体" w:cs="Times New Roman"/>
                      <w:kern w:val="0"/>
                      <w:sz w:val="21"/>
                      <w:szCs w:val="20"/>
                      <w:lang w:val="en-US" w:eastAsia="zh-CN" w:bidi="ar-SA"/>
                    </w:rPr>
                  </w:pPr>
                  <w:r>
                    <w:rPr>
                      <w:rFonts w:hint="eastAsia"/>
                      <w:lang w:val="en-US" w:eastAsia="zh-CN"/>
                    </w:rPr>
                    <w:t>20.5</w:t>
                  </w:r>
                </w:p>
              </w:tc>
              <w:tc>
                <w:tcPr>
                  <w:tcW w:w="477" w:type="pct"/>
                  <w:noWrap w:val="0"/>
                  <w:vAlign w:val="center"/>
                </w:tcPr>
                <w:p w14:paraId="2F95D44A">
                  <w:pPr>
                    <w:pStyle w:val="1111"/>
                    <w:bidi w:val="0"/>
                    <w:rPr>
                      <w:rFonts w:hint="eastAsia" w:ascii="Times New Roman" w:hAnsi="Times New Roman" w:eastAsia="宋体" w:cs="Times New Roman"/>
                      <w:kern w:val="0"/>
                      <w:sz w:val="21"/>
                      <w:szCs w:val="20"/>
                      <w:lang w:val="en-US" w:eastAsia="zh-CN" w:bidi="ar-SA"/>
                    </w:rPr>
                  </w:pPr>
                  <w:r>
                    <w:rPr>
                      <w:rFonts w:hint="eastAsia"/>
                      <w:lang w:val="en-US" w:eastAsia="zh-CN"/>
                    </w:rPr>
                    <w:t>16.9</w:t>
                  </w:r>
                </w:p>
              </w:tc>
            </w:tr>
            <w:tr w14:paraId="42929A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0" w:type="pct"/>
                  <w:noWrap w:val="0"/>
                  <w:vAlign w:val="center"/>
                </w:tcPr>
                <w:p w14:paraId="26FC0D2D">
                  <w:pPr>
                    <w:pStyle w:val="1111"/>
                    <w:bidi w:val="0"/>
                    <w:rPr>
                      <w:rFonts w:hint="default" w:eastAsia="宋体"/>
                      <w:lang w:val="en-US" w:eastAsia="zh-CN"/>
                    </w:rPr>
                  </w:pPr>
                  <w:r>
                    <w:rPr>
                      <w:rFonts w:hint="eastAsia"/>
                      <w:lang w:val="en-US" w:eastAsia="zh-CN"/>
                    </w:rPr>
                    <w:t>3#风机</w:t>
                  </w:r>
                </w:p>
              </w:tc>
              <w:tc>
                <w:tcPr>
                  <w:tcW w:w="451" w:type="pct"/>
                  <w:noWrap w:val="0"/>
                  <w:vAlign w:val="center"/>
                </w:tcPr>
                <w:p w14:paraId="5E31BA00">
                  <w:pPr>
                    <w:pStyle w:val="1111"/>
                    <w:bidi w:val="0"/>
                  </w:pPr>
                  <w:r>
                    <w:rPr>
                      <w:rFonts w:hint="eastAsia"/>
                      <w:lang w:val="en-US" w:eastAsia="zh-CN"/>
                    </w:rPr>
                    <w:t>56</w:t>
                  </w:r>
                </w:p>
              </w:tc>
              <w:tc>
                <w:tcPr>
                  <w:tcW w:w="471" w:type="pct"/>
                  <w:noWrap w:val="0"/>
                  <w:vAlign w:val="center"/>
                </w:tcPr>
                <w:p w14:paraId="053F28D0">
                  <w:pPr>
                    <w:pStyle w:val="1111"/>
                    <w:bidi w:val="0"/>
                  </w:pPr>
                  <w:r>
                    <w:rPr>
                      <w:rFonts w:hint="eastAsia"/>
                      <w:lang w:val="en-US" w:eastAsia="zh-CN"/>
                    </w:rPr>
                    <w:t>50</w:t>
                  </w:r>
                </w:p>
              </w:tc>
              <w:tc>
                <w:tcPr>
                  <w:tcW w:w="471" w:type="pct"/>
                  <w:noWrap w:val="0"/>
                  <w:vAlign w:val="center"/>
                </w:tcPr>
                <w:p w14:paraId="6D76BBA3">
                  <w:pPr>
                    <w:pStyle w:val="1111"/>
                    <w:bidi w:val="0"/>
                  </w:pPr>
                  <w:r>
                    <w:rPr>
                      <w:rFonts w:hint="eastAsia"/>
                      <w:lang w:val="en-US" w:eastAsia="zh-CN"/>
                    </w:rPr>
                    <w:t>44</w:t>
                  </w:r>
                </w:p>
              </w:tc>
              <w:tc>
                <w:tcPr>
                  <w:tcW w:w="481" w:type="pct"/>
                  <w:noWrap w:val="0"/>
                  <w:vAlign w:val="center"/>
                </w:tcPr>
                <w:p w14:paraId="158649ED">
                  <w:pPr>
                    <w:pStyle w:val="1111"/>
                    <w:bidi w:val="0"/>
                  </w:pPr>
                  <w:r>
                    <w:rPr>
                      <w:rFonts w:hint="eastAsia"/>
                      <w:lang w:val="en-US" w:eastAsia="zh-CN"/>
                    </w:rPr>
                    <w:t>40.5</w:t>
                  </w:r>
                </w:p>
              </w:tc>
              <w:tc>
                <w:tcPr>
                  <w:tcW w:w="501" w:type="pct"/>
                  <w:noWrap w:val="0"/>
                  <w:vAlign w:val="center"/>
                </w:tcPr>
                <w:p w14:paraId="1A9FC7E3">
                  <w:pPr>
                    <w:pStyle w:val="1111"/>
                    <w:bidi w:val="0"/>
                  </w:pPr>
                  <w:r>
                    <w:rPr>
                      <w:rFonts w:hint="eastAsia"/>
                      <w:lang w:val="en-US" w:eastAsia="zh-CN"/>
                    </w:rPr>
                    <w:t>36</w:t>
                  </w:r>
                </w:p>
              </w:tc>
              <w:tc>
                <w:tcPr>
                  <w:tcW w:w="501" w:type="pct"/>
                  <w:noWrap w:val="0"/>
                  <w:vAlign w:val="center"/>
                </w:tcPr>
                <w:p w14:paraId="7E44982D">
                  <w:pPr>
                    <w:pStyle w:val="1111"/>
                    <w:bidi w:val="0"/>
                    <w:rPr>
                      <w:rFonts w:ascii="Times New Roman" w:hAnsi="Times New Roman" w:eastAsia="宋体" w:cs="Times New Roman"/>
                      <w:kern w:val="0"/>
                      <w:sz w:val="21"/>
                      <w:szCs w:val="20"/>
                      <w:lang w:val="en-US" w:eastAsia="zh-CN" w:bidi="ar-SA"/>
                    </w:rPr>
                  </w:pPr>
                  <w:r>
                    <w:rPr>
                      <w:rFonts w:hint="eastAsia"/>
                      <w:lang w:val="en-US" w:eastAsia="zh-CN"/>
                    </w:rPr>
                    <w:t>30</w:t>
                  </w:r>
                </w:p>
              </w:tc>
              <w:tc>
                <w:tcPr>
                  <w:tcW w:w="461" w:type="pct"/>
                  <w:noWrap w:val="0"/>
                  <w:vAlign w:val="center"/>
                </w:tcPr>
                <w:p w14:paraId="7077DD8E">
                  <w:pPr>
                    <w:pStyle w:val="1111"/>
                    <w:bidi w:val="0"/>
                    <w:rPr>
                      <w:rFonts w:hint="eastAsia" w:ascii="Times New Roman" w:hAnsi="Times New Roman" w:eastAsia="宋体" w:cs="Times New Roman"/>
                      <w:kern w:val="0"/>
                      <w:sz w:val="21"/>
                      <w:szCs w:val="20"/>
                      <w:lang w:val="en-US" w:eastAsia="zh-CN" w:bidi="ar-SA"/>
                    </w:rPr>
                  </w:pPr>
                  <w:r>
                    <w:rPr>
                      <w:rFonts w:hint="eastAsia"/>
                      <w:lang w:val="en-US" w:eastAsia="zh-CN"/>
                    </w:rPr>
                    <w:t>24</w:t>
                  </w:r>
                </w:p>
              </w:tc>
              <w:tc>
                <w:tcPr>
                  <w:tcW w:w="510" w:type="pct"/>
                  <w:noWrap w:val="0"/>
                  <w:vAlign w:val="center"/>
                </w:tcPr>
                <w:p w14:paraId="7E77C8FD">
                  <w:pPr>
                    <w:pStyle w:val="1111"/>
                    <w:bidi w:val="0"/>
                    <w:rPr>
                      <w:rFonts w:hint="eastAsia" w:ascii="Times New Roman" w:hAnsi="Times New Roman" w:eastAsia="宋体" w:cs="Times New Roman"/>
                      <w:kern w:val="0"/>
                      <w:sz w:val="21"/>
                      <w:szCs w:val="20"/>
                      <w:lang w:val="en-US" w:eastAsia="zh-CN" w:bidi="ar-SA"/>
                    </w:rPr>
                  </w:pPr>
                  <w:r>
                    <w:rPr>
                      <w:rFonts w:hint="eastAsia"/>
                      <w:lang w:val="en-US" w:eastAsia="zh-CN"/>
                    </w:rPr>
                    <w:t>20.5</w:t>
                  </w:r>
                </w:p>
              </w:tc>
              <w:tc>
                <w:tcPr>
                  <w:tcW w:w="477" w:type="pct"/>
                  <w:noWrap w:val="0"/>
                  <w:vAlign w:val="center"/>
                </w:tcPr>
                <w:p w14:paraId="1B0A9AEF">
                  <w:pPr>
                    <w:pStyle w:val="1111"/>
                    <w:bidi w:val="0"/>
                    <w:rPr>
                      <w:rFonts w:hint="eastAsia" w:ascii="Times New Roman" w:hAnsi="Times New Roman" w:eastAsia="宋体" w:cs="Times New Roman"/>
                      <w:kern w:val="0"/>
                      <w:sz w:val="21"/>
                      <w:szCs w:val="20"/>
                      <w:lang w:val="en-US" w:eastAsia="zh-CN" w:bidi="ar-SA"/>
                    </w:rPr>
                  </w:pPr>
                  <w:r>
                    <w:rPr>
                      <w:rFonts w:hint="eastAsia"/>
                      <w:lang w:val="en-US" w:eastAsia="zh-CN"/>
                    </w:rPr>
                    <w:t>16.9</w:t>
                  </w:r>
                </w:p>
              </w:tc>
            </w:tr>
            <w:tr w14:paraId="480A5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0" w:type="pct"/>
                  <w:noWrap w:val="0"/>
                  <w:vAlign w:val="center"/>
                </w:tcPr>
                <w:p w14:paraId="5C658980">
                  <w:pPr>
                    <w:pStyle w:val="1111"/>
                    <w:bidi w:val="0"/>
                    <w:rPr>
                      <w:rFonts w:hint="eastAsia" w:eastAsia="宋体"/>
                      <w:lang w:eastAsia="zh-CN"/>
                    </w:rPr>
                  </w:pPr>
                  <w:r>
                    <w:rPr>
                      <w:rFonts w:hint="eastAsia"/>
                      <w:lang w:eastAsia="zh-CN"/>
                    </w:rPr>
                    <w:t>合计</w:t>
                  </w:r>
                </w:p>
              </w:tc>
              <w:tc>
                <w:tcPr>
                  <w:tcW w:w="451" w:type="pct"/>
                  <w:noWrap w:val="0"/>
                  <w:vAlign w:val="center"/>
                </w:tcPr>
                <w:p w14:paraId="2390E4FF">
                  <w:pPr>
                    <w:pStyle w:val="1111"/>
                    <w:bidi w:val="0"/>
                    <w:rPr>
                      <w:rFonts w:hint="default" w:eastAsia="宋体"/>
                      <w:lang w:val="en-US" w:eastAsia="zh-CN"/>
                    </w:rPr>
                  </w:pPr>
                  <w:r>
                    <w:rPr>
                      <w:rFonts w:hint="eastAsia"/>
                      <w:lang w:val="en-US" w:eastAsia="zh-CN"/>
                    </w:rPr>
                    <w:t>60.77</w:t>
                  </w:r>
                </w:p>
              </w:tc>
              <w:tc>
                <w:tcPr>
                  <w:tcW w:w="471" w:type="pct"/>
                  <w:noWrap w:val="0"/>
                  <w:vAlign w:val="center"/>
                </w:tcPr>
                <w:p w14:paraId="64457FB3">
                  <w:pPr>
                    <w:pStyle w:val="1111"/>
                    <w:bidi w:val="0"/>
                    <w:rPr>
                      <w:rFonts w:hint="default" w:eastAsia="宋体"/>
                      <w:lang w:val="en-US" w:eastAsia="zh-CN"/>
                    </w:rPr>
                  </w:pPr>
                  <w:r>
                    <w:rPr>
                      <w:rFonts w:hint="eastAsia"/>
                      <w:lang w:val="en-US" w:eastAsia="zh-CN"/>
                    </w:rPr>
                    <w:t>54.77</w:t>
                  </w:r>
                </w:p>
              </w:tc>
              <w:tc>
                <w:tcPr>
                  <w:tcW w:w="471" w:type="pct"/>
                  <w:noWrap w:val="0"/>
                  <w:vAlign w:val="center"/>
                </w:tcPr>
                <w:p w14:paraId="07BE4801">
                  <w:pPr>
                    <w:pStyle w:val="1111"/>
                    <w:bidi w:val="0"/>
                    <w:rPr>
                      <w:rFonts w:hint="default" w:eastAsia="宋体"/>
                      <w:lang w:val="en-US" w:eastAsia="zh-CN"/>
                    </w:rPr>
                  </w:pPr>
                  <w:r>
                    <w:rPr>
                      <w:rFonts w:hint="eastAsia"/>
                      <w:lang w:val="en-US" w:eastAsia="zh-CN"/>
                    </w:rPr>
                    <w:t>48.77</w:t>
                  </w:r>
                </w:p>
              </w:tc>
              <w:tc>
                <w:tcPr>
                  <w:tcW w:w="481" w:type="pct"/>
                  <w:noWrap w:val="0"/>
                  <w:vAlign w:val="center"/>
                </w:tcPr>
                <w:p w14:paraId="439894A1">
                  <w:pPr>
                    <w:pStyle w:val="1111"/>
                    <w:bidi w:val="0"/>
                    <w:rPr>
                      <w:rFonts w:hint="default" w:eastAsia="宋体"/>
                      <w:lang w:val="en-US" w:eastAsia="zh-CN"/>
                    </w:rPr>
                  </w:pPr>
                  <w:r>
                    <w:rPr>
                      <w:rFonts w:hint="eastAsia"/>
                      <w:lang w:val="en-US" w:eastAsia="zh-CN"/>
                    </w:rPr>
                    <w:t>45.27</w:t>
                  </w:r>
                </w:p>
              </w:tc>
              <w:tc>
                <w:tcPr>
                  <w:tcW w:w="501" w:type="pct"/>
                  <w:noWrap w:val="0"/>
                  <w:vAlign w:val="center"/>
                </w:tcPr>
                <w:p w14:paraId="7EF791CD">
                  <w:pPr>
                    <w:pStyle w:val="1111"/>
                    <w:bidi w:val="0"/>
                    <w:rPr>
                      <w:rFonts w:hint="default" w:eastAsia="宋体"/>
                      <w:lang w:val="en-US" w:eastAsia="zh-CN"/>
                    </w:rPr>
                  </w:pPr>
                  <w:r>
                    <w:rPr>
                      <w:rFonts w:hint="eastAsia"/>
                      <w:lang w:val="en-US" w:eastAsia="zh-CN"/>
                    </w:rPr>
                    <w:t>40.77</w:t>
                  </w:r>
                </w:p>
              </w:tc>
              <w:tc>
                <w:tcPr>
                  <w:tcW w:w="501" w:type="pct"/>
                  <w:noWrap w:val="0"/>
                  <w:vAlign w:val="center"/>
                </w:tcPr>
                <w:p w14:paraId="044DD576">
                  <w:pPr>
                    <w:pStyle w:val="1111"/>
                    <w:bidi w:val="0"/>
                    <w:rPr>
                      <w:rFonts w:hint="default" w:ascii="Times New Roman" w:hAnsi="Times New Roman" w:eastAsia="宋体" w:cs="Times New Roman"/>
                      <w:kern w:val="0"/>
                      <w:sz w:val="21"/>
                      <w:szCs w:val="20"/>
                      <w:lang w:val="en-US" w:eastAsia="zh-CN" w:bidi="ar-SA"/>
                    </w:rPr>
                  </w:pPr>
                  <w:r>
                    <w:rPr>
                      <w:rFonts w:hint="eastAsia"/>
                      <w:lang w:val="en-US" w:eastAsia="zh-CN"/>
                    </w:rPr>
                    <w:t>34.77</w:t>
                  </w:r>
                </w:p>
              </w:tc>
              <w:tc>
                <w:tcPr>
                  <w:tcW w:w="461" w:type="pct"/>
                  <w:noWrap w:val="0"/>
                  <w:vAlign w:val="center"/>
                </w:tcPr>
                <w:p w14:paraId="7DE0F6F8">
                  <w:pPr>
                    <w:pStyle w:val="1111"/>
                    <w:bidi w:val="0"/>
                    <w:rPr>
                      <w:rFonts w:hint="default"/>
                      <w:lang w:val="en-US" w:eastAsia="zh-CN"/>
                    </w:rPr>
                  </w:pPr>
                  <w:r>
                    <w:rPr>
                      <w:rFonts w:hint="eastAsia"/>
                      <w:lang w:val="en-US" w:eastAsia="zh-CN"/>
                    </w:rPr>
                    <w:t>28.77</w:t>
                  </w:r>
                </w:p>
              </w:tc>
              <w:tc>
                <w:tcPr>
                  <w:tcW w:w="510" w:type="pct"/>
                  <w:noWrap w:val="0"/>
                  <w:vAlign w:val="center"/>
                </w:tcPr>
                <w:p w14:paraId="23E4E1D0">
                  <w:pPr>
                    <w:pStyle w:val="1111"/>
                    <w:bidi w:val="0"/>
                    <w:rPr>
                      <w:rFonts w:hint="default"/>
                      <w:lang w:val="en-US" w:eastAsia="zh-CN"/>
                    </w:rPr>
                  </w:pPr>
                  <w:r>
                    <w:rPr>
                      <w:rFonts w:hint="eastAsia"/>
                      <w:lang w:val="en-US" w:eastAsia="zh-CN"/>
                    </w:rPr>
                    <w:t>25.27</w:t>
                  </w:r>
                </w:p>
              </w:tc>
              <w:tc>
                <w:tcPr>
                  <w:tcW w:w="477" w:type="pct"/>
                  <w:noWrap w:val="0"/>
                  <w:vAlign w:val="center"/>
                </w:tcPr>
                <w:p w14:paraId="05BFF7C3">
                  <w:pPr>
                    <w:pStyle w:val="1111"/>
                    <w:bidi w:val="0"/>
                    <w:rPr>
                      <w:rFonts w:hint="default"/>
                      <w:lang w:val="en-US" w:eastAsia="zh-CN"/>
                    </w:rPr>
                  </w:pPr>
                  <w:r>
                    <w:rPr>
                      <w:rFonts w:hint="eastAsia"/>
                      <w:lang w:val="en-US" w:eastAsia="zh-CN"/>
                    </w:rPr>
                    <w:t>21.67</w:t>
                  </w:r>
                </w:p>
              </w:tc>
            </w:tr>
          </w:tbl>
          <w:p w14:paraId="4B5C435C">
            <w:pPr>
              <w:pStyle w:val="512"/>
              <w:bidi w:val="0"/>
              <w:rPr>
                <w:rStyle w:val="511"/>
                <w:rFonts w:hint="eastAsia" w:eastAsia="宋体"/>
                <w:lang w:val="en-US" w:eastAsia="zh-CN"/>
              </w:rPr>
            </w:pPr>
            <w:r>
              <w:t>由表4-</w:t>
            </w:r>
            <w:r>
              <w:rPr>
                <w:rFonts w:hint="eastAsia"/>
                <w:lang w:val="en-US" w:eastAsia="zh-CN"/>
              </w:rPr>
              <w:t>17</w:t>
            </w:r>
            <w:r>
              <w:t>可知，在严格落实各项噪声防治措施的条件下，</w:t>
            </w:r>
            <w:r>
              <w:rPr>
                <w:rFonts w:hint="eastAsia"/>
                <w:lang w:eastAsia="zh-CN"/>
              </w:rPr>
              <w:t>昼间</w:t>
            </w:r>
            <w:r>
              <w:rPr>
                <w:rFonts w:hint="eastAsia"/>
                <w:lang w:val="en-US" w:eastAsia="zh-CN"/>
              </w:rPr>
              <w:t>10m内出现超标，夜间20m内出现超标。本项目周边50m范围无声环境敏感目标，最近的敏感目标为距离454m处的连云港</w:t>
            </w:r>
            <w:r>
              <w:rPr>
                <w:rStyle w:val="511"/>
                <w:rFonts w:hint="eastAsia"/>
                <w:lang w:val="en-US" w:eastAsia="zh-CN"/>
              </w:rPr>
              <w:t>市</w:t>
            </w:r>
            <w:r>
              <w:rPr>
                <w:rStyle w:val="511"/>
              </w:rPr>
              <w:t>食品药品检验检测中心</w:t>
            </w:r>
            <w:r>
              <w:rPr>
                <w:rStyle w:val="511"/>
                <w:rFonts w:hint="eastAsia"/>
                <w:lang w:eastAsia="zh-CN"/>
              </w:rPr>
              <w:t>，</w:t>
            </w:r>
            <w:r>
              <w:rPr>
                <w:rFonts w:hint="eastAsia" w:ascii="Times New Roman" w:eastAsia="宋体"/>
                <w:sz w:val="24"/>
                <w:szCs w:val="24"/>
                <w:lang w:eastAsia="zh-CN"/>
              </w:rPr>
              <w:t>本项目最终到达</w:t>
            </w:r>
            <w:r>
              <w:rPr>
                <w:rStyle w:val="511"/>
              </w:rPr>
              <w:t>食品药品检验检测中心</w:t>
            </w:r>
            <w:r>
              <w:rPr>
                <w:rStyle w:val="511"/>
                <w:rFonts w:hint="eastAsia"/>
                <w:lang w:eastAsia="zh-CN"/>
              </w:rPr>
              <w:t>的噪声大约为</w:t>
            </w:r>
            <w:r>
              <w:rPr>
                <w:rStyle w:val="511"/>
                <w:rFonts w:hint="eastAsia"/>
                <w:lang w:val="en-US" w:eastAsia="zh-CN"/>
              </w:rPr>
              <w:t>21.63</w:t>
            </w:r>
            <w:r>
              <w:t>dB</w:t>
            </w:r>
            <w:r>
              <w:rPr>
                <w:rFonts w:hint="eastAsia"/>
                <w:lang w:eastAsia="zh-CN"/>
              </w:rPr>
              <w:t>（</w:t>
            </w:r>
            <w:r>
              <w:t>A</w:t>
            </w:r>
            <w:r>
              <w:rPr>
                <w:rFonts w:hint="eastAsia"/>
                <w:lang w:eastAsia="zh-CN"/>
              </w:rPr>
              <w:t>），没有出现超标现象，对区域声环境影响较小</w:t>
            </w:r>
            <w:r>
              <w:rPr>
                <w:rFonts w:ascii="Times New Roman" w:eastAsia="宋体"/>
                <w:sz w:val="24"/>
                <w:szCs w:val="24"/>
              </w:rPr>
              <w:t>。</w:t>
            </w:r>
          </w:p>
          <w:p w14:paraId="25693DFE">
            <w:pPr>
              <w:pStyle w:val="512"/>
              <w:bidi w:val="0"/>
            </w:pPr>
            <w:r>
              <w:t>（5）监测计划</w:t>
            </w:r>
          </w:p>
          <w:p w14:paraId="32B67FEC">
            <w:pPr>
              <w:pStyle w:val="512"/>
              <w:bidi w:val="0"/>
            </w:pPr>
            <w:r>
              <w:t>根据《排污单位自行监测技术指南</w:t>
            </w:r>
            <w:r>
              <w:rPr>
                <w:rFonts w:hint="eastAsia"/>
              </w:rPr>
              <w:t xml:space="preserve"> </w:t>
            </w:r>
            <w:r>
              <w:t>总则》（HJ819-2017），项目</w:t>
            </w:r>
            <w:r>
              <w:rPr>
                <w:rFonts w:hint="eastAsia"/>
              </w:rPr>
              <w:t>运营</w:t>
            </w:r>
            <w:r>
              <w:t>后，企业应定期组织噪声监测。若企业不具备监测条件，需委托当地具有监测资质的单位开展噪声监测。项目监测计划具体如下表所示。</w:t>
            </w:r>
          </w:p>
          <w:p w14:paraId="10AE6A06">
            <w:pPr>
              <w:pStyle w:val="1111"/>
              <w:bidi w:val="0"/>
            </w:pPr>
            <w:r>
              <w:t>表4-</w:t>
            </w:r>
            <w:r>
              <w:rPr>
                <w:rFonts w:hint="eastAsia"/>
                <w:lang w:val="en-US" w:eastAsia="zh-CN"/>
              </w:rPr>
              <w:t>18</w:t>
            </w:r>
            <w:r>
              <w:t xml:space="preserve"> 噪声监测计划一览表</w:t>
            </w:r>
          </w:p>
          <w:tbl>
            <w:tblPr>
              <w:tblStyle w:val="77"/>
              <w:tblW w:w="5000"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70"/>
              <w:gridCol w:w="1499"/>
              <w:gridCol w:w="1091"/>
              <w:gridCol w:w="3379"/>
            </w:tblGrid>
            <w:tr w14:paraId="7059CD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3" w:type="pct"/>
                  <w:tcBorders>
                    <w:tl2br w:val="nil"/>
                    <w:tr2bl w:val="nil"/>
                  </w:tcBorders>
                  <w:noWrap w:val="0"/>
                  <w:vAlign w:val="center"/>
                </w:tcPr>
                <w:p w14:paraId="5E5E2EAA">
                  <w:pPr>
                    <w:pStyle w:val="1111"/>
                    <w:bidi w:val="0"/>
                  </w:pPr>
                  <w:r>
                    <w:t>监测点位</w:t>
                  </w:r>
                </w:p>
              </w:tc>
              <w:tc>
                <w:tcPr>
                  <w:tcW w:w="981" w:type="pct"/>
                  <w:tcBorders>
                    <w:tl2br w:val="nil"/>
                    <w:tr2bl w:val="nil"/>
                  </w:tcBorders>
                  <w:noWrap w:val="0"/>
                  <w:vAlign w:val="center"/>
                </w:tcPr>
                <w:p w14:paraId="4E989421">
                  <w:pPr>
                    <w:pStyle w:val="1111"/>
                    <w:bidi w:val="0"/>
                  </w:pPr>
                  <w:r>
                    <w:t>监测指标</w:t>
                  </w:r>
                </w:p>
              </w:tc>
              <w:tc>
                <w:tcPr>
                  <w:tcW w:w="714" w:type="pct"/>
                  <w:tcBorders>
                    <w:tl2br w:val="nil"/>
                    <w:tr2bl w:val="nil"/>
                  </w:tcBorders>
                  <w:noWrap w:val="0"/>
                  <w:vAlign w:val="center"/>
                </w:tcPr>
                <w:p w14:paraId="5E2D2ACF">
                  <w:pPr>
                    <w:pStyle w:val="1111"/>
                    <w:bidi w:val="0"/>
                  </w:pPr>
                  <w:r>
                    <w:t>监测频次</w:t>
                  </w:r>
                </w:p>
              </w:tc>
              <w:tc>
                <w:tcPr>
                  <w:tcW w:w="2212" w:type="pct"/>
                  <w:tcBorders>
                    <w:tl2br w:val="nil"/>
                    <w:tr2bl w:val="nil"/>
                  </w:tcBorders>
                  <w:noWrap w:val="0"/>
                  <w:vAlign w:val="center"/>
                </w:tcPr>
                <w:p w14:paraId="4B787A8F">
                  <w:pPr>
                    <w:pStyle w:val="1111"/>
                    <w:bidi w:val="0"/>
                  </w:pPr>
                  <w:r>
                    <w:t>执行排放标准</w:t>
                  </w:r>
                </w:p>
              </w:tc>
            </w:tr>
            <w:tr w14:paraId="5D0D6B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 w:hRule="atLeast"/>
              </w:trPr>
              <w:tc>
                <w:tcPr>
                  <w:tcW w:w="1093" w:type="pct"/>
                  <w:tcBorders>
                    <w:tl2br w:val="nil"/>
                    <w:tr2bl w:val="nil"/>
                  </w:tcBorders>
                  <w:noWrap w:val="0"/>
                  <w:vAlign w:val="center"/>
                </w:tcPr>
                <w:p w14:paraId="715E67F6">
                  <w:pPr>
                    <w:pStyle w:val="1111"/>
                    <w:bidi w:val="0"/>
                  </w:pPr>
                  <w:r>
                    <w:t>东、西、南、北厂界外1m处</w:t>
                  </w:r>
                </w:p>
              </w:tc>
              <w:tc>
                <w:tcPr>
                  <w:tcW w:w="981" w:type="pct"/>
                  <w:tcBorders>
                    <w:tl2br w:val="nil"/>
                    <w:tr2bl w:val="nil"/>
                  </w:tcBorders>
                  <w:noWrap w:val="0"/>
                  <w:vAlign w:val="center"/>
                </w:tcPr>
                <w:p w14:paraId="2984F595">
                  <w:pPr>
                    <w:pStyle w:val="1111"/>
                    <w:bidi w:val="0"/>
                  </w:pPr>
                  <w:r>
                    <w:t>厂界声环境</w:t>
                  </w:r>
                </w:p>
              </w:tc>
              <w:tc>
                <w:tcPr>
                  <w:tcW w:w="714" w:type="pct"/>
                  <w:tcBorders>
                    <w:tl2br w:val="nil"/>
                    <w:tr2bl w:val="nil"/>
                  </w:tcBorders>
                  <w:noWrap w:val="0"/>
                  <w:vAlign w:val="center"/>
                </w:tcPr>
                <w:p w14:paraId="22139E5B">
                  <w:pPr>
                    <w:pStyle w:val="1111"/>
                    <w:bidi w:val="0"/>
                  </w:pPr>
                  <w:r>
                    <w:t>1次/季度</w:t>
                  </w:r>
                </w:p>
              </w:tc>
              <w:tc>
                <w:tcPr>
                  <w:tcW w:w="2212" w:type="pct"/>
                  <w:tcBorders>
                    <w:tl2br w:val="nil"/>
                    <w:tr2bl w:val="nil"/>
                  </w:tcBorders>
                  <w:noWrap w:val="0"/>
                  <w:vAlign w:val="center"/>
                </w:tcPr>
                <w:p w14:paraId="2F6B958E">
                  <w:pPr>
                    <w:pStyle w:val="1111"/>
                    <w:bidi w:val="0"/>
                  </w:pPr>
                  <w:r>
                    <w:t>《工业企业厂界环境噪声排放标准》（GB12348-2008）中</w:t>
                  </w:r>
                  <w:r>
                    <w:rPr>
                      <w:rFonts w:hint="eastAsia"/>
                      <w:lang w:val="en-US" w:eastAsia="zh-CN"/>
                    </w:rPr>
                    <w:t>2</w:t>
                  </w:r>
                  <w:r>
                    <w:t>类标准</w:t>
                  </w:r>
                </w:p>
              </w:tc>
            </w:tr>
          </w:tbl>
          <w:p w14:paraId="375BAE6D">
            <w:pPr>
              <w:pStyle w:val="512"/>
              <w:bidi w:val="0"/>
            </w:pPr>
            <w:r>
              <w:t>4、固体废物环境影响分析</w:t>
            </w:r>
          </w:p>
          <w:p w14:paraId="4E7962F8">
            <w:pPr>
              <w:pStyle w:val="512"/>
              <w:bidi w:val="0"/>
            </w:pPr>
            <w:r>
              <w:rPr>
                <w:rFonts w:hint="eastAsia"/>
                <w:lang w:eastAsia="zh-CN"/>
              </w:rPr>
              <w:t>（</w:t>
            </w:r>
            <w:r>
              <w:rPr>
                <w:rFonts w:hint="eastAsia"/>
                <w:lang w:val="en-US" w:eastAsia="zh-CN"/>
              </w:rPr>
              <w:t>1</w:t>
            </w:r>
            <w:r>
              <w:rPr>
                <w:rFonts w:hint="eastAsia"/>
                <w:lang w:eastAsia="zh-CN"/>
              </w:rPr>
              <w:t>）</w:t>
            </w:r>
            <w:r>
              <w:t>固体废物产生情况</w:t>
            </w:r>
          </w:p>
          <w:p w14:paraId="33BC5FA3">
            <w:pPr>
              <w:pStyle w:val="512"/>
              <w:bidi w:val="0"/>
              <w:rPr>
                <w:rFonts w:hint="eastAsia"/>
              </w:rPr>
            </w:pPr>
            <w:r>
              <w:t>本项目产生的固废主要为</w:t>
            </w:r>
            <w:r>
              <w:rPr>
                <w:rFonts w:hint="eastAsia"/>
                <w:lang w:eastAsia="zh-CN"/>
              </w:rPr>
              <w:t>废手套、废抹布等劳保用品、废包装物、废液、</w:t>
            </w:r>
            <w:r>
              <w:t>废气治理设施产生的废活性炭及员工生活产生的生活垃圾</w:t>
            </w:r>
            <w:r>
              <w:rPr>
                <w:rFonts w:hint="eastAsia"/>
              </w:rPr>
              <w:t>。</w:t>
            </w:r>
          </w:p>
          <w:p w14:paraId="51CDAF6E">
            <w:pPr>
              <w:pStyle w:val="512"/>
              <w:bidi w:val="0"/>
              <w:rPr>
                <w:rFonts w:hint="eastAsia"/>
              </w:rPr>
            </w:pPr>
            <w:r>
              <w:rPr>
                <w:rFonts w:hint="eastAsia"/>
              </w:rPr>
              <w:t>①</w:t>
            </w:r>
            <w:r>
              <w:rPr>
                <w:color w:val="000000"/>
                <w:kern w:val="0"/>
                <w:sz w:val="24"/>
              </w:rPr>
              <w:t>废手套、废抹布等劳保用品：职工在进行危废装卸、转运产生的沾染危废的废手套、废抹布、地面清洗废拖布等废劳保用品，属于危废废物，年产生量约为0.</w:t>
            </w:r>
            <w:r>
              <w:rPr>
                <w:rFonts w:hint="eastAsia"/>
                <w:color w:val="000000"/>
                <w:kern w:val="0"/>
                <w:sz w:val="24"/>
                <w:lang w:val="en-US" w:eastAsia="zh-CN"/>
              </w:rPr>
              <w:t>1</w:t>
            </w:r>
            <w:r>
              <w:rPr>
                <w:color w:val="000000"/>
                <w:kern w:val="0"/>
                <w:sz w:val="24"/>
              </w:rPr>
              <w:t>t/a，危废类别：HW49、危险废物代码：900-041-49，定期委托有资质单位处理。</w:t>
            </w:r>
          </w:p>
          <w:p w14:paraId="2F283F6A">
            <w:pPr>
              <w:pStyle w:val="512"/>
              <w:bidi w:val="0"/>
              <w:rPr>
                <w:rFonts w:hint="eastAsia"/>
              </w:rPr>
            </w:pPr>
            <w:r>
              <w:rPr>
                <w:rFonts w:hint="eastAsia"/>
              </w:rPr>
              <w:t>②</w:t>
            </w:r>
            <w:r>
              <w:rPr>
                <w:color w:val="000000"/>
                <w:kern w:val="0"/>
              </w:rPr>
              <w:t>废包装物：各类危废在暂存过程中，不可避免的发生包装物破损，产生废包装物，主要是废塑料桶等，属于危险废物，产生量约为0.0</w:t>
            </w:r>
            <w:r>
              <w:rPr>
                <w:rFonts w:hint="eastAsia"/>
                <w:color w:val="000000"/>
                <w:kern w:val="0"/>
                <w:lang w:val="en-US" w:eastAsia="zh-CN"/>
              </w:rPr>
              <w:t>2</w:t>
            </w:r>
            <w:r>
              <w:rPr>
                <w:color w:val="000000"/>
                <w:kern w:val="0"/>
              </w:rPr>
              <w:t>t/a，危废类别：HW49、危险废物代码：900-041-49，定期委托有资质单</w:t>
            </w:r>
            <w:r>
              <w:t>位处理。</w:t>
            </w:r>
          </w:p>
          <w:p w14:paraId="589B5348">
            <w:pPr>
              <w:pStyle w:val="512"/>
              <w:bidi w:val="0"/>
            </w:pPr>
            <w:r>
              <w:rPr>
                <w:rFonts w:hint="eastAsia"/>
              </w:rPr>
              <w:t>③</w:t>
            </w:r>
            <w:r>
              <w:t>废液：</w:t>
            </w:r>
            <w:r>
              <w:rPr>
                <w:rFonts w:hint="eastAsia"/>
                <w:lang w:eastAsia="zh-CN"/>
              </w:rPr>
              <w:t>在发生事故的情况下，项目</w:t>
            </w:r>
            <w:r>
              <w:t>泄漏的废液经收集后作为危险废物储存在对应类别的危险废物暂存区内，废液量包含在收集的危废量中，与收集的危废一并委托资质单位处理，此处不进行重复核算。</w:t>
            </w:r>
          </w:p>
          <w:p w14:paraId="4736D4E3">
            <w:pPr>
              <w:pStyle w:val="512"/>
              <w:bidi w:val="0"/>
            </w:pPr>
            <w:r>
              <w:rPr>
                <w:rFonts w:hint="eastAsia"/>
              </w:rPr>
              <w:t>④</w:t>
            </w:r>
            <w:r>
              <w:rPr>
                <w:rFonts w:hint="eastAsia"/>
                <w:lang w:eastAsia="zh-CN"/>
              </w:rPr>
              <w:t>废活性炭：</w:t>
            </w:r>
            <w:r>
              <w:t>项目使用活性炭吸附作为有机废气处理单元，活性炭吸附有机废气的系数为0.1kg（有机废气）/kg（活性炭），</w:t>
            </w:r>
            <w:r>
              <w:rPr>
                <w:rFonts w:hint="eastAsia"/>
                <w:lang w:eastAsia="zh-CN"/>
              </w:rPr>
              <w:t>本项目</w:t>
            </w:r>
            <w:r>
              <w:t>活性炭单元去除有机废气量为</w:t>
            </w:r>
            <w:r>
              <w:rPr>
                <w:rFonts w:hint="eastAsia"/>
                <w:lang w:val="en-US" w:eastAsia="zh-CN"/>
              </w:rPr>
              <w:t>2.379</w:t>
            </w:r>
            <w:r>
              <w:t>t/a，废活性炭产生量</w:t>
            </w:r>
            <w:r>
              <w:rPr>
                <w:rFonts w:hint="eastAsia"/>
                <w:lang w:val="en-US" w:eastAsia="zh-CN"/>
              </w:rPr>
              <w:t>26.169</w:t>
            </w:r>
            <w:r>
              <w:t>t/a。根据《国家危险废物名录》（2021版），废活性炭属于其中所列HW49（900-039-49）规定的内容，属于危险废物，</w:t>
            </w:r>
            <w:r>
              <w:rPr>
                <w:rFonts w:hint="eastAsia"/>
                <w:lang w:eastAsia="zh-CN"/>
              </w:rPr>
              <w:t>定期</w:t>
            </w:r>
            <w:r>
              <w:t>委托有资质单位处理。</w:t>
            </w:r>
          </w:p>
          <w:p w14:paraId="42907AB0">
            <w:pPr>
              <w:pStyle w:val="512"/>
              <w:bidi w:val="0"/>
            </w:pPr>
            <w:r>
              <w:rPr>
                <w:rFonts w:hint="eastAsia"/>
              </w:rPr>
              <w:t>⑤</w:t>
            </w:r>
            <w:r>
              <w:t>生活垃圾</w:t>
            </w:r>
            <w:r>
              <w:rPr>
                <w:rFonts w:hint="eastAsia"/>
              </w:rPr>
              <w:t>：</w:t>
            </w:r>
            <w:r>
              <w:t>项目</w:t>
            </w:r>
            <w:r>
              <w:rPr>
                <w:rFonts w:hint="eastAsia"/>
                <w:lang w:eastAsia="zh-CN"/>
              </w:rPr>
              <w:t>新增</w:t>
            </w:r>
            <w:r>
              <w:t>员工5人，生活垃圾量按0.5kg/人·d计，年工作360天，则产生的生活垃圾总量为0.9t/a，生活垃圾由环卫部门统一收集处理。本项目固废汇总见下表。</w:t>
            </w:r>
          </w:p>
          <w:p w14:paraId="32C9710D">
            <w:pPr>
              <w:pStyle w:val="1111"/>
              <w:bidi w:val="0"/>
            </w:pPr>
            <w:r>
              <w:t>表4-</w:t>
            </w:r>
            <w:r>
              <w:rPr>
                <w:rFonts w:hint="eastAsia"/>
                <w:lang w:val="en-US" w:eastAsia="zh-CN"/>
              </w:rPr>
              <w:t>19</w:t>
            </w:r>
            <w:r>
              <w:t xml:space="preserve">  </w:t>
            </w:r>
            <w:r>
              <w:rPr>
                <w:rFonts w:hint="eastAsia"/>
                <w:lang w:eastAsia="zh-CN"/>
              </w:rPr>
              <w:t>本项目</w:t>
            </w:r>
            <w:r>
              <w:t>固体废物</w:t>
            </w:r>
            <w:r>
              <w:rPr>
                <w:rFonts w:hint="eastAsia"/>
                <w:lang w:eastAsia="zh-CN"/>
              </w:rPr>
              <w:t>产生情况</w:t>
            </w:r>
            <w:r>
              <w:t>汇总表</w:t>
            </w:r>
          </w:p>
          <w:tbl>
            <w:tblPr>
              <w:tblStyle w:val="7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51"/>
              <w:gridCol w:w="710"/>
              <w:gridCol w:w="378"/>
              <w:gridCol w:w="750"/>
              <w:gridCol w:w="476"/>
              <w:gridCol w:w="756"/>
              <w:gridCol w:w="639"/>
              <w:gridCol w:w="569"/>
              <w:gridCol w:w="1129"/>
              <w:gridCol w:w="639"/>
              <w:gridCol w:w="1242"/>
            </w:tblGrid>
            <w:tr w14:paraId="0018E7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230" w:type="pct"/>
                  <w:tcBorders>
                    <w:tl2br w:val="nil"/>
                    <w:tr2bl w:val="nil"/>
                  </w:tcBorders>
                  <w:noWrap w:val="0"/>
                  <w:vAlign w:val="center"/>
                </w:tcPr>
                <w:p w14:paraId="45F1D70A">
                  <w:pPr>
                    <w:pStyle w:val="1111"/>
                    <w:bidi w:val="0"/>
                  </w:pPr>
                  <w:r>
                    <w:t>序号</w:t>
                  </w:r>
                </w:p>
              </w:tc>
              <w:tc>
                <w:tcPr>
                  <w:tcW w:w="464" w:type="pct"/>
                  <w:tcBorders>
                    <w:tl2br w:val="nil"/>
                    <w:tr2bl w:val="nil"/>
                  </w:tcBorders>
                  <w:noWrap w:val="0"/>
                  <w:vAlign w:val="center"/>
                </w:tcPr>
                <w:p w14:paraId="78159DCE">
                  <w:pPr>
                    <w:pStyle w:val="1111"/>
                    <w:bidi w:val="0"/>
                  </w:pPr>
                  <w:r>
                    <w:t>固废名称</w:t>
                  </w:r>
                </w:p>
              </w:tc>
              <w:tc>
                <w:tcPr>
                  <w:tcW w:w="247" w:type="pct"/>
                  <w:tcBorders>
                    <w:tl2br w:val="nil"/>
                    <w:tr2bl w:val="nil"/>
                  </w:tcBorders>
                  <w:noWrap w:val="0"/>
                  <w:vAlign w:val="center"/>
                </w:tcPr>
                <w:p w14:paraId="5E25AFDC">
                  <w:pPr>
                    <w:pStyle w:val="1111"/>
                    <w:bidi w:val="0"/>
                  </w:pPr>
                  <w:r>
                    <w:t>属性</w:t>
                  </w:r>
                </w:p>
              </w:tc>
              <w:tc>
                <w:tcPr>
                  <w:tcW w:w="490" w:type="pct"/>
                  <w:tcBorders>
                    <w:tl2br w:val="nil"/>
                    <w:tr2bl w:val="nil"/>
                  </w:tcBorders>
                  <w:noWrap w:val="0"/>
                  <w:vAlign w:val="center"/>
                </w:tcPr>
                <w:p w14:paraId="6F222765">
                  <w:pPr>
                    <w:pStyle w:val="1111"/>
                    <w:bidi w:val="0"/>
                  </w:pPr>
                  <w:r>
                    <w:t>产生工序</w:t>
                  </w:r>
                </w:p>
              </w:tc>
              <w:tc>
                <w:tcPr>
                  <w:tcW w:w="311" w:type="pct"/>
                  <w:tcBorders>
                    <w:tl2br w:val="nil"/>
                    <w:tr2bl w:val="nil"/>
                  </w:tcBorders>
                  <w:noWrap w:val="0"/>
                  <w:vAlign w:val="center"/>
                </w:tcPr>
                <w:p w14:paraId="4D045934">
                  <w:pPr>
                    <w:pStyle w:val="1111"/>
                    <w:bidi w:val="0"/>
                  </w:pPr>
                  <w:r>
                    <w:t>形态</w:t>
                  </w:r>
                </w:p>
              </w:tc>
              <w:tc>
                <w:tcPr>
                  <w:tcW w:w="494" w:type="pct"/>
                  <w:tcBorders>
                    <w:tl2br w:val="nil"/>
                    <w:tr2bl w:val="nil"/>
                  </w:tcBorders>
                  <w:noWrap w:val="0"/>
                  <w:vAlign w:val="center"/>
                </w:tcPr>
                <w:p w14:paraId="5674C1C1">
                  <w:pPr>
                    <w:pStyle w:val="1111"/>
                    <w:bidi w:val="0"/>
                  </w:pPr>
                  <w:r>
                    <w:t>主要成分</w:t>
                  </w:r>
                </w:p>
              </w:tc>
              <w:tc>
                <w:tcPr>
                  <w:tcW w:w="418" w:type="pct"/>
                  <w:tcBorders>
                    <w:tl2br w:val="nil"/>
                    <w:tr2bl w:val="nil"/>
                  </w:tcBorders>
                  <w:noWrap w:val="0"/>
                  <w:vAlign w:val="center"/>
                </w:tcPr>
                <w:p w14:paraId="7074CDE1">
                  <w:pPr>
                    <w:pStyle w:val="1111"/>
                    <w:bidi w:val="0"/>
                  </w:pPr>
                  <w:r>
                    <w:t>危险特性鉴别方法</w:t>
                  </w:r>
                </w:p>
              </w:tc>
              <w:tc>
                <w:tcPr>
                  <w:tcW w:w="372" w:type="pct"/>
                  <w:tcBorders>
                    <w:tl2br w:val="nil"/>
                    <w:tr2bl w:val="nil"/>
                  </w:tcBorders>
                  <w:noWrap w:val="0"/>
                  <w:vAlign w:val="center"/>
                </w:tcPr>
                <w:p w14:paraId="799415DD">
                  <w:pPr>
                    <w:pStyle w:val="1111"/>
                    <w:bidi w:val="0"/>
                  </w:pPr>
                  <w:r>
                    <w:t>危废类别</w:t>
                  </w:r>
                </w:p>
              </w:tc>
              <w:tc>
                <w:tcPr>
                  <w:tcW w:w="738" w:type="pct"/>
                  <w:tcBorders>
                    <w:tl2br w:val="nil"/>
                    <w:tr2bl w:val="nil"/>
                  </w:tcBorders>
                  <w:noWrap w:val="0"/>
                  <w:vAlign w:val="center"/>
                </w:tcPr>
                <w:p w14:paraId="4666468F">
                  <w:pPr>
                    <w:pStyle w:val="1111"/>
                    <w:bidi w:val="0"/>
                  </w:pPr>
                  <w:r>
                    <w:t>危废代码</w:t>
                  </w:r>
                </w:p>
              </w:tc>
              <w:tc>
                <w:tcPr>
                  <w:tcW w:w="418" w:type="pct"/>
                  <w:tcBorders>
                    <w:tl2br w:val="nil"/>
                    <w:tr2bl w:val="nil"/>
                  </w:tcBorders>
                  <w:noWrap w:val="0"/>
                  <w:vAlign w:val="center"/>
                </w:tcPr>
                <w:p w14:paraId="26A1E55E">
                  <w:pPr>
                    <w:pStyle w:val="1111"/>
                    <w:bidi w:val="0"/>
                  </w:pPr>
                  <w:r>
                    <w:t>产生量（t/a）</w:t>
                  </w:r>
                </w:p>
              </w:tc>
              <w:tc>
                <w:tcPr>
                  <w:tcW w:w="812" w:type="pct"/>
                  <w:tcBorders>
                    <w:tl2br w:val="nil"/>
                    <w:tr2bl w:val="nil"/>
                  </w:tcBorders>
                  <w:noWrap w:val="0"/>
                  <w:vAlign w:val="center"/>
                </w:tcPr>
                <w:p w14:paraId="3572F2F4">
                  <w:pPr>
                    <w:pStyle w:val="1111"/>
                    <w:bidi w:val="0"/>
                  </w:pPr>
                  <w:r>
                    <w:t>处置方法</w:t>
                  </w:r>
                </w:p>
              </w:tc>
            </w:tr>
            <w:tr w14:paraId="7488F8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0" w:type="pct"/>
                  <w:tcBorders>
                    <w:tl2br w:val="nil"/>
                    <w:tr2bl w:val="nil"/>
                  </w:tcBorders>
                  <w:noWrap w:val="0"/>
                  <w:vAlign w:val="center"/>
                </w:tcPr>
                <w:p w14:paraId="371E45B3">
                  <w:pPr>
                    <w:pStyle w:val="1111"/>
                    <w:bidi w:val="0"/>
                  </w:pPr>
                  <w:r>
                    <w:t>1</w:t>
                  </w:r>
                </w:p>
              </w:tc>
              <w:tc>
                <w:tcPr>
                  <w:tcW w:w="464" w:type="pct"/>
                  <w:tcBorders>
                    <w:tl2br w:val="nil"/>
                    <w:tr2bl w:val="nil"/>
                  </w:tcBorders>
                  <w:noWrap w:val="0"/>
                  <w:vAlign w:val="center"/>
                </w:tcPr>
                <w:p w14:paraId="74388E9B">
                  <w:pPr>
                    <w:pStyle w:val="1111"/>
                    <w:bidi w:val="0"/>
                  </w:pPr>
                  <w:r>
                    <w:t>废手套、废抹布等劳保用品</w:t>
                  </w:r>
                </w:p>
              </w:tc>
              <w:tc>
                <w:tcPr>
                  <w:tcW w:w="247" w:type="pct"/>
                  <w:tcBorders>
                    <w:tl2br w:val="nil"/>
                    <w:tr2bl w:val="nil"/>
                  </w:tcBorders>
                  <w:noWrap w:val="0"/>
                  <w:vAlign w:val="center"/>
                </w:tcPr>
                <w:p w14:paraId="33B19AC2">
                  <w:pPr>
                    <w:pStyle w:val="1111"/>
                    <w:bidi w:val="0"/>
                  </w:pPr>
                  <w:r>
                    <w:t>危废</w:t>
                  </w:r>
                </w:p>
              </w:tc>
              <w:tc>
                <w:tcPr>
                  <w:tcW w:w="490" w:type="pct"/>
                  <w:tcBorders>
                    <w:tl2br w:val="nil"/>
                    <w:tr2bl w:val="nil"/>
                  </w:tcBorders>
                  <w:noWrap w:val="0"/>
                  <w:vAlign w:val="center"/>
                </w:tcPr>
                <w:p w14:paraId="0448F0EC">
                  <w:pPr>
                    <w:pStyle w:val="1111"/>
                    <w:bidi w:val="0"/>
                  </w:pPr>
                  <w:r>
                    <w:t>包装</w:t>
                  </w:r>
                </w:p>
              </w:tc>
              <w:tc>
                <w:tcPr>
                  <w:tcW w:w="311" w:type="pct"/>
                  <w:tcBorders>
                    <w:tl2br w:val="nil"/>
                    <w:tr2bl w:val="nil"/>
                  </w:tcBorders>
                  <w:noWrap w:val="0"/>
                  <w:vAlign w:val="center"/>
                </w:tcPr>
                <w:p w14:paraId="1427A931">
                  <w:pPr>
                    <w:pStyle w:val="1111"/>
                    <w:bidi w:val="0"/>
                  </w:pPr>
                  <w:r>
                    <w:t>固态</w:t>
                  </w:r>
                </w:p>
              </w:tc>
              <w:tc>
                <w:tcPr>
                  <w:tcW w:w="494" w:type="pct"/>
                  <w:tcBorders>
                    <w:tl2br w:val="nil"/>
                    <w:tr2bl w:val="nil"/>
                  </w:tcBorders>
                  <w:noWrap w:val="0"/>
                  <w:vAlign w:val="center"/>
                </w:tcPr>
                <w:p w14:paraId="51BA81F2">
                  <w:pPr>
                    <w:pStyle w:val="1111"/>
                    <w:bidi w:val="0"/>
                  </w:pPr>
                  <w:r>
                    <w:t>布等</w:t>
                  </w:r>
                </w:p>
              </w:tc>
              <w:tc>
                <w:tcPr>
                  <w:tcW w:w="418" w:type="pct"/>
                  <w:vMerge w:val="restart"/>
                  <w:tcBorders>
                    <w:tl2br w:val="nil"/>
                    <w:tr2bl w:val="nil"/>
                  </w:tcBorders>
                  <w:noWrap w:val="0"/>
                  <w:vAlign w:val="center"/>
                </w:tcPr>
                <w:p w14:paraId="238A6A58">
                  <w:pPr>
                    <w:pStyle w:val="1111"/>
                    <w:bidi w:val="0"/>
                  </w:pPr>
                  <w:r>
                    <w:t>国家危险废物名录（2021年版）</w:t>
                  </w:r>
                </w:p>
              </w:tc>
              <w:tc>
                <w:tcPr>
                  <w:tcW w:w="372" w:type="pct"/>
                  <w:tcBorders>
                    <w:tl2br w:val="nil"/>
                    <w:tr2bl w:val="nil"/>
                  </w:tcBorders>
                  <w:noWrap w:val="0"/>
                  <w:vAlign w:val="center"/>
                </w:tcPr>
                <w:p w14:paraId="6CE2524E">
                  <w:pPr>
                    <w:pStyle w:val="1111"/>
                    <w:bidi w:val="0"/>
                  </w:pPr>
                  <w:r>
                    <w:t>HW49</w:t>
                  </w:r>
                </w:p>
              </w:tc>
              <w:tc>
                <w:tcPr>
                  <w:tcW w:w="738" w:type="pct"/>
                  <w:tcBorders>
                    <w:tl2br w:val="nil"/>
                    <w:tr2bl w:val="nil"/>
                  </w:tcBorders>
                  <w:noWrap w:val="0"/>
                  <w:vAlign w:val="center"/>
                </w:tcPr>
                <w:p w14:paraId="61B55901">
                  <w:pPr>
                    <w:pStyle w:val="1111"/>
                    <w:bidi w:val="0"/>
                  </w:pPr>
                  <w:r>
                    <w:t>900-041-49</w:t>
                  </w:r>
                </w:p>
              </w:tc>
              <w:tc>
                <w:tcPr>
                  <w:tcW w:w="418" w:type="pct"/>
                  <w:tcBorders>
                    <w:tl2br w:val="nil"/>
                    <w:tr2bl w:val="nil"/>
                  </w:tcBorders>
                  <w:noWrap w:val="0"/>
                  <w:vAlign w:val="center"/>
                </w:tcPr>
                <w:p w14:paraId="49491124">
                  <w:pPr>
                    <w:pStyle w:val="1111"/>
                    <w:bidi w:val="0"/>
                  </w:pPr>
                  <w:r>
                    <w:t>0.1</w:t>
                  </w:r>
                </w:p>
              </w:tc>
              <w:tc>
                <w:tcPr>
                  <w:tcW w:w="812" w:type="pct"/>
                  <w:tcBorders>
                    <w:tl2br w:val="nil"/>
                    <w:tr2bl w:val="nil"/>
                  </w:tcBorders>
                  <w:noWrap w:val="0"/>
                  <w:vAlign w:val="center"/>
                </w:tcPr>
                <w:p w14:paraId="604BC9DB">
                  <w:pPr>
                    <w:pStyle w:val="1111"/>
                    <w:bidi w:val="0"/>
                  </w:pPr>
                  <w:r>
                    <w:t>委托有资质单位处置</w:t>
                  </w:r>
                </w:p>
              </w:tc>
            </w:tr>
            <w:tr w14:paraId="5BD66B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0" w:type="pct"/>
                  <w:tcBorders>
                    <w:tl2br w:val="nil"/>
                    <w:tr2bl w:val="nil"/>
                  </w:tcBorders>
                  <w:noWrap w:val="0"/>
                  <w:vAlign w:val="center"/>
                </w:tcPr>
                <w:p w14:paraId="41BFA3FD">
                  <w:pPr>
                    <w:pStyle w:val="1111"/>
                    <w:bidi w:val="0"/>
                  </w:pPr>
                  <w:r>
                    <w:t>2</w:t>
                  </w:r>
                </w:p>
              </w:tc>
              <w:tc>
                <w:tcPr>
                  <w:tcW w:w="464" w:type="pct"/>
                  <w:tcBorders>
                    <w:tl2br w:val="nil"/>
                    <w:tr2bl w:val="nil"/>
                  </w:tcBorders>
                  <w:noWrap w:val="0"/>
                  <w:vAlign w:val="center"/>
                </w:tcPr>
                <w:p w14:paraId="513C5D20">
                  <w:pPr>
                    <w:pStyle w:val="1111"/>
                    <w:bidi w:val="0"/>
                  </w:pPr>
                  <w:r>
                    <w:t>废包装物</w:t>
                  </w:r>
                </w:p>
              </w:tc>
              <w:tc>
                <w:tcPr>
                  <w:tcW w:w="247" w:type="pct"/>
                  <w:tcBorders>
                    <w:tl2br w:val="nil"/>
                    <w:tr2bl w:val="nil"/>
                  </w:tcBorders>
                  <w:noWrap w:val="0"/>
                  <w:vAlign w:val="center"/>
                </w:tcPr>
                <w:p w14:paraId="7B011040">
                  <w:pPr>
                    <w:pStyle w:val="1111"/>
                    <w:bidi w:val="0"/>
                  </w:pPr>
                  <w:r>
                    <w:t>危废</w:t>
                  </w:r>
                </w:p>
              </w:tc>
              <w:tc>
                <w:tcPr>
                  <w:tcW w:w="490" w:type="pct"/>
                  <w:tcBorders>
                    <w:tl2br w:val="nil"/>
                    <w:tr2bl w:val="nil"/>
                  </w:tcBorders>
                  <w:noWrap w:val="0"/>
                  <w:vAlign w:val="center"/>
                </w:tcPr>
                <w:p w14:paraId="1FE5AEDB">
                  <w:pPr>
                    <w:pStyle w:val="1111"/>
                    <w:bidi w:val="0"/>
                  </w:pPr>
                  <w:r>
                    <w:t>包装</w:t>
                  </w:r>
                </w:p>
              </w:tc>
              <w:tc>
                <w:tcPr>
                  <w:tcW w:w="311" w:type="pct"/>
                  <w:tcBorders>
                    <w:tl2br w:val="nil"/>
                    <w:tr2bl w:val="nil"/>
                  </w:tcBorders>
                  <w:noWrap w:val="0"/>
                  <w:vAlign w:val="center"/>
                </w:tcPr>
                <w:p w14:paraId="130C25BD">
                  <w:pPr>
                    <w:pStyle w:val="1111"/>
                    <w:bidi w:val="0"/>
                  </w:pPr>
                  <w:r>
                    <w:t>固态</w:t>
                  </w:r>
                </w:p>
              </w:tc>
              <w:tc>
                <w:tcPr>
                  <w:tcW w:w="494" w:type="pct"/>
                  <w:tcBorders>
                    <w:tl2br w:val="nil"/>
                    <w:tr2bl w:val="nil"/>
                  </w:tcBorders>
                  <w:noWrap w:val="0"/>
                  <w:vAlign w:val="center"/>
                </w:tcPr>
                <w:p w14:paraId="655A8992">
                  <w:pPr>
                    <w:pStyle w:val="1111"/>
                    <w:bidi w:val="0"/>
                  </w:pPr>
                  <w:r>
                    <w:t>编织袋、塑料桶等</w:t>
                  </w:r>
                </w:p>
              </w:tc>
              <w:tc>
                <w:tcPr>
                  <w:tcW w:w="418" w:type="pct"/>
                  <w:vMerge w:val="continue"/>
                  <w:tcBorders>
                    <w:tl2br w:val="nil"/>
                    <w:tr2bl w:val="nil"/>
                  </w:tcBorders>
                  <w:noWrap w:val="0"/>
                  <w:vAlign w:val="center"/>
                </w:tcPr>
                <w:p w14:paraId="3C5F5AA0">
                  <w:pPr>
                    <w:pStyle w:val="1111"/>
                    <w:bidi w:val="0"/>
                  </w:pPr>
                </w:p>
              </w:tc>
              <w:tc>
                <w:tcPr>
                  <w:tcW w:w="372" w:type="pct"/>
                  <w:tcBorders>
                    <w:tl2br w:val="nil"/>
                    <w:tr2bl w:val="nil"/>
                  </w:tcBorders>
                  <w:noWrap w:val="0"/>
                  <w:vAlign w:val="center"/>
                </w:tcPr>
                <w:p w14:paraId="35705487">
                  <w:pPr>
                    <w:pStyle w:val="1111"/>
                    <w:bidi w:val="0"/>
                  </w:pPr>
                  <w:r>
                    <w:t>HW49</w:t>
                  </w:r>
                </w:p>
              </w:tc>
              <w:tc>
                <w:tcPr>
                  <w:tcW w:w="738" w:type="pct"/>
                  <w:tcBorders>
                    <w:tl2br w:val="nil"/>
                    <w:tr2bl w:val="nil"/>
                  </w:tcBorders>
                  <w:noWrap w:val="0"/>
                  <w:vAlign w:val="center"/>
                </w:tcPr>
                <w:p w14:paraId="76B5E572">
                  <w:pPr>
                    <w:pStyle w:val="1111"/>
                    <w:bidi w:val="0"/>
                  </w:pPr>
                  <w:r>
                    <w:t>900-041-49</w:t>
                  </w:r>
                </w:p>
              </w:tc>
              <w:tc>
                <w:tcPr>
                  <w:tcW w:w="418" w:type="pct"/>
                  <w:tcBorders>
                    <w:tl2br w:val="nil"/>
                    <w:tr2bl w:val="nil"/>
                  </w:tcBorders>
                  <w:noWrap w:val="0"/>
                  <w:vAlign w:val="center"/>
                </w:tcPr>
                <w:p w14:paraId="56E62BF9">
                  <w:pPr>
                    <w:pStyle w:val="1111"/>
                    <w:bidi w:val="0"/>
                  </w:pPr>
                  <w:r>
                    <w:t>0.02</w:t>
                  </w:r>
                </w:p>
              </w:tc>
              <w:tc>
                <w:tcPr>
                  <w:tcW w:w="812" w:type="pct"/>
                  <w:tcBorders>
                    <w:tl2br w:val="nil"/>
                    <w:tr2bl w:val="nil"/>
                  </w:tcBorders>
                  <w:noWrap w:val="0"/>
                  <w:vAlign w:val="center"/>
                </w:tcPr>
                <w:p w14:paraId="453E838A">
                  <w:pPr>
                    <w:pStyle w:val="1111"/>
                    <w:bidi w:val="0"/>
                  </w:pPr>
                  <w:r>
                    <w:t>委托有资质单位处置</w:t>
                  </w:r>
                </w:p>
              </w:tc>
            </w:tr>
            <w:tr w14:paraId="7359A5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0" w:type="pct"/>
                  <w:tcBorders>
                    <w:tl2br w:val="nil"/>
                    <w:tr2bl w:val="nil"/>
                  </w:tcBorders>
                  <w:noWrap w:val="0"/>
                  <w:vAlign w:val="center"/>
                </w:tcPr>
                <w:p w14:paraId="6A1659BF">
                  <w:pPr>
                    <w:pStyle w:val="1111"/>
                    <w:bidi w:val="0"/>
                  </w:pPr>
                  <w:r>
                    <w:t>3</w:t>
                  </w:r>
                </w:p>
              </w:tc>
              <w:tc>
                <w:tcPr>
                  <w:tcW w:w="464" w:type="pct"/>
                  <w:tcBorders>
                    <w:tl2br w:val="nil"/>
                    <w:tr2bl w:val="nil"/>
                  </w:tcBorders>
                  <w:noWrap w:val="0"/>
                  <w:vAlign w:val="center"/>
                </w:tcPr>
                <w:p w14:paraId="4A9F3063">
                  <w:pPr>
                    <w:pStyle w:val="1111"/>
                    <w:bidi w:val="0"/>
                  </w:pPr>
                  <w:r>
                    <w:t>废活性炭</w:t>
                  </w:r>
                </w:p>
              </w:tc>
              <w:tc>
                <w:tcPr>
                  <w:tcW w:w="247" w:type="pct"/>
                  <w:tcBorders>
                    <w:tl2br w:val="nil"/>
                    <w:tr2bl w:val="nil"/>
                  </w:tcBorders>
                  <w:noWrap w:val="0"/>
                  <w:vAlign w:val="center"/>
                </w:tcPr>
                <w:p w14:paraId="6691D40F">
                  <w:pPr>
                    <w:pStyle w:val="1111"/>
                    <w:bidi w:val="0"/>
                  </w:pPr>
                  <w:r>
                    <w:t>危废</w:t>
                  </w:r>
                </w:p>
              </w:tc>
              <w:tc>
                <w:tcPr>
                  <w:tcW w:w="490" w:type="pct"/>
                  <w:tcBorders>
                    <w:tl2br w:val="nil"/>
                    <w:tr2bl w:val="nil"/>
                  </w:tcBorders>
                  <w:noWrap w:val="0"/>
                  <w:vAlign w:val="center"/>
                </w:tcPr>
                <w:p w14:paraId="5EDF0CDA">
                  <w:pPr>
                    <w:pStyle w:val="1111"/>
                    <w:bidi w:val="0"/>
                  </w:pPr>
                  <w:r>
                    <w:t>气体净化</w:t>
                  </w:r>
                </w:p>
              </w:tc>
              <w:tc>
                <w:tcPr>
                  <w:tcW w:w="311" w:type="pct"/>
                  <w:tcBorders>
                    <w:tl2br w:val="nil"/>
                    <w:tr2bl w:val="nil"/>
                  </w:tcBorders>
                  <w:noWrap w:val="0"/>
                  <w:vAlign w:val="center"/>
                </w:tcPr>
                <w:p w14:paraId="5125BA00">
                  <w:pPr>
                    <w:pStyle w:val="1111"/>
                    <w:bidi w:val="0"/>
                  </w:pPr>
                  <w:r>
                    <w:t>固态</w:t>
                  </w:r>
                </w:p>
              </w:tc>
              <w:tc>
                <w:tcPr>
                  <w:tcW w:w="494" w:type="pct"/>
                  <w:tcBorders>
                    <w:tl2br w:val="nil"/>
                    <w:tr2bl w:val="nil"/>
                  </w:tcBorders>
                  <w:noWrap w:val="0"/>
                  <w:vAlign w:val="center"/>
                </w:tcPr>
                <w:p w14:paraId="234D2994">
                  <w:pPr>
                    <w:pStyle w:val="1111"/>
                    <w:bidi w:val="0"/>
                  </w:pPr>
                  <w:r>
                    <w:t>活性炭</w:t>
                  </w:r>
                </w:p>
              </w:tc>
              <w:tc>
                <w:tcPr>
                  <w:tcW w:w="418" w:type="pct"/>
                  <w:vMerge w:val="continue"/>
                  <w:tcBorders>
                    <w:tl2br w:val="nil"/>
                    <w:tr2bl w:val="nil"/>
                  </w:tcBorders>
                  <w:noWrap w:val="0"/>
                  <w:vAlign w:val="center"/>
                </w:tcPr>
                <w:p w14:paraId="2D85DAAC">
                  <w:pPr>
                    <w:pStyle w:val="1111"/>
                    <w:bidi w:val="0"/>
                  </w:pPr>
                </w:p>
              </w:tc>
              <w:tc>
                <w:tcPr>
                  <w:tcW w:w="372" w:type="pct"/>
                  <w:tcBorders>
                    <w:tl2br w:val="nil"/>
                    <w:tr2bl w:val="nil"/>
                  </w:tcBorders>
                  <w:noWrap w:val="0"/>
                  <w:vAlign w:val="center"/>
                </w:tcPr>
                <w:p w14:paraId="32AF7C78">
                  <w:pPr>
                    <w:pStyle w:val="1111"/>
                    <w:bidi w:val="0"/>
                  </w:pPr>
                  <w:r>
                    <w:t>HW49</w:t>
                  </w:r>
                </w:p>
              </w:tc>
              <w:tc>
                <w:tcPr>
                  <w:tcW w:w="738" w:type="pct"/>
                  <w:tcBorders>
                    <w:tl2br w:val="nil"/>
                    <w:tr2bl w:val="nil"/>
                  </w:tcBorders>
                  <w:noWrap w:val="0"/>
                  <w:vAlign w:val="center"/>
                </w:tcPr>
                <w:p w14:paraId="1FD4E772">
                  <w:pPr>
                    <w:pStyle w:val="1111"/>
                    <w:bidi w:val="0"/>
                  </w:pPr>
                  <w:r>
                    <w:t>900-039-49</w:t>
                  </w:r>
                </w:p>
              </w:tc>
              <w:tc>
                <w:tcPr>
                  <w:tcW w:w="418" w:type="pct"/>
                  <w:tcBorders>
                    <w:tl2br w:val="nil"/>
                    <w:tr2bl w:val="nil"/>
                  </w:tcBorders>
                  <w:noWrap w:val="0"/>
                  <w:vAlign w:val="center"/>
                </w:tcPr>
                <w:p w14:paraId="36D1BC49">
                  <w:pPr>
                    <w:pStyle w:val="1111"/>
                    <w:bidi w:val="0"/>
                    <w:rPr>
                      <w:rFonts w:hint="default" w:eastAsia="宋体"/>
                      <w:lang w:val="en-US" w:eastAsia="zh-CN"/>
                    </w:rPr>
                  </w:pPr>
                  <w:r>
                    <w:rPr>
                      <w:rFonts w:hint="eastAsia"/>
                      <w:lang w:val="en-US" w:eastAsia="zh-CN"/>
                    </w:rPr>
                    <w:t>26.169</w:t>
                  </w:r>
                </w:p>
              </w:tc>
              <w:tc>
                <w:tcPr>
                  <w:tcW w:w="812" w:type="pct"/>
                  <w:tcBorders>
                    <w:tl2br w:val="nil"/>
                    <w:tr2bl w:val="nil"/>
                  </w:tcBorders>
                  <w:noWrap w:val="0"/>
                  <w:vAlign w:val="center"/>
                </w:tcPr>
                <w:p w14:paraId="78538F1A">
                  <w:pPr>
                    <w:pStyle w:val="1111"/>
                    <w:bidi w:val="0"/>
                  </w:pPr>
                  <w:r>
                    <w:t>委托有资质单位处置</w:t>
                  </w:r>
                </w:p>
              </w:tc>
            </w:tr>
            <w:tr w14:paraId="29C7FA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0" w:type="pct"/>
                  <w:tcBorders>
                    <w:tl2br w:val="nil"/>
                    <w:tr2bl w:val="nil"/>
                  </w:tcBorders>
                  <w:noWrap w:val="0"/>
                  <w:vAlign w:val="center"/>
                </w:tcPr>
                <w:p w14:paraId="723C44A4">
                  <w:pPr>
                    <w:pStyle w:val="1111"/>
                    <w:bidi w:val="0"/>
                  </w:pPr>
                  <w:r>
                    <w:rPr>
                      <w:rFonts w:hint="eastAsia"/>
                    </w:rPr>
                    <w:t>4</w:t>
                  </w:r>
                </w:p>
              </w:tc>
              <w:tc>
                <w:tcPr>
                  <w:tcW w:w="464" w:type="pct"/>
                  <w:tcBorders>
                    <w:tl2br w:val="nil"/>
                    <w:tr2bl w:val="nil"/>
                  </w:tcBorders>
                  <w:noWrap w:val="0"/>
                  <w:vAlign w:val="center"/>
                </w:tcPr>
                <w:p w14:paraId="71B01BA2">
                  <w:pPr>
                    <w:pStyle w:val="1111"/>
                    <w:bidi w:val="0"/>
                  </w:pPr>
                  <w:r>
                    <w:t>生活垃圾</w:t>
                  </w:r>
                </w:p>
              </w:tc>
              <w:tc>
                <w:tcPr>
                  <w:tcW w:w="247" w:type="pct"/>
                  <w:tcBorders>
                    <w:tl2br w:val="nil"/>
                    <w:tr2bl w:val="nil"/>
                  </w:tcBorders>
                  <w:noWrap w:val="0"/>
                  <w:vAlign w:val="center"/>
                </w:tcPr>
                <w:p w14:paraId="6AA52581">
                  <w:pPr>
                    <w:pStyle w:val="1111"/>
                    <w:bidi w:val="0"/>
                  </w:pPr>
                  <w:r>
                    <w:rPr>
                      <w:rFonts w:hint="eastAsia"/>
                    </w:rPr>
                    <w:t>/</w:t>
                  </w:r>
                </w:p>
              </w:tc>
              <w:tc>
                <w:tcPr>
                  <w:tcW w:w="490" w:type="pct"/>
                  <w:tcBorders>
                    <w:tl2br w:val="nil"/>
                    <w:tr2bl w:val="nil"/>
                  </w:tcBorders>
                  <w:noWrap w:val="0"/>
                  <w:vAlign w:val="center"/>
                </w:tcPr>
                <w:p w14:paraId="77FD1784">
                  <w:pPr>
                    <w:pStyle w:val="1111"/>
                    <w:bidi w:val="0"/>
                  </w:pPr>
                  <w:r>
                    <w:t>生产生活</w:t>
                  </w:r>
                </w:p>
              </w:tc>
              <w:tc>
                <w:tcPr>
                  <w:tcW w:w="311" w:type="pct"/>
                  <w:tcBorders>
                    <w:tl2br w:val="nil"/>
                    <w:tr2bl w:val="nil"/>
                  </w:tcBorders>
                  <w:noWrap w:val="0"/>
                  <w:vAlign w:val="center"/>
                </w:tcPr>
                <w:p w14:paraId="73C1E2E3">
                  <w:pPr>
                    <w:pStyle w:val="1111"/>
                    <w:bidi w:val="0"/>
                  </w:pPr>
                  <w:r>
                    <w:t>固态</w:t>
                  </w:r>
                </w:p>
              </w:tc>
              <w:tc>
                <w:tcPr>
                  <w:tcW w:w="494" w:type="pct"/>
                  <w:tcBorders>
                    <w:tl2br w:val="nil"/>
                    <w:tr2bl w:val="nil"/>
                  </w:tcBorders>
                  <w:noWrap w:val="0"/>
                  <w:vAlign w:val="center"/>
                </w:tcPr>
                <w:p w14:paraId="7918ABBF">
                  <w:pPr>
                    <w:pStyle w:val="1111"/>
                    <w:bidi w:val="0"/>
                  </w:pPr>
                  <w:r>
                    <w:t>食品、纸、纺织物等</w:t>
                  </w:r>
                </w:p>
              </w:tc>
              <w:tc>
                <w:tcPr>
                  <w:tcW w:w="418" w:type="pct"/>
                  <w:vMerge w:val="continue"/>
                  <w:tcBorders>
                    <w:tl2br w:val="nil"/>
                    <w:tr2bl w:val="nil"/>
                  </w:tcBorders>
                  <w:noWrap w:val="0"/>
                  <w:vAlign w:val="center"/>
                </w:tcPr>
                <w:p w14:paraId="1E2ED207">
                  <w:pPr>
                    <w:pStyle w:val="1111"/>
                    <w:bidi w:val="0"/>
                  </w:pPr>
                </w:p>
              </w:tc>
              <w:tc>
                <w:tcPr>
                  <w:tcW w:w="372" w:type="pct"/>
                  <w:tcBorders>
                    <w:tl2br w:val="nil"/>
                    <w:tr2bl w:val="nil"/>
                  </w:tcBorders>
                  <w:noWrap w:val="0"/>
                  <w:vAlign w:val="top"/>
                </w:tcPr>
                <w:p w14:paraId="54F9C4E8">
                  <w:pPr>
                    <w:pStyle w:val="1111"/>
                    <w:bidi w:val="0"/>
                  </w:pPr>
                  <w:r>
                    <w:rPr>
                      <w:rFonts w:hint="eastAsia"/>
                    </w:rPr>
                    <w:t>/</w:t>
                  </w:r>
                </w:p>
              </w:tc>
              <w:tc>
                <w:tcPr>
                  <w:tcW w:w="738" w:type="pct"/>
                  <w:tcBorders>
                    <w:tl2br w:val="nil"/>
                    <w:tr2bl w:val="nil"/>
                  </w:tcBorders>
                  <w:noWrap w:val="0"/>
                  <w:vAlign w:val="top"/>
                </w:tcPr>
                <w:p w14:paraId="6FBA4067">
                  <w:pPr>
                    <w:pStyle w:val="1111"/>
                    <w:bidi w:val="0"/>
                  </w:pPr>
                  <w:r>
                    <w:rPr>
                      <w:rFonts w:hint="eastAsia"/>
                    </w:rPr>
                    <w:t>/</w:t>
                  </w:r>
                </w:p>
              </w:tc>
              <w:tc>
                <w:tcPr>
                  <w:tcW w:w="418" w:type="pct"/>
                  <w:tcBorders>
                    <w:tl2br w:val="nil"/>
                    <w:tr2bl w:val="nil"/>
                  </w:tcBorders>
                  <w:noWrap w:val="0"/>
                  <w:vAlign w:val="center"/>
                </w:tcPr>
                <w:p w14:paraId="5AAE9AAD">
                  <w:pPr>
                    <w:pStyle w:val="1111"/>
                    <w:bidi w:val="0"/>
                    <w:rPr>
                      <w:rFonts w:hint="default" w:eastAsia="宋体"/>
                      <w:lang w:val="en-US" w:eastAsia="zh-CN"/>
                    </w:rPr>
                  </w:pPr>
                  <w:r>
                    <w:rPr>
                      <w:rFonts w:hint="eastAsia"/>
                      <w:lang w:val="en-US" w:eastAsia="zh-CN"/>
                    </w:rPr>
                    <w:t>0.9</w:t>
                  </w:r>
                </w:p>
              </w:tc>
              <w:tc>
                <w:tcPr>
                  <w:tcW w:w="812" w:type="pct"/>
                  <w:tcBorders>
                    <w:tl2br w:val="nil"/>
                    <w:tr2bl w:val="nil"/>
                  </w:tcBorders>
                  <w:noWrap w:val="0"/>
                  <w:vAlign w:val="center"/>
                </w:tcPr>
                <w:p w14:paraId="6A803B52">
                  <w:pPr>
                    <w:pStyle w:val="1111"/>
                    <w:bidi w:val="0"/>
                  </w:pPr>
                  <w:r>
                    <w:t>委托环卫清运处理</w:t>
                  </w:r>
                </w:p>
              </w:tc>
            </w:tr>
          </w:tbl>
          <w:p w14:paraId="0433970E">
            <w:pPr>
              <w:pStyle w:val="1111"/>
              <w:bidi w:val="0"/>
            </w:pPr>
          </w:p>
          <w:p w14:paraId="2D9D3C31">
            <w:pPr>
              <w:pStyle w:val="1111"/>
              <w:bidi w:val="0"/>
            </w:pPr>
            <w:r>
              <w:t>表4-</w:t>
            </w:r>
            <w:r>
              <w:rPr>
                <w:rFonts w:hint="eastAsia"/>
                <w:lang w:val="en-US" w:eastAsia="zh-CN"/>
              </w:rPr>
              <w:t>20</w:t>
            </w:r>
            <w:r>
              <w:t xml:space="preserve">  建设项目固体废物利用处置方式评价表</w:t>
            </w:r>
          </w:p>
          <w:tbl>
            <w:tblPr>
              <w:tblStyle w:val="7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6"/>
              <w:gridCol w:w="778"/>
              <w:gridCol w:w="712"/>
              <w:gridCol w:w="924"/>
              <w:gridCol w:w="924"/>
              <w:gridCol w:w="822"/>
              <w:gridCol w:w="995"/>
              <w:gridCol w:w="773"/>
              <w:gridCol w:w="1265"/>
            </w:tblGrid>
            <w:tr w14:paraId="79E129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292" w:type="pct"/>
                  <w:tcBorders>
                    <w:tl2br w:val="nil"/>
                    <w:tr2bl w:val="nil"/>
                  </w:tcBorders>
                  <w:noWrap w:val="0"/>
                  <w:vAlign w:val="center"/>
                </w:tcPr>
                <w:p w14:paraId="39C323EA">
                  <w:pPr>
                    <w:pStyle w:val="1111"/>
                    <w:bidi w:val="0"/>
                  </w:pPr>
                  <w:r>
                    <w:t>序号</w:t>
                  </w:r>
                </w:p>
              </w:tc>
              <w:tc>
                <w:tcPr>
                  <w:tcW w:w="509" w:type="pct"/>
                  <w:tcBorders>
                    <w:tl2br w:val="nil"/>
                    <w:tr2bl w:val="nil"/>
                  </w:tcBorders>
                  <w:noWrap w:val="0"/>
                  <w:vAlign w:val="center"/>
                </w:tcPr>
                <w:p w14:paraId="35D4D250">
                  <w:pPr>
                    <w:pStyle w:val="1111"/>
                    <w:bidi w:val="0"/>
                  </w:pPr>
                  <w:r>
                    <w:t>危险废物名称</w:t>
                  </w:r>
                </w:p>
              </w:tc>
              <w:tc>
                <w:tcPr>
                  <w:tcW w:w="466" w:type="pct"/>
                  <w:tcBorders>
                    <w:tl2br w:val="nil"/>
                    <w:tr2bl w:val="nil"/>
                  </w:tcBorders>
                  <w:noWrap w:val="0"/>
                  <w:vAlign w:val="center"/>
                </w:tcPr>
                <w:p w14:paraId="2D0D25A6">
                  <w:pPr>
                    <w:pStyle w:val="1111"/>
                    <w:bidi w:val="0"/>
                  </w:pPr>
                  <w:r>
                    <w:t>危险废物类别</w:t>
                  </w:r>
                </w:p>
              </w:tc>
              <w:tc>
                <w:tcPr>
                  <w:tcW w:w="605" w:type="pct"/>
                  <w:tcBorders>
                    <w:tl2br w:val="nil"/>
                    <w:tr2bl w:val="nil"/>
                  </w:tcBorders>
                  <w:noWrap w:val="0"/>
                  <w:vAlign w:val="center"/>
                </w:tcPr>
                <w:p w14:paraId="3920106B">
                  <w:pPr>
                    <w:pStyle w:val="1111"/>
                    <w:bidi w:val="0"/>
                  </w:pPr>
                  <w:r>
                    <w:t>危险废物代码</w:t>
                  </w:r>
                </w:p>
              </w:tc>
              <w:tc>
                <w:tcPr>
                  <w:tcW w:w="605" w:type="pct"/>
                  <w:tcBorders>
                    <w:tl2br w:val="nil"/>
                    <w:tr2bl w:val="nil"/>
                  </w:tcBorders>
                  <w:noWrap w:val="0"/>
                  <w:vAlign w:val="center"/>
                </w:tcPr>
                <w:p w14:paraId="2A0F94E6">
                  <w:pPr>
                    <w:pStyle w:val="1111"/>
                    <w:bidi w:val="0"/>
                  </w:pPr>
                  <w:r>
                    <w:t>产生量</w:t>
                  </w:r>
                </w:p>
                <w:p w14:paraId="37024418">
                  <w:pPr>
                    <w:pStyle w:val="1111"/>
                    <w:bidi w:val="0"/>
                  </w:pPr>
                  <w:r>
                    <w:t>（吨/年）</w:t>
                  </w:r>
                </w:p>
              </w:tc>
              <w:tc>
                <w:tcPr>
                  <w:tcW w:w="538" w:type="pct"/>
                  <w:tcBorders>
                    <w:tl2br w:val="nil"/>
                    <w:tr2bl w:val="nil"/>
                  </w:tcBorders>
                  <w:noWrap w:val="0"/>
                  <w:vAlign w:val="center"/>
                </w:tcPr>
                <w:p w14:paraId="23C7905F">
                  <w:pPr>
                    <w:pStyle w:val="1111"/>
                    <w:bidi w:val="0"/>
                  </w:pPr>
                  <w:r>
                    <w:t>主要成分</w:t>
                  </w:r>
                </w:p>
              </w:tc>
              <w:tc>
                <w:tcPr>
                  <w:tcW w:w="651" w:type="pct"/>
                  <w:tcBorders>
                    <w:tl2br w:val="nil"/>
                    <w:tr2bl w:val="nil"/>
                  </w:tcBorders>
                  <w:noWrap w:val="0"/>
                  <w:vAlign w:val="center"/>
                </w:tcPr>
                <w:p w14:paraId="16E652A4">
                  <w:pPr>
                    <w:pStyle w:val="1111"/>
                    <w:bidi w:val="0"/>
                  </w:pPr>
                  <w:r>
                    <w:t>产废周期</w:t>
                  </w:r>
                </w:p>
              </w:tc>
              <w:tc>
                <w:tcPr>
                  <w:tcW w:w="506" w:type="pct"/>
                  <w:tcBorders>
                    <w:tl2br w:val="nil"/>
                    <w:tr2bl w:val="nil"/>
                  </w:tcBorders>
                  <w:noWrap w:val="0"/>
                  <w:vAlign w:val="center"/>
                </w:tcPr>
                <w:p w14:paraId="4E1BCB9A">
                  <w:pPr>
                    <w:pStyle w:val="1111"/>
                    <w:bidi w:val="0"/>
                  </w:pPr>
                  <w:r>
                    <w:t>危险</w:t>
                  </w:r>
                </w:p>
                <w:p w14:paraId="11060949">
                  <w:pPr>
                    <w:pStyle w:val="1111"/>
                    <w:bidi w:val="0"/>
                  </w:pPr>
                  <w:r>
                    <w:t>特性</w:t>
                  </w:r>
                </w:p>
              </w:tc>
              <w:tc>
                <w:tcPr>
                  <w:tcW w:w="828" w:type="pct"/>
                  <w:tcBorders>
                    <w:tl2br w:val="nil"/>
                    <w:tr2bl w:val="nil"/>
                  </w:tcBorders>
                  <w:noWrap w:val="0"/>
                  <w:vAlign w:val="center"/>
                </w:tcPr>
                <w:p w14:paraId="64C2164C">
                  <w:pPr>
                    <w:pStyle w:val="1111"/>
                    <w:bidi w:val="0"/>
                  </w:pPr>
                  <w:r>
                    <w:t>污染防治措施</w:t>
                  </w:r>
                </w:p>
              </w:tc>
            </w:tr>
            <w:tr w14:paraId="3B7C97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2" w:type="pct"/>
                  <w:tcBorders>
                    <w:tl2br w:val="nil"/>
                    <w:tr2bl w:val="nil"/>
                  </w:tcBorders>
                  <w:shd w:val="clear" w:color="auto" w:fill="auto"/>
                  <w:noWrap w:val="0"/>
                  <w:vAlign w:val="center"/>
                </w:tcPr>
                <w:p w14:paraId="679D0C0A">
                  <w:pPr>
                    <w:pStyle w:val="1111"/>
                    <w:bidi w:val="0"/>
                  </w:pPr>
                  <w:r>
                    <w:rPr>
                      <w:rFonts w:hint="eastAsia"/>
                    </w:rPr>
                    <w:t>1</w:t>
                  </w:r>
                </w:p>
              </w:tc>
              <w:tc>
                <w:tcPr>
                  <w:tcW w:w="509" w:type="pct"/>
                  <w:tcBorders>
                    <w:tl2br w:val="nil"/>
                    <w:tr2bl w:val="nil"/>
                  </w:tcBorders>
                  <w:shd w:val="clear" w:color="auto" w:fill="auto"/>
                  <w:noWrap w:val="0"/>
                  <w:vAlign w:val="center"/>
                </w:tcPr>
                <w:p w14:paraId="010FBDBA">
                  <w:pPr>
                    <w:pStyle w:val="1111"/>
                    <w:bidi w:val="0"/>
                  </w:pPr>
                  <w:r>
                    <w:t>废手套、废抹布等劳保用品</w:t>
                  </w:r>
                </w:p>
              </w:tc>
              <w:tc>
                <w:tcPr>
                  <w:tcW w:w="466" w:type="pct"/>
                  <w:tcBorders>
                    <w:tl2br w:val="nil"/>
                    <w:tr2bl w:val="nil"/>
                  </w:tcBorders>
                  <w:shd w:val="clear" w:color="auto" w:fill="auto"/>
                  <w:noWrap w:val="0"/>
                  <w:vAlign w:val="center"/>
                </w:tcPr>
                <w:p w14:paraId="19C975EA">
                  <w:pPr>
                    <w:pStyle w:val="1111"/>
                    <w:bidi w:val="0"/>
                  </w:pPr>
                  <w:r>
                    <w:t>HW49</w:t>
                  </w:r>
                </w:p>
              </w:tc>
              <w:tc>
                <w:tcPr>
                  <w:tcW w:w="605" w:type="pct"/>
                  <w:tcBorders>
                    <w:tl2br w:val="nil"/>
                    <w:tr2bl w:val="nil"/>
                  </w:tcBorders>
                  <w:shd w:val="clear" w:color="auto" w:fill="auto"/>
                  <w:noWrap w:val="0"/>
                  <w:vAlign w:val="center"/>
                </w:tcPr>
                <w:p w14:paraId="092DA663">
                  <w:pPr>
                    <w:pStyle w:val="1111"/>
                    <w:bidi w:val="0"/>
                  </w:pPr>
                  <w:r>
                    <w:t>900-041-49</w:t>
                  </w:r>
                </w:p>
              </w:tc>
              <w:tc>
                <w:tcPr>
                  <w:tcW w:w="605" w:type="pct"/>
                  <w:tcBorders>
                    <w:tl2br w:val="nil"/>
                    <w:tr2bl w:val="nil"/>
                  </w:tcBorders>
                  <w:shd w:val="clear" w:color="auto" w:fill="auto"/>
                  <w:noWrap w:val="0"/>
                  <w:vAlign w:val="center"/>
                </w:tcPr>
                <w:p w14:paraId="2AFE8794">
                  <w:pPr>
                    <w:pStyle w:val="1111"/>
                    <w:bidi w:val="0"/>
                  </w:pPr>
                  <w:r>
                    <w:t>0.1</w:t>
                  </w:r>
                </w:p>
              </w:tc>
              <w:tc>
                <w:tcPr>
                  <w:tcW w:w="538" w:type="pct"/>
                  <w:tcBorders>
                    <w:tl2br w:val="nil"/>
                    <w:tr2bl w:val="nil"/>
                  </w:tcBorders>
                  <w:shd w:val="clear" w:color="auto" w:fill="auto"/>
                  <w:noWrap w:val="0"/>
                  <w:vAlign w:val="center"/>
                </w:tcPr>
                <w:p w14:paraId="2EEF2F94">
                  <w:pPr>
                    <w:pStyle w:val="1111"/>
                    <w:bidi w:val="0"/>
                  </w:pPr>
                  <w:r>
                    <w:t>布等</w:t>
                  </w:r>
                </w:p>
              </w:tc>
              <w:tc>
                <w:tcPr>
                  <w:tcW w:w="651" w:type="pct"/>
                  <w:tcBorders>
                    <w:tl2br w:val="nil"/>
                    <w:tr2bl w:val="nil"/>
                  </w:tcBorders>
                  <w:shd w:val="clear" w:color="auto" w:fill="auto"/>
                  <w:noWrap w:val="0"/>
                  <w:vAlign w:val="center"/>
                </w:tcPr>
                <w:p w14:paraId="1EF8A6F8">
                  <w:pPr>
                    <w:pStyle w:val="1111"/>
                    <w:bidi w:val="0"/>
                    <w:rPr>
                      <w:rFonts w:hint="eastAsia"/>
                    </w:rPr>
                  </w:pPr>
                  <w:r>
                    <w:rPr>
                      <w:rFonts w:hint="eastAsia"/>
                    </w:rPr>
                    <w:t>每周</w:t>
                  </w:r>
                </w:p>
              </w:tc>
              <w:tc>
                <w:tcPr>
                  <w:tcW w:w="506" w:type="pct"/>
                  <w:tcBorders>
                    <w:tl2br w:val="nil"/>
                    <w:tr2bl w:val="nil"/>
                  </w:tcBorders>
                  <w:shd w:val="clear" w:color="auto" w:fill="auto"/>
                  <w:noWrap w:val="0"/>
                  <w:vAlign w:val="center"/>
                </w:tcPr>
                <w:p w14:paraId="1CA014E8">
                  <w:pPr>
                    <w:pStyle w:val="1111"/>
                    <w:bidi w:val="0"/>
                  </w:pPr>
                  <w:r>
                    <w:t>T/In</w:t>
                  </w:r>
                </w:p>
              </w:tc>
              <w:tc>
                <w:tcPr>
                  <w:tcW w:w="828" w:type="pct"/>
                  <w:tcBorders>
                    <w:tl2br w:val="nil"/>
                    <w:tr2bl w:val="nil"/>
                  </w:tcBorders>
                  <w:shd w:val="clear" w:color="auto" w:fill="auto"/>
                  <w:noWrap w:val="0"/>
                  <w:vAlign w:val="center"/>
                </w:tcPr>
                <w:p w14:paraId="2B6BD3A0">
                  <w:pPr>
                    <w:pStyle w:val="1111"/>
                    <w:bidi w:val="0"/>
                  </w:pPr>
                  <w:r>
                    <w:t>袋装或桶装，暂存在危废暂存间</w:t>
                  </w:r>
                </w:p>
              </w:tc>
            </w:tr>
            <w:tr w14:paraId="1B9874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2" w:type="pct"/>
                  <w:tcBorders>
                    <w:tl2br w:val="nil"/>
                    <w:tr2bl w:val="nil"/>
                  </w:tcBorders>
                  <w:shd w:val="clear" w:color="auto" w:fill="auto"/>
                  <w:noWrap w:val="0"/>
                  <w:vAlign w:val="center"/>
                </w:tcPr>
                <w:p w14:paraId="49DE52C0">
                  <w:pPr>
                    <w:pStyle w:val="1111"/>
                    <w:bidi w:val="0"/>
                  </w:pPr>
                  <w:r>
                    <w:t>2</w:t>
                  </w:r>
                </w:p>
              </w:tc>
              <w:tc>
                <w:tcPr>
                  <w:tcW w:w="509" w:type="pct"/>
                  <w:tcBorders>
                    <w:tl2br w:val="nil"/>
                    <w:tr2bl w:val="nil"/>
                  </w:tcBorders>
                  <w:shd w:val="clear" w:color="auto" w:fill="auto"/>
                  <w:noWrap w:val="0"/>
                  <w:vAlign w:val="center"/>
                </w:tcPr>
                <w:p w14:paraId="6124E790">
                  <w:pPr>
                    <w:pStyle w:val="1111"/>
                    <w:bidi w:val="0"/>
                  </w:pPr>
                  <w:r>
                    <w:t>废包装物</w:t>
                  </w:r>
                </w:p>
              </w:tc>
              <w:tc>
                <w:tcPr>
                  <w:tcW w:w="466" w:type="pct"/>
                  <w:tcBorders>
                    <w:tl2br w:val="nil"/>
                    <w:tr2bl w:val="nil"/>
                  </w:tcBorders>
                  <w:shd w:val="clear" w:color="auto" w:fill="auto"/>
                  <w:noWrap w:val="0"/>
                  <w:vAlign w:val="center"/>
                </w:tcPr>
                <w:p w14:paraId="59D8B897">
                  <w:pPr>
                    <w:pStyle w:val="1111"/>
                    <w:bidi w:val="0"/>
                  </w:pPr>
                  <w:r>
                    <w:t>HW49</w:t>
                  </w:r>
                </w:p>
              </w:tc>
              <w:tc>
                <w:tcPr>
                  <w:tcW w:w="605" w:type="pct"/>
                  <w:tcBorders>
                    <w:tl2br w:val="nil"/>
                    <w:tr2bl w:val="nil"/>
                  </w:tcBorders>
                  <w:shd w:val="clear" w:color="auto" w:fill="auto"/>
                  <w:noWrap w:val="0"/>
                  <w:vAlign w:val="center"/>
                </w:tcPr>
                <w:p w14:paraId="324B7254">
                  <w:pPr>
                    <w:pStyle w:val="1111"/>
                    <w:bidi w:val="0"/>
                  </w:pPr>
                  <w:r>
                    <w:t>900-041-49</w:t>
                  </w:r>
                </w:p>
              </w:tc>
              <w:tc>
                <w:tcPr>
                  <w:tcW w:w="605" w:type="pct"/>
                  <w:tcBorders>
                    <w:tl2br w:val="nil"/>
                    <w:tr2bl w:val="nil"/>
                  </w:tcBorders>
                  <w:shd w:val="clear" w:color="auto" w:fill="auto"/>
                  <w:noWrap w:val="0"/>
                  <w:vAlign w:val="center"/>
                </w:tcPr>
                <w:p w14:paraId="32C53EC3">
                  <w:pPr>
                    <w:pStyle w:val="1111"/>
                    <w:bidi w:val="0"/>
                  </w:pPr>
                  <w:r>
                    <w:t>0.02</w:t>
                  </w:r>
                </w:p>
              </w:tc>
              <w:tc>
                <w:tcPr>
                  <w:tcW w:w="538" w:type="pct"/>
                  <w:tcBorders>
                    <w:tl2br w:val="nil"/>
                    <w:tr2bl w:val="nil"/>
                  </w:tcBorders>
                  <w:shd w:val="clear" w:color="auto" w:fill="auto"/>
                  <w:noWrap w:val="0"/>
                  <w:vAlign w:val="center"/>
                </w:tcPr>
                <w:p w14:paraId="4B588E07">
                  <w:pPr>
                    <w:pStyle w:val="1111"/>
                    <w:bidi w:val="0"/>
                  </w:pPr>
                  <w:r>
                    <w:t>编织袋、塑料桶等</w:t>
                  </w:r>
                </w:p>
              </w:tc>
              <w:tc>
                <w:tcPr>
                  <w:tcW w:w="651" w:type="pct"/>
                  <w:tcBorders>
                    <w:tl2br w:val="nil"/>
                    <w:tr2bl w:val="nil"/>
                  </w:tcBorders>
                  <w:shd w:val="clear" w:color="auto" w:fill="auto"/>
                  <w:noWrap w:val="0"/>
                  <w:vAlign w:val="center"/>
                </w:tcPr>
                <w:p w14:paraId="33FEBE24">
                  <w:pPr>
                    <w:pStyle w:val="1111"/>
                    <w:bidi w:val="0"/>
                  </w:pPr>
                  <w:r>
                    <w:rPr>
                      <w:rFonts w:hint="eastAsia"/>
                    </w:rPr>
                    <w:t>更换时产生</w:t>
                  </w:r>
                </w:p>
              </w:tc>
              <w:tc>
                <w:tcPr>
                  <w:tcW w:w="506" w:type="pct"/>
                  <w:tcBorders>
                    <w:tl2br w:val="nil"/>
                    <w:tr2bl w:val="nil"/>
                  </w:tcBorders>
                  <w:shd w:val="clear" w:color="auto" w:fill="auto"/>
                  <w:noWrap w:val="0"/>
                  <w:vAlign w:val="center"/>
                </w:tcPr>
                <w:p w14:paraId="0647EC38">
                  <w:pPr>
                    <w:pStyle w:val="1111"/>
                    <w:bidi w:val="0"/>
                  </w:pPr>
                  <w:r>
                    <w:t>T/In</w:t>
                  </w:r>
                </w:p>
              </w:tc>
              <w:tc>
                <w:tcPr>
                  <w:tcW w:w="828" w:type="pct"/>
                  <w:tcBorders>
                    <w:tl2br w:val="nil"/>
                    <w:tr2bl w:val="nil"/>
                  </w:tcBorders>
                  <w:shd w:val="clear" w:color="auto" w:fill="auto"/>
                  <w:noWrap w:val="0"/>
                  <w:vAlign w:val="center"/>
                </w:tcPr>
                <w:p w14:paraId="627837D2">
                  <w:pPr>
                    <w:pStyle w:val="1111"/>
                    <w:bidi w:val="0"/>
                  </w:pPr>
                  <w:r>
                    <w:rPr>
                      <w:rFonts w:hint="eastAsia"/>
                    </w:rPr>
                    <w:t>袋</w:t>
                  </w:r>
                  <w:r>
                    <w:t>装，暂存在危废暂存间</w:t>
                  </w:r>
                </w:p>
              </w:tc>
            </w:tr>
            <w:tr w14:paraId="6DF69C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2" w:type="pct"/>
                  <w:tcBorders>
                    <w:tl2br w:val="nil"/>
                    <w:tr2bl w:val="nil"/>
                  </w:tcBorders>
                  <w:shd w:val="clear" w:color="auto" w:fill="auto"/>
                  <w:noWrap w:val="0"/>
                  <w:vAlign w:val="center"/>
                </w:tcPr>
                <w:p w14:paraId="1CCC93E4">
                  <w:pPr>
                    <w:pStyle w:val="1111"/>
                    <w:bidi w:val="0"/>
                  </w:pPr>
                  <w:r>
                    <w:t>3</w:t>
                  </w:r>
                </w:p>
              </w:tc>
              <w:tc>
                <w:tcPr>
                  <w:tcW w:w="509" w:type="pct"/>
                  <w:tcBorders>
                    <w:tl2br w:val="nil"/>
                    <w:tr2bl w:val="nil"/>
                  </w:tcBorders>
                  <w:shd w:val="clear" w:color="auto" w:fill="auto"/>
                  <w:noWrap w:val="0"/>
                  <w:vAlign w:val="center"/>
                </w:tcPr>
                <w:p w14:paraId="1E2ED13F">
                  <w:pPr>
                    <w:pStyle w:val="1111"/>
                    <w:bidi w:val="0"/>
                  </w:pPr>
                  <w:r>
                    <w:t>废活性炭</w:t>
                  </w:r>
                </w:p>
              </w:tc>
              <w:tc>
                <w:tcPr>
                  <w:tcW w:w="466" w:type="pct"/>
                  <w:tcBorders>
                    <w:tl2br w:val="nil"/>
                    <w:tr2bl w:val="nil"/>
                  </w:tcBorders>
                  <w:shd w:val="clear" w:color="auto" w:fill="auto"/>
                  <w:noWrap w:val="0"/>
                  <w:vAlign w:val="center"/>
                </w:tcPr>
                <w:p w14:paraId="05D2351D">
                  <w:pPr>
                    <w:pStyle w:val="1111"/>
                    <w:bidi w:val="0"/>
                  </w:pPr>
                  <w:r>
                    <w:t>HW49</w:t>
                  </w:r>
                </w:p>
              </w:tc>
              <w:tc>
                <w:tcPr>
                  <w:tcW w:w="605" w:type="pct"/>
                  <w:tcBorders>
                    <w:tl2br w:val="nil"/>
                    <w:tr2bl w:val="nil"/>
                  </w:tcBorders>
                  <w:shd w:val="clear" w:color="auto" w:fill="auto"/>
                  <w:noWrap w:val="0"/>
                  <w:vAlign w:val="center"/>
                </w:tcPr>
                <w:p w14:paraId="79EDCD4F">
                  <w:pPr>
                    <w:pStyle w:val="1111"/>
                    <w:bidi w:val="0"/>
                  </w:pPr>
                  <w:r>
                    <w:t>900-039-49</w:t>
                  </w:r>
                </w:p>
              </w:tc>
              <w:tc>
                <w:tcPr>
                  <w:tcW w:w="605" w:type="pct"/>
                  <w:tcBorders>
                    <w:tl2br w:val="nil"/>
                    <w:tr2bl w:val="nil"/>
                  </w:tcBorders>
                  <w:shd w:val="clear" w:color="auto" w:fill="auto"/>
                  <w:noWrap w:val="0"/>
                  <w:vAlign w:val="center"/>
                </w:tcPr>
                <w:p w14:paraId="2DA1E2D3">
                  <w:pPr>
                    <w:pStyle w:val="1111"/>
                    <w:bidi w:val="0"/>
                    <w:rPr>
                      <w:rFonts w:hint="default" w:eastAsia="宋体"/>
                      <w:lang w:val="en-US" w:eastAsia="zh-CN"/>
                    </w:rPr>
                  </w:pPr>
                  <w:r>
                    <w:rPr>
                      <w:rFonts w:hint="eastAsia"/>
                      <w:lang w:val="en-US" w:eastAsia="zh-CN"/>
                    </w:rPr>
                    <w:t>26.169</w:t>
                  </w:r>
                </w:p>
              </w:tc>
              <w:tc>
                <w:tcPr>
                  <w:tcW w:w="538" w:type="pct"/>
                  <w:tcBorders>
                    <w:tl2br w:val="nil"/>
                    <w:tr2bl w:val="nil"/>
                  </w:tcBorders>
                  <w:shd w:val="clear" w:color="auto" w:fill="auto"/>
                  <w:noWrap w:val="0"/>
                  <w:vAlign w:val="center"/>
                </w:tcPr>
                <w:p w14:paraId="3399855F">
                  <w:pPr>
                    <w:pStyle w:val="1111"/>
                    <w:bidi w:val="0"/>
                  </w:pPr>
                  <w:r>
                    <w:t>活性炭</w:t>
                  </w:r>
                </w:p>
              </w:tc>
              <w:tc>
                <w:tcPr>
                  <w:tcW w:w="651" w:type="pct"/>
                  <w:tcBorders>
                    <w:tl2br w:val="nil"/>
                    <w:tr2bl w:val="nil"/>
                  </w:tcBorders>
                  <w:shd w:val="clear" w:color="auto" w:fill="auto"/>
                  <w:noWrap w:val="0"/>
                  <w:vAlign w:val="center"/>
                </w:tcPr>
                <w:p w14:paraId="3AAC9103">
                  <w:pPr>
                    <w:pStyle w:val="1111"/>
                    <w:bidi w:val="0"/>
                  </w:pPr>
                  <w:r>
                    <w:rPr>
                      <w:rFonts w:hint="eastAsia"/>
                    </w:rPr>
                    <w:t>3个月</w:t>
                  </w:r>
                </w:p>
              </w:tc>
              <w:tc>
                <w:tcPr>
                  <w:tcW w:w="506" w:type="pct"/>
                  <w:tcBorders>
                    <w:tl2br w:val="nil"/>
                    <w:tr2bl w:val="nil"/>
                  </w:tcBorders>
                  <w:shd w:val="clear" w:color="auto" w:fill="auto"/>
                  <w:noWrap w:val="0"/>
                  <w:vAlign w:val="center"/>
                </w:tcPr>
                <w:p w14:paraId="119994B7">
                  <w:pPr>
                    <w:pStyle w:val="1111"/>
                    <w:bidi w:val="0"/>
                  </w:pPr>
                  <w:r>
                    <w:t>T/In</w:t>
                  </w:r>
                </w:p>
              </w:tc>
              <w:tc>
                <w:tcPr>
                  <w:tcW w:w="828" w:type="pct"/>
                  <w:tcBorders>
                    <w:tl2br w:val="nil"/>
                    <w:tr2bl w:val="nil"/>
                  </w:tcBorders>
                  <w:shd w:val="clear" w:color="auto" w:fill="auto"/>
                  <w:noWrap w:val="0"/>
                  <w:vAlign w:val="center"/>
                </w:tcPr>
                <w:p w14:paraId="56FB47CE">
                  <w:pPr>
                    <w:pStyle w:val="1111"/>
                    <w:bidi w:val="0"/>
                  </w:pPr>
                  <w:r>
                    <w:rPr>
                      <w:rFonts w:hint="eastAsia"/>
                    </w:rPr>
                    <w:t>袋装</w:t>
                  </w:r>
                  <w:r>
                    <w:t>，暂存在危废暂存间</w:t>
                  </w:r>
                </w:p>
              </w:tc>
            </w:tr>
          </w:tbl>
          <w:p w14:paraId="742E0217">
            <w:pPr>
              <w:pStyle w:val="512"/>
              <w:bidi w:val="0"/>
            </w:pPr>
            <w:r>
              <w:rPr>
                <w:rFonts w:hint="eastAsia"/>
                <w:lang w:eastAsia="zh-CN"/>
              </w:rPr>
              <w:t>（</w:t>
            </w:r>
            <w:r>
              <w:rPr>
                <w:rFonts w:hint="eastAsia"/>
                <w:lang w:val="en-US" w:eastAsia="zh-CN"/>
              </w:rPr>
              <w:t>2</w:t>
            </w:r>
            <w:r>
              <w:rPr>
                <w:rFonts w:hint="eastAsia"/>
                <w:lang w:eastAsia="zh-CN"/>
              </w:rPr>
              <w:t>）</w:t>
            </w:r>
            <w:r>
              <w:rPr>
                <w:rFonts w:hint="eastAsia"/>
              </w:rPr>
              <w:t>固废防治措施</w:t>
            </w:r>
          </w:p>
          <w:p w14:paraId="2EEB6DD9">
            <w:pPr>
              <w:pStyle w:val="512"/>
              <w:bidi w:val="0"/>
            </w:pPr>
            <w:r>
              <w:rPr>
                <w:rFonts w:hint="eastAsia"/>
                <w:lang w:eastAsia="zh-CN"/>
              </w:rPr>
              <w:t>劳保用品、废包装物、</w:t>
            </w:r>
            <w:r>
              <w:t>废活性炭为危险废物，收集后暂存于密封胶袋内，暂存于危废库内，委托有资质单位处理。产生的生活垃圾由环卫部门统一收集处理。</w:t>
            </w:r>
          </w:p>
          <w:p w14:paraId="371ED0B3">
            <w:pPr>
              <w:pStyle w:val="512"/>
              <w:bidi w:val="0"/>
              <w:rPr>
                <w:rFonts w:hint="eastAsia"/>
              </w:rPr>
            </w:pPr>
            <w:r>
              <w:rPr>
                <w:rFonts w:hint="eastAsia"/>
              </w:rPr>
              <w:t>对于本项目产生的固废，本次评价在此提出如下几点要求：</w:t>
            </w:r>
          </w:p>
          <w:p w14:paraId="6AF7A9E5">
            <w:pPr>
              <w:pStyle w:val="512"/>
              <w:bidi w:val="0"/>
              <w:rPr>
                <w:rFonts w:hint="eastAsia"/>
              </w:rPr>
            </w:pPr>
            <w:r>
              <w:rPr>
                <w:rFonts w:hint="eastAsia"/>
              </w:rPr>
              <w:t>①安全贮存的技术要求</w:t>
            </w:r>
          </w:p>
          <w:p w14:paraId="4A2CF87E">
            <w:pPr>
              <w:pStyle w:val="512"/>
              <w:bidi w:val="0"/>
              <w:rPr>
                <w:rFonts w:hint="eastAsia"/>
              </w:rPr>
            </w:pPr>
            <w:r>
              <w:rPr>
                <w:rFonts w:hint="eastAsia"/>
              </w:rPr>
              <w:t>应按照固体废物的性质进行分类收集和暂存。危险固废按照《危险废物贮存污染控制标准》（</w:t>
            </w:r>
            <w:r>
              <w:fldChar w:fldCharType="begin"/>
            </w:r>
            <w:r>
              <w:instrText xml:space="preserve"> HYPERLINK "http://www.baidu.com/link?url=1hmzgu5hdkBZMP-Zjx5Ysn9uye6pjMy_7D2JKP78Kvd2ON5oe9LSmkYm1KgPhsFnwTHWde93NETufNwjdvg5aa" \t "_blank" </w:instrText>
            </w:r>
            <w:r>
              <w:fldChar w:fldCharType="separate"/>
            </w:r>
            <w:r>
              <w:t>GB18597-2023</w:t>
            </w:r>
            <w:r>
              <w:fldChar w:fldCharType="end"/>
            </w:r>
            <w:r>
              <w:rPr>
                <w:rFonts w:hint="eastAsia"/>
              </w:rPr>
              <w:t>）执行，项目产生废活性炭</w:t>
            </w:r>
            <w:r>
              <w:rPr>
                <w:rFonts w:hint="eastAsia"/>
                <w:lang w:eastAsia="zh-CN"/>
              </w:rPr>
              <w:t>、废包装物以及废劳保用品</w:t>
            </w:r>
            <w:r>
              <w:rPr>
                <w:rFonts w:hint="eastAsia"/>
              </w:rPr>
              <w:t>必须储存于容器中，容器应密封，存放地面必须硬化且可收集地面冲洗水。设置专门的危险废物贮存场所，设立标牌，不允许在露天堆放，危险废物贮存场所的具体要求为：设施底部必须高于地下水位最高水位；应建在易燃、易爆等危险品仓库、高压输电线路防护区域以外；应位于居民中心区常年最大风频的下风向；场所内必须有泄漏液体收集装置；危险废物的堆放要做好“三防工作”（即防风、防雨和防晒）。</w:t>
            </w:r>
          </w:p>
          <w:p w14:paraId="485D1A1E">
            <w:pPr>
              <w:pStyle w:val="512"/>
              <w:bidi w:val="0"/>
              <w:rPr>
                <w:rFonts w:hint="eastAsia"/>
              </w:rPr>
            </w:pPr>
            <w:r>
              <w:rPr>
                <w:rFonts w:hint="eastAsia"/>
              </w:rPr>
              <w:t>②规范利用处置方式</w:t>
            </w:r>
          </w:p>
          <w:p w14:paraId="0E3CFD89">
            <w:pPr>
              <w:pStyle w:val="512"/>
              <w:bidi w:val="0"/>
              <w:rPr>
                <w:rFonts w:hint="eastAsia"/>
              </w:rPr>
            </w:pPr>
            <w:r>
              <w:rPr>
                <w:rFonts w:hint="eastAsia"/>
              </w:rPr>
              <w:t>本项目危险固废送有处理资质的单位处理，执行危险废物转移五联单制度。</w:t>
            </w:r>
          </w:p>
          <w:p w14:paraId="192D5D95">
            <w:pPr>
              <w:pStyle w:val="512"/>
              <w:bidi w:val="0"/>
              <w:rPr>
                <w:rFonts w:hint="eastAsia" w:eastAsia="宋体"/>
                <w:lang w:eastAsia="zh-CN"/>
              </w:rPr>
            </w:pPr>
            <w:r>
              <w:rPr>
                <w:rFonts w:hint="eastAsia"/>
              </w:rPr>
              <w:t>③日常管理要求</w:t>
            </w:r>
          </w:p>
          <w:p w14:paraId="15DABF13">
            <w:pPr>
              <w:pStyle w:val="512"/>
              <w:bidi w:val="0"/>
              <w:rPr>
                <w:rFonts w:hint="eastAsia"/>
              </w:rPr>
            </w:pPr>
            <w:r>
              <w:rPr>
                <w:rFonts w:hint="eastAsia"/>
              </w:rPr>
              <w:t>企业应做好危险废物的入库、存放和出库记录，不得随意堆置。履行申报的登记制度，建立台账管理制度。</w:t>
            </w:r>
          </w:p>
          <w:p w14:paraId="5917F59A">
            <w:pPr>
              <w:pStyle w:val="512"/>
              <w:bidi w:val="0"/>
            </w:pPr>
            <w:r>
              <w:rPr>
                <w:rFonts w:hint="eastAsia"/>
                <w:lang w:eastAsia="zh-CN"/>
              </w:rPr>
              <w:t>（</w:t>
            </w:r>
            <w:r>
              <w:rPr>
                <w:rFonts w:hint="eastAsia"/>
                <w:lang w:val="en-US" w:eastAsia="zh-CN"/>
              </w:rPr>
              <w:t>3</w:t>
            </w:r>
            <w:r>
              <w:rPr>
                <w:rFonts w:hint="eastAsia"/>
                <w:lang w:eastAsia="zh-CN"/>
              </w:rPr>
              <w:t>）</w:t>
            </w:r>
            <w:r>
              <w:t>运输过程的污染防治措施</w:t>
            </w:r>
          </w:p>
          <w:p w14:paraId="62A188B5">
            <w:pPr>
              <w:pStyle w:val="512"/>
              <w:bidi w:val="0"/>
            </w:pPr>
            <w:r>
              <w:t>1）危险废物必须及时运送至有资质的单位处置，运输过程必须符合国家及江苏省对危险废物的运输要求；</w:t>
            </w:r>
          </w:p>
          <w:p w14:paraId="3B317110">
            <w:pPr>
              <w:pStyle w:val="512"/>
              <w:bidi w:val="0"/>
            </w:pPr>
            <w:r>
              <w:t>2）应当严格驾驶员和押运员等从业人员的专业素质考核，加强其自身的安全意识，尽量避免出现危险状况，而一旦发生危险时应该能够及时辨识，并采取有效措施，第一时间处理现场；</w:t>
            </w:r>
          </w:p>
          <w:p w14:paraId="2C6237FE">
            <w:pPr>
              <w:pStyle w:val="512"/>
              <w:bidi w:val="0"/>
            </w:pPr>
            <w:r>
              <w:t>3）加强对</w:t>
            </w:r>
            <w:r>
              <w:rPr>
                <w:rFonts w:hint="eastAsia"/>
              </w:rPr>
              <w:t>运输车辆</w:t>
            </w:r>
            <w:r>
              <w:t>的检查监管，使其行业规范化，选择路面状况良好、交通标志齐全、非人口密集的快捷路径，以保证运输安全。本项目危废</w:t>
            </w:r>
            <w:r>
              <w:rPr>
                <w:rFonts w:hint="eastAsia"/>
              </w:rPr>
              <w:t>委托有资质单位无害化</w:t>
            </w:r>
            <w:r>
              <w:t>处置，</w:t>
            </w:r>
            <w:r>
              <w:rPr>
                <w:rFonts w:hint="eastAsia"/>
              </w:rPr>
              <w:t>按规定路线行驶</w:t>
            </w:r>
            <w:r>
              <w:t>，行驶路线</w:t>
            </w:r>
            <w:r>
              <w:rPr>
                <w:rFonts w:hint="eastAsia"/>
              </w:rPr>
              <w:t>应</w:t>
            </w:r>
            <w:r>
              <w:t>属于非人口密集的快捷路径，避开了主要敏感点；</w:t>
            </w:r>
          </w:p>
          <w:p w14:paraId="7379E919">
            <w:pPr>
              <w:pStyle w:val="512"/>
              <w:bidi w:val="0"/>
            </w:pPr>
            <w:r>
              <w:t>4）严格审查企业的运营资质，加大监管力度和频度，尤其是跨区域运输过程的监控；严格制定相关法规条例，并逐步加以完善与落实，同时加大对危规违法行为的处罚力度。</w:t>
            </w:r>
          </w:p>
          <w:p w14:paraId="794C83B0">
            <w:pPr>
              <w:pStyle w:val="512"/>
              <w:bidi w:val="0"/>
            </w:pPr>
            <w:r>
              <w:rPr>
                <w:rFonts w:hint="eastAsia"/>
                <w:lang w:eastAsia="zh-CN"/>
              </w:rPr>
              <w:t>（</w:t>
            </w:r>
            <w:r>
              <w:rPr>
                <w:rFonts w:hint="eastAsia"/>
                <w:lang w:val="en-US" w:eastAsia="zh-CN"/>
              </w:rPr>
              <w:t>4</w:t>
            </w:r>
            <w:r>
              <w:rPr>
                <w:rFonts w:hint="eastAsia"/>
                <w:lang w:eastAsia="zh-CN"/>
              </w:rPr>
              <w:t>）</w:t>
            </w:r>
            <w:r>
              <w:t>固废处置方式可行性分析</w:t>
            </w:r>
          </w:p>
          <w:p w14:paraId="6480F190">
            <w:pPr>
              <w:pStyle w:val="512"/>
              <w:bidi w:val="0"/>
            </w:pPr>
            <w:r>
              <w:t>项目</w:t>
            </w:r>
            <w:r>
              <w:rPr>
                <w:rFonts w:hint="eastAsia"/>
              </w:rPr>
              <w:t>产生</w:t>
            </w:r>
            <w:r>
              <w:t>的</w:t>
            </w:r>
            <w:r>
              <w:rPr>
                <w:rFonts w:hint="eastAsia"/>
              </w:rPr>
              <w:t>一般固废生活垃圾交由环卫</w:t>
            </w:r>
            <w:r>
              <w:t>部门处理，危险废物委托</w:t>
            </w:r>
            <w:r>
              <w:rPr>
                <w:rFonts w:hint="eastAsia"/>
              </w:rPr>
              <w:t>资质单位处置</w:t>
            </w:r>
            <w:r>
              <w:t>。固废处理率达到100%，不会造成二次污染。</w:t>
            </w:r>
          </w:p>
          <w:p w14:paraId="74A66D6E">
            <w:pPr>
              <w:pStyle w:val="512"/>
              <w:bidi w:val="0"/>
            </w:pPr>
            <w:r>
              <w:t>本项目危废仓库</w:t>
            </w:r>
            <w:r>
              <w:rPr>
                <w:rFonts w:hint="eastAsia"/>
                <w:lang w:eastAsia="zh-CN"/>
              </w:rPr>
              <w:t>已经</w:t>
            </w:r>
            <w:r>
              <w:t>按照“五防”要求建设，设置渗滤液收集输送系统、通风换气系统，并且按照要求对危废仓库进行防渗、防腐，分隔段对不同种类危险固废分开存放。项目危废仓库选址是可行的。</w:t>
            </w:r>
          </w:p>
          <w:p w14:paraId="4353CC01">
            <w:pPr>
              <w:pStyle w:val="512"/>
              <w:bidi w:val="0"/>
            </w:pPr>
            <w:r>
              <w:rPr>
                <w:rFonts w:hint="eastAsia"/>
                <w:lang w:val="en-US" w:eastAsia="zh-CN"/>
              </w:rPr>
              <w:t>本项目存储间最大贮存面积为109.62m</w:t>
            </w:r>
            <w:r>
              <w:rPr>
                <w:rFonts w:hint="eastAsia"/>
                <w:vertAlign w:val="superscript"/>
                <w:lang w:val="en-US" w:eastAsia="zh-CN"/>
              </w:rPr>
              <w:t>2</w:t>
            </w:r>
            <w:r>
              <w:rPr>
                <w:rFonts w:hint="eastAsia"/>
                <w:lang w:val="en-US" w:eastAsia="zh-CN"/>
              </w:rPr>
              <w:t>，储存能力为1t/m</w:t>
            </w:r>
            <w:r>
              <w:rPr>
                <w:rFonts w:hint="eastAsia"/>
                <w:vertAlign w:val="superscript"/>
                <w:lang w:val="en-US" w:eastAsia="zh-CN"/>
              </w:rPr>
              <w:t>2</w:t>
            </w:r>
            <w:r>
              <w:rPr>
                <w:rFonts w:hint="eastAsia"/>
                <w:lang w:val="en-US" w:eastAsia="zh-CN"/>
              </w:rPr>
              <w:t>，</w:t>
            </w:r>
            <w:r>
              <w:rPr>
                <w:rFonts w:hint="eastAsia"/>
                <w:color w:val="auto"/>
                <w:lang w:val="en-US" w:eastAsia="zh-CN"/>
              </w:rPr>
              <w:t>转运频次为3个月，贮存能力为438.48t/a。</w:t>
            </w:r>
            <w:r>
              <w:rPr>
                <w:rFonts w:hint="eastAsia"/>
                <w:lang w:eastAsia="zh-CN"/>
              </w:rPr>
              <w:t>正常情况下中华药港危险废物的最大暂存量为</w:t>
            </w:r>
            <w:r>
              <w:rPr>
                <w:rFonts w:hint="eastAsia"/>
                <w:lang w:val="en-US" w:eastAsia="zh-CN"/>
              </w:rPr>
              <w:t>137t，</w:t>
            </w:r>
            <w:r>
              <w:t>因此</w:t>
            </w:r>
            <w:r>
              <w:rPr>
                <w:rFonts w:hint="eastAsia"/>
              </w:rPr>
              <w:t>项目</w:t>
            </w:r>
            <w:r>
              <w:t>危废库可以满足</w:t>
            </w:r>
            <w:r>
              <w:rPr>
                <w:rFonts w:hint="eastAsia"/>
              </w:rPr>
              <w:t>本</w:t>
            </w:r>
            <w:r>
              <w:t>项目的储存要求。</w:t>
            </w:r>
          </w:p>
          <w:p w14:paraId="7C9377EC">
            <w:pPr>
              <w:pStyle w:val="512"/>
              <w:bidi w:val="0"/>
            </w:pPr>
            <w:r>
              <w:t>对照《国家危险废物名录》（</w:t>
            </w:r>
            <w:r>
              <w:rPr>
                <w:rFonts w:hint="eastAsia"/>
              </w:rPr>
              <w:t>2021年版</w:t>
            </w:r>
            <w:r>
              <w:t>），本项目产生的危险废物主要有：</w:t>
            </w:r>
            <w:r>
              <w:rPr>
                <w:rFonts w:hint="eastAsia"/>
              </w:rPr>
              <w:t>废活性炭</w:t>
            </w:r>
            <w:r>
              <w:t>、</w:t>
            </w:r>
            <w:r>
              <w:rPr>
                <w:rFonts w:hint="eastAsia"/>
                <w:lang w:eastAsia="zh-CN"/>
              </w:rPr>
              <w:t>废</w:t>
            </w:r>
            <w:r>
              <w:rPr>
                <w:rFonts w:hint="eastAsia"/>
              </w:rPr>
              <w:t>包装桶、</w:t>
            </w:r>
            <w:r>
              <w:t>废</w:t>
            </w:r>
            <w:r>
              <w:rPr>
                <w:rFonts w:hint="eastAsia"/>
                <w:lang w:eastAsia="zh-CN"/>
              </w:rPr>
              <w:t>劳保用品</w:t>
            </w:r>
            <w:r>
              <w:rPr>
                <w:rFonts w:hint="eastAsia"/>
              </w:rPr>
              <w:t>等，</w:t>
            </w:r>
            <w:r>
              <w:t>交由有资质单位处置。</w:t>
            </w:r>
          </w:p>
          <w:p w14:paraId="07F73B16">
            <w:pPr>
              <w:pStyle w:val="512"/>
              <w:bidi w:val="0"/>
            </w:pPr>
            <w:r>
              <w:t>①危险废物的收集包装</w:t>
            </w:r>
          </w:p>
          <w:p w14:paraId="626D4DCE">
            <w:pPr>
              <w:pStyle w:val="512"/>
              <w:bidi w:val="0"/>
            </w:pPr>
            <w:r>
              <w:t>a.有符合要求的包装容器、收集人员的个人防护设备。</w:t>
            </w:r>
          </w:p>
          <w:p w14:paraId="44F8B942">
            <w:pPr>
              <w:pStyle w:val="512"/>
              <w:bidi w:val="0"/>
            </w:pPr>
            <w:r>
              <w:t>b.危险废物的收集容器在醒目位置贴有危险废物标签，在收集场所醒目的地方设置危险废物警告标识。</w:t>
            </w:r>
          </w:p>
          <w:p w14:paraId="7542D5F2">
            <w:pPr>
              <w:pStyle w:val="512"/>
              <w:bidi w:val="0"/>
            </w:pPr>
            <w:r>
              <w:t>c.危险废物标签标明以下信息：主要化学成分或危险废物名称、数量，物理形态、危险类别、安全措施以及危险废物产生单位名称、地址、联系人及电话。</w:t>
            </w:r>
          </w:p>
          <w:p w14:paraId="3BA715A3">
            <w:pPr>
              <w:pStyle w:val="512"/>
              <w:bidi w:val="0"/>
            </w:pPr>
            <w:r>
              <w:t>②危险废物的贮存</w:t>
            </w:r>
          </w:p>
          <w:p w14:paraId="6D905AB9">
            <w:pPr>
              <w:pStyle w:val="512"/>
              <w:bidi w:val="0"/>
            </w:pPr>
            <w:r>
              <w:t>危险废物的管理应严格按照《中华人民共和国固体废物污染环境防治法》中有关危险废物的管理条款执行。危险废物贮存应按《危险废物贮存污染控制标准》（GB18597-20</w:t>
            </w:r>
            <w:r>
              <w:rPr>
                <w:rFonts w:hint="eastAsia"/>
                <w:lang w:val="en-US" w:eastAsia="zh-CN"/>
              </w:rPr>
              <w:t>23</w:t>
            </w:r>
            <w:r>
              <w:t>）的有关规定执行。</w:t>
            </w:r>
          </w:p>
          <w:p w14:paraId="55968CC1">
            <w:pPr>
              <w:pStyle w:val="512"/>
              <w:bidi w:val="0"/>
            </w:pPr>
            <w:r>
              <w:rPr>
                <w:rFonts w:hint="eastAsia"/>
                <w:lang w:eastAsia="zh-CN"/>
              </w:rPr>
              <w:t>③</w:t>
            </w:r>
            <w:r>
              <w:t>危险废物贮存设施的设计要求</w:t>
            </w:r>
          </w:p>
          <w:p w14:paraId="4D0F15CE">
            <w:pPr>
              <w:pStyle w:val="512"/>
              <w:bidi w:val="0"/>
            </w:pPr>
            <w:r>
              <w:t>危险废物贮存设施应满足《危险废物贮存污染控制标准》（GB18597-20</w:t>
            </w:r>
            <w:r>
              <w:rPr>
                <w:rFonts w:hint="eastAsia"/>
                <w:lang w:val="en-US" w:eastAsia="zh-CN"/>
              </w:rPr>
              <w:t>23</w:t>
            </w:r>
            <w:r>
              <w:t>）</w:t>
            </w:r>
            <w:r>
              <w:rPr>
                <w:rFonts w:hint="eastAsia"/>
              </w:rPr>
              <w:t>及修改清单</w:t>
            </w:r>
            <w:r>
              <w:t>的要求。贮存场所要防风、防雨、防晒，避开易燃、易爆危险品仓库、高压输电线路防护区域。地面与裙角要用坚固、防渗的材料建造；必须有泄露液体收集装置；用以存放装有废物容器的地方，必须有耐腐蚀的硬化地面，且表面无裂缝；设计堵截泄露的裙角。基础必须防渗，防渗层为至少1m厚粘土层（渗透系数</w:t>
            </w:r>
            <w:r>
              <w:rPr>
                <w:rFonts w:hint="eastAsia"/>
              </w:rPr>
              <w:t>≦</w:t>
            </w:r>
            <w:r>
              <w:t>10-7cm/s），或2mm厚高密度聚乙烯，或至少2mm厚的其他人工材料，渗透系数</w:t>
            </w:r>
            <w:r>
              <w:rPr>
                <w:rFonts w:hint="eastAsia"/>
              </w:rPr>
              <w:t>≦</w:t>
            </w:r>
            <w:r>
              <w:t>10-10cm/s。</w:t>
            </w:r>
          </w:p>
          <w:p w14:paraId="2F4801AD">
            <w:pPr>
              <w:pStyle w:val="512"/>
              <w:bidi w:val="0"/>
            </w:pPr>
            <w:r>
              <w:rPr>
                <w:rFonts w:hint="eastAsia"/>
                <w:lang w:eastAsia="zh-CN"/>
              </w:rPr>
              <w:t>（</w:t>
            </w:r>
            <w:r>
              <w:rPr>
                <w:rFonts w:hint="eastAsia"/>
                <w:lang w:val="en-US" w:eastAsia="zh-CN"/>
              </w:rPr>
              <w:t>5</w:t>
            </w:r>
            <w:r>
              <w:rPr>
                <w:rFonts w:hint="eastAsia"/>
                <w:lang w:eastAsia="zh-CN"/>
              </w:rPr>
              <w:t>）</w:t>
            </w:r>
            <w:r>
              <w:t>危废管理要求</w:t>
            </w:r>
          </w:p>
          <w:p w14:paraId="5404EE70">
            <w:pPr>
              <w:pStyle w:val="512"/>
              <w:bidi w:val="0"/>
              <w:rPr>
                <w:rFonts w:hint="eastAsia"/>
              </w:rPr>
            </w:pPr>
            <w:r>
              <w:rPr>
                <w:rFonts w:hint="eastAsia"/>
              </w:rPr>
              <w:t>根据《省生态环境厅关于进一步加强危险废物污染防治工作的实施意见》（苏环办</w:t>
            </w:r>
            <w:r>
              <w:rPr>
                <w:rFonts w:hint="eastAsia"/>
                <w:lang w:eastAsia="zh-CN"/>
              </w:rPr>
              <w:t>[</w:t>
            </w:r>
            <w:r>
              <w:rPr>
                <w:rFonts w:hint="eastAsia"/>
              </w:rPr>
              <w:t>2019</w:t>
            </w:r>
            <w:r>
              <w:rPr>
                <w:rFonts w:hint="eastAsia"/>
                <w:lang w:eastAsia="zh-CN"/>
              </w:rPr>
              <w:t>]</w:t>
            </w:r>
            <w:r>
              <w:rPr>
                <w:rFonts w:hint="eastAsia"/>
              </w:rPr>
              <w:t>327号）等相关文件要求，对于本项目运行后的固体废弃物的环境管理，应做到以下几点：</w:t>
            </w:r>
          </w:p>
          <w:p w14:paraId="64DF1CD7">
            <w:pPr>
              <w:pStyle w:val="512"/>
              <w:bidi w:val="0"/>
              <w:rPr>
                <w:rFonts w:hint="eastAsia"/>
              </w:rPr>
            </w:pPr>
            <w:r>
              <w:rPr>
                <w:rFonts w:hint="eastAsia"/>
              </w:rPr>
              <w:t>1）</w:t>
            </w:r>
            <w:r>
              <w:rPr>
                <w:rFonts w:hint="eastAsia"/>
                <w:lang w:eastAsia="zh-CN"/>
              </w:rPr>
              <w:t>企业</w:t>
            </w:r>
            <w:r>
              <w:rPr>
                <w:rFonts w:hint="eastAsia"/>
              </w:rPr>
              <w:t>应通过“江苏省固体废物管理信息系统”（江苏省环保厅网站）进行危险废物申报登记。将危险废物的实际产生、贮存、利用、处置等情况纳入生产记录，建立危险废物管理台账和企业内部产生和收集、贮存、转移等部门危险废物交接制度。</w:t>
            </w:r>
          </w:p>
          <w:p w14:paraId="16FE12FE">
            <w:pPr>
              <w:pStyle w:val="512"/>
              <w:bidi w:val="0"/>
              <w:rPr>
                <w:rFonts w:hint="eastAsia"/>
              </w:rPr>
            </w:pPr>
            <w:r>
              <w:rPr>
                <w:rFonts w:hint="eastAsia"/>
              </w:rPr>
              <w:t>2）必须明确企业为固体废物污染防治的责任主体，要求企业建立风险管理及应急救援体系，执行环境监测计划、转移联单管理制度及国家和省有关转移管理的相关规定、处置过程安全操作规程、人员培训考核制度、档案管理制度、处置全过程管理制度等。</w:t>
            </w:r>
          </w:p>
          <w:p w14:paraId="444903A4">
            <w:pPr>
              <w:pStyle w:val="512"/>
              <w:bidi w:val="0"/>
            </w:pPr>
            <w:r>
              <w:rPr>
                <w:rFonts w:hint="eastAsia"/>
              </w:rPr>
              <w:t>3）按照《环境保护图形标志固体废物贮存（处置）场》（GB15562.2-1995）和危险废物识别标识设置规范设置标志，配备通讯设备、照明设施和消防设施；在出入口、设施内部、危险废物运输车辆通道等关键位置按照危险废物贮存设施视频监控布置要求设置视频监控，并与中控室联网。鼓励有条件的企业采用云存储方式保存视频监控数据。</w:t>
            </w:r>
          </w:p>
          <w:p w14:paraId="05063B12">
            <w:pPr>
              <w:pStyle w:val="512"/>
              <w:bidi w:val="0"/>
            </w:pPr>
            <w:r>
              <w:rPr>
                <w:rFonts w:hint="eastAsia"/>
              </w:rPr>
              <w:t>企业应根据危险废物的种类和特性进行分区、分类贮存，设置防雨、防火、防雷、防扬散、防渗漏装置及泄漏液体收集装置。对易爆、易燃及排出有毒气体的危险废物进行预处理，稳定后贮存，否则按易爆、易燃危险品贮存。贮存废气剧毒化学品的，应按照公安机关要求落实治安防范措施。</w:t>
            </w:r>
          </w:p>
          <w:p w14:paraId="704F160C">
            <w:pPr>
              <w:pStyle w:val="512"/>
              <w:bidi w:val="0"/>
              <w:rPr>
                <w:rFonts w:hint="eastAsia" w:eastAsia="宋体"/>
                <w:lang w:eastAsia="zh-CN"/>
              </w:rPr>
            </w:pPr>
            <w:r>
              <w:rPr>
                <w:rFonts w:hint="eastAsia"/>
              </w:rPr>
              <w:t>4）每年定期向社会发布企业年度环境质量报告，在企业门口显示屏上实时公开录企业危废产生、处置情况</w:t>
            </w:r>
            <w:r>
              <w:rPr>
                <w:rFonts w:hint="eastAsia"/>
                <w:lang w:eastAsia="zh-CN"/>
              </w:rPr>
              <w:t>。</w:t>
            </w:r>
          </w:p>
          <w:p w14:paraId="23209294">
            <w:pPr>
              <w:pStyle w:val="512"/>
              <w:bidi w:val="0"/>
            </w:pPr>
            <w:r>
              <w:rPr>
                <w:rFonts w:hint="eastAsia"/>
              </w:rPr>
              <w:t>5）配套通讯设备、照明设施和消防设施，设置气体到出口及其他净化装置，确保废气达标排放。加强</w:t>
            </w:r>
            <w:r>
              <w:t>危废库视频监控布设，</w:t>
            </w:r>
            <w:r>
              <w:rPr>
                <w:rFonts w:hint="eastAsia"/>
              </w:rPr>
              <w:t>在出入口、设施内部、危险废物运输车辆通道等关键位置按照危险废物贮存设施视频监控布设要求设置视频监控，并与中控室联网。</w:t>
            </w:r>
          </w:p>
          <w:p w14:paraId="0ED41662">
            <w:pPr>
              <w:pStyle w:val="512"/>
              <w:bidi w:val="0"/>
              <w:rPr>
                <w:rFonts w:hint="eastAsia" w:eastAsia="宋体"/>
                <w:lang w:eastAsia="zh-CN"/>
              </w:rPr>
            </w:pPr>
            <w:r>
              <w:rPr>
                <w:rFonts w:hint="eastAsia"/>
              </w:rPr>
              <w:t>危险废物产生单位应列出如下信息：</w:t>
            </w:r>
          </w:p>
          <w:p w14:paraId="3B954479">
            <w:pPr>
              <w:pStyle w:val="512"/>
              <w:bidi w:val="0"/>
              <w:rPr>
                <w:rFonts w:hint="eastAsia" w:eastAsia="宋体"/>
                <w:lang w:eastAsia="zh-CN"/>
              </w:rPr>
            </w:pPr>
            <w:r>
              <w:t>1</w:t>
            </w:r>
            <w:r>
              <w:rPr>
                <w:rFonts w:hint="eastAsia"/>
              </w:rPr>
              <w:t>）危险废物产生规模：分为</w:t>
            </w:r>
            <w:r>
              <w:t>1</w:t>
            </w:r>
            <w:r>
              <w:rPr>
                <w:rFonts w:hint="eastAsia"/>
              </w:rPr>
              <w:t>吨</w:t>
            </w:r>
            <w:r>
              <w:t>/</w:t>
            </w:r>
            <w:r>
              <w:rPr>
                <w:rFonts w:hint="eastAsia"/>
              </w:rPr>
              <w:t>年以下、</w:t>
            </w:r>
            <w:r>
              <w:t>1</w:t>
            </w:r>
            <w:r>
              <w:rPr>
                <w:rFonts w:hint="eastAsia"/>
              </w:rPr>
              <w:t>（含）</w:t>
            </w:r>
            <w:r>
              <w:rPr>
                <w:rFonts w:hint="eastAsia"/>
                <w:lang w:val="en-US" w:eastAsia="zh-CN"/>
              </w:rPr>
              <w:t>~</w:t>
            </w:r>
            <w:r>
              <w:t>10</w:t>
            </w:r>
            <w:r>
              <w:rPr>
                <w:rFonts w:hint="eastAsia"/>
              </w:rPr>
              <w:t>吨</w:t>
            </w:r>
            <w:r>
              <w:t>/</w:t>
            </w:r>
            <w:r>
              <w:rPr>
                <w:rFonts w:hint="eastAsia"/>
              </w:rPr>
              <w:t>年、</w:t>
            </w:r>
            <w:r>
              <w:t>10</w:t>
            </w:r>
            <w:r>
              <w:rPr>
                <w:rFonts w:hint="eastAsia"/>
              </w:rPr>
              <w:t>（含）</w:t>
            </w:r>
            <w:r>
              <w:rPr>
                <w:rFonts w:hint="eastAsia"/>
                <w:lang w:val="en-US" w:eastAsia="zh-CN"/>
              </w:rPr>
              <w:t>~</w:t>
            </w:r>
            <w:r>
              <w:t>100</w:t>
            </w:r>
            <w:r>
              <w:rPr>
                <w:rFonts w:hint="eastAsia"/>
              </w:rPr>
              <w:t>吨</w:t>
            </w:r>
            <w:r>
              <w:t>/</w:t>
            </w:r>
            <w:r>
              <w:rPr>
                <w:rFonts w:hint="eastAsia"/>
              </w:rPr>
              <w:t>年、</w:t>
            </w:r>
            <w:r>
              <w:t>100</w:t>
            </w:r>
            <w:r>
              <w:rPr>
                <w:rFonts w:hint="eastAsia"/>
              </w:rPr>
              <w:t>（含）</w:t>
            </w:r>
            <w:r>
              <w:rPr>
                <w:rFonts w:hint="eastAsia"/>
                <w:lang w:val="en-US" w:eastAsia="zh-CN"/>
              </w:rPr>
              <w:t>~</w:t>
            </w:r>
            <w:r>
              <w:t>500</w:t>
            </w:r>
            <w:r>
              <w:rPr>
                <w:rFonts w:hint="eastAsia"/>
              </w:rPr>
              <w:t>吨</w:t>
            </w:r>
            <w:r>
              <w:t>/</w:t>
            </w:r>
            <w:r>
              <w:rPr>
                <w:rFonts w:hint="eastAsia"/>
              </w:rPr>
              <w:t>年、</w:t>
            </w:r>
            <w:r>
              <w:t>500</w:t>
            </w:r>
            <w:r>
              <w:rPr>
                <w:rFonts w:hint="eastAsia"/>
              </w:rPr>
              <w:t>（含）</w:t>
            </w:r>
            <w:r>
              <w:rPr>
                <w:rFonts w:hint="eastAsia"/>
                <w:lang w:val="en-US" w:eastAsia="zh-CN"/>
              </w:rPr>
              <w:t>~</w:t>
            </w:r>
            <w:r>
              <w:t>1000</w:t>
            </w:r>
            <w:r>
              <w:rPr>
                <w:rFonts w:hint="eastAsia"/>
              </w:rPr>
              <w:t>吨</w:t>
            </w:r>
            <w:r>
              <w:t>/</w:t>
            </w:r>
            <w:r>
              <w:rPr>
                <w:rFonts w:hint="eastAsia"/>
              </w:rPr>
              <w:t>年、</w:t>
            </w:r>
            <w:r>
              <w:t>1000</w:t>
            </w:r>
            <w:r>
              <w:rPr>
                <w:rFonts w:hint="eastAsia"/>
              </w:rPr>
              <w:t>吨</w:t>
            </w:r>
            <w:r>
              <w:t>/</w:t>
            </w:r>
            <w:r>
              <w:rPr>
                <w:rFonts w:hint="eastAsia"/>
              </w:rPr>
              <w:t>年及以上共六个等级。</w:t>
            </w:r>
          </w:p>
          <w:p w14:paraId="3C43A4AA">
            <w:pPr>
              <w:pStyle w:val="512"/>
              <w:bidi w:val="0"/>
              <w:rPr>
                <w:rFonts w:hint="eastAsia" w:eastAsia="宋体"/>
                <w:lang w:eastAsia="zh-CN"/>
              </w:rPr>
            </w:pPr>
            <w:r>
              <w:t>2</w:t>
            </w:r>
            <w:r>
              <w:rPr>
                <w:rFonts w:hint="eastAsia"/>
              </w:rPr>
              <w:t>）贮存设施数量：仓库</w:t>
            </w:r>
            <w:r>
              <w:t>×</w:t>
            </w:r>
            <w:r>
              <w:rPr>
                <w:rFonts w:hint="eastAsia"/>
              </w:rPr>
              <w:t>处。仓库包括企业所有贮存危险废物的全封闭式仓库、围墙或防护栅栏隔离区域，储罐包括企业所有贮存危险废物的储罐、贮槽等。</w:t>
            </w:r>
          </w:p>
          <w:p w14:paraId="0B966C25">
            <w:pPr>
              <w:pStyle w:val="512"/>
              <w:bidi w:val="0"/>
              <w:rPr>
                <w:rFonts w:hint="eastAsia"/>
              </w:rPr>
            </w:pPr>
            <w:r>
              <w:t>3</w:t>
            </w:r>
            <w:r>
              <w:rPr>
                <w:rFonts w:hint="eastAsia"/>
              </w:rPr>
              <w:t>）贮存设施建筑面积（容积）：仓库</w:t>
            </w:r>
            <w:r>
              <w:t>×</w:t>
            </w:r>
            <w:r>
              <w:rPr>
                <w:rFonts w:hint="eastAsia"/>
              </w:rPr>
              <w:t>平方米，升。仓库面积指企业所有贮存危险废物的全封闭式仓库、围墙或防护栅栏隔离区域等建筑面积之和，以平方米计；储罐容积指企业所有贮存危险废物的储罐、贮槽等容积之和，以升计。</w:t>
            </w:r>
          </w:p>
          <w:p w14:paraId="1A1FF216">
            <w:pPr>
              <w:pStyle w:val="512"/>
              <w:bidi w:val="0"/>
              <w:rPr>
                <w:rFonts w:hint="eastAsia"/>
              </w:rPr>
            </w:pPr>
            <w:r>
              <w:t>4</w:t>
            </w:r>
            <w:r>
              <w:rPr>
                <w:rFonts w:hint="eastAsia"/>
              </w:rPr>
              <w:t>）厂区平面示意图：绘制厂区建筑平面示意图，突出显示厂区每一处危险废物贮存设施在厂区的相对位置。</w:t>
            </w:r>
          </w:p>
          <w:p w14:paraId="1239B511">
            <w:pPr>
              <w:pStyle w:val="512"/>
              <w:bidi w:val="0"/>
              <w:rPr>
                <w:rFonts w:hint="eastAsia"/>
              </w:rPr>
            </w:pPr>
            <w:r>
              <w:t>5</w:t>
            </w:r>
            <w:r>
              <w:rPr>
                <w:rFonts w:hint="eastAsia"/>
              </w:rPr>
              <w:t>）危废名称：列出企业实际产生的所有危险废物名称。</w:t>
            </w:r>
          </w:p>
          <w:p w14:paraId="4DBD5E5A">
            <w:pPr>
              <w:pStyle w:val="512"/>
              <w:bidi w:val="0"/>
              <w:rPr>
                <w:rFonts w:hint="eastAsia" w:eastAsia="宋体"/>
                <w:lang w:eastAsia="zh-CN"/>
              </w:rPr>
            </w:pPr>
            <w:r>
              <w:t>6</w:t>
            </w:r>
            <w:r>
              <w:rPr>
                <w:rFonts w:hint="eastAsia"/>
              </w:rPr>
              <w:t>）危废代码：危险废物对应的八位码。</w:t>
            </w:r>
          </w:p>
          <w:p w14:paraId="147BAAE8">
            <w:pPr>
              <w:pStyle w:val="512"/>
              <w:bidi w:val="0"/>
              <w:rPr>
                <w:rFonts w:hint="eastAsia" w:eastAsia="宋体"/>
                <w:lang w:eastAsia="zh-CN"/>
              </w:rPr>
            </w:pPr>
            <w:r>
              <w:t>7</w:t>
            </w:r>
            <w:r>
              <w:rPr>
                <w:rFonts w:hint="eastAsia"/>
              </w:rPr>
              <w:t>）环评批文：公开企业实际产生危险废物的环评情况。已取得环评批复的填写批复文号，未取得环评批复的填</w:t>
            </w:r>
            <w:r>
              <w:t>“</w:t>
            </w:r>
            <w:r>
              <w:rPr>
                <w:rFonts w:hint="eastAsia"/>
              </w:rPr>
              <w:t>无</w:t>
            </w:r>
            <w:r>
              <w:t>”</w:t>
            </w:r>
            <w:r>
              <w:rPr>
                <w:rFonts w:hint="eastAsia"/>
              </w:rPr>
              <w:t>。</w:t>
            </w:r>
          </w:p>
          <w:p w14:paraId="32FBF144">
            <w:pPr>
              <w:pStyle w:val="512"/>
              <w:bidi w:val="0"/>
              <w:rPr>
                <w:rFonts w:hint="eastAsia" w:eastAsia="宋体"/>
                <w:lang w:eastAsia="zh-CN"/>
              </w:rPr>
            </w:pPr>
            <w:r>
              <w:t>8</w:t>
            </w:r>
            <w:r>
              <w:rPr>
                <w:rFonts w:hint="eastAsia"/>
              </w:rPr>
              <w:t>）产生来源：指危险废物产生环节或产生工序。</w:t>
            </w:r>
          </w:p>
          <w:p w14:paraId="453720DC">
            <w:pPr>
              <w:pStyle w:val="512"/>
              <w:bidi w:val="0"/>
              <w:rPr>
                <w:rFonts w:hint="eastAsia" w:eastAsia="宋体"/>
                <w:lang w:eastAsia="zh-CN"/>
              </w:rPr>
            </w:pPr>
            <w:r>
              <w:t>9</w:t>
            </w:r>
            <w:r>
              <w:rPr>
                <w:rFonts w:hint="eastAsia"/>
              </w:rPr>
              <w:t>）环境污染防治措施：根据全封闭式仓库、围墙或防护栅栏隔离区域、储罐、贮槽等设施贮存的危险废物种类和危险特性，确定需采取的污染防治措施，包括防风、防雨、防晒、防雷、防扬散、防流失、防渗漏、泄露液体收集、废气收集导出及净化处理等。</w:t>
            </w:r>
          </w:p>
          <w:p w14:paraId="379DA9E4">
            <w:pPr>
              <w:pStyle w:val="512"/>
              <w:bidi w:val="0"/>
              <w:rPr>
                <w:rFonts w:hint="eastAsia"/>
              </w:rPr>
            </w:pPr>
            <w:r>
              <w:rPr>
                <w:rFonts w:hint="eastAsia"/>
              </w:rPr>
              <w:t>项目固体废物处置符合《一般工业固体废物贮存和填埋污染控制标准》</w:t>
            </w:r>
            <w:r>
              <w:rPr>
                <w:rFonts w:hint="eastAsia"/>
                <w:lang w:eastAsia="zh-CN"/>
              </w:rPr>
              <w:t>（</w:t>
            </w:r>
            <w:r>
              <w:t>GB18599-2020</w:t>
            </w:r>
            <w:r>
              <w:rPr>
                <w:rFonts w:hint="eastAsia"/>
                <w:lang w:eastAsia="zh-CN"/>
              </w:rPr>
              <w:t>）</w:t>
            </w:r>
            <w:r>
              <w:rPr>
                <w:rFonts w:hint="eastAsia"/>
              </w:rPr>
              <w:t>标准要求、《危险废物贮存污染控制标准》（</w:t>
            </w:r>
            <w:r>
              <w:t>GB18597-2023</w:t>
            </w:r>
            <w:r>
              <w:rPr>
                <w:rFonts w:hint="eastAsia"/>
              </w:rPr>
              <w:t>）要求，各固体废物均能得到妥善解决，对周围环境影响较小。</w:t>
            </w:r>
          </w:p>
          <w:p w14:paraId="6F73BC48">
            <w:pPr>
              <w:pStyle w:val="512"/>
              <w:bidi w:val="0"/>
            </w:pPr>
            <w:r>
              <w:t>5、地下水、土壤环境影响分析</w:t>
            </w:r>
          </w:p>
          <w:p w14:paraId="667591CF">
            <w:pPr>
              <w:pStyle w:val="512"/>
              <w:bidi w:val="0"/>
              <w:rPr>
                <w:rFonts w:hint="eastAsia" w:eastAsia="宋体"/>
                <w:lang w:eastAsia="zh-CN"/>
              </w:rPr>
            </w:pPr>
            <w:r>
              <w:rPr>
                <w:rFonts w:hint="eastAsia"/>
                <w:lang w:eastAsia="zh-CN"/>
              </w:rPr>
              <w:t>（</w:t>
            </w:r>
            <w:r>
              <w:rPr>
                <w:rFonts w:hint="eastAsia"/>
                <w:lang w:val="en-US" w:eastAsia="zh-CN"/>
              </w:rPr>
              <w:t>1</w:t>
            </w:r>
            <w:r>
              <w:rPr>
                <w:rFonts w:hint="eastAsia"/>
                <w:lang w:eastAsia="zh-CN"/>
              </w:rPr>
              <w:t>）</w:t>
            </w:r>
            <w:r>
              <w:rPr>
                <w:rFonts w:hint="eastAsia"/>
              </w:rPr>
              <w:t>污染源分析</w:t>
            </w:r>
          </w:p>
          <w:p w14:paraId="2C6CD7BF">
            <w:pPr>
              <w:pStyle w:val="512"/>
              <w:bidi w:val="0"/>
              <w:rPr>
                <w:rFonts w:hint="eastAsia"/>
              </w:rPr>
            </w:pPr>
            <w:r>
              <w:rPr>
                <w:rFonts w:hint="eastAsia"/>
              </w:rPr>
              <w:t>项目主要为贮存</w:t>
            </w:r>
            <w:r>
              <w:t>的物质泄露</w:t>
            </w:r>
            <w:r>
              <w:rPr>
                <w:rFonts w:hint="eastAsia"/>
              </w:rPr>
              <w:t>可能对地下水和土壤产生影响。</w:t>
            </w:r>
          </w:p>
          <w:p w14:paraId="0AF56C0D">
            <w:pPr>
              <w:pStyle w:val="512"/>
              <w:bidi w:val="0"/>
            </w:pPr>
            <w:r>
              <w:rPr>
                <w:rFonts w:hint="eastAsia"/>
              </w:rPr>
              <w:t>本项目</w:t>
            </w:r>
            <w:r>
              <w:t>产生</w:t>
            </w:r>
            <w:r>
              <w:rPr>
                <w:rFonts w:hint="eastAsia"/>
              </w:rPr>
              <w:t>的</w:t>
            </w:r>
            <w:r>
              <w:t>非甲烷总烃</w:t>
            </w:r>
            <w:r>
              <w:rPr>
                <w:rFonts w:hint="eastAsia"/>
                <w:lang w:eastAsia="zh-CN"/>
              </w:rPr>
              <w:t>、</w:t>
            </w:r>
            <w:r>
              <w:rPr>
                <w:rFonts w:hint="eastAsia"/>
                <w:lang w:val="en-US" w:eastAsia="zh-CN"/>
              </w:rPr>
              <w:t>臭气</w:t>
            </w:r>
            <w:r>
              <w:rPr>
                <w:rFonts w:hint="eastAsia"/>
              </w:rPr>
              <w:t>经“一级</w:t>
            </w:r>
            <w:r>
              <w:rPr>
                <w:rFonts w:hint="eastAsia"/>
                <w:lang w:eastAsia="zh-CN"/>
              </w:rPr>
              <w:t>碱吸收</w:t>
            </w:r>
            <w:r>
              <w:t>+</w:t>
            </w:r>
            <w:r>
              <w:rPr>
                <w:rFonts w:hint="eastAsia"/>
              </w:rPr>
              <w:t>一级活性炭吸附”装置处理后，排放的废气会经大气沉降排放至土壤，影响很小。</w:t>
            </w:r>
          </w:p>
          <w:p w14:paraId="6B385564">
            <w:pPr>
              <w:pStyle w:val="1111"/>
              <w:bidi w:val="0"/>
              <w:rPr>
                <w:rFonts w:hint="eastAsia"/>
              </w:rPr>
            </w:pPr>
            <w:r>
              <w:rPr>
                <w:rFonts w:hint="eastAsia"/>
              </w:rPr>
              <w:t>表4-</w:t>
            </w:r>
            <w:r>
              <w:rPr>
                <w:rFonts w:hint="eastAsia"/>
                <w:lang w:val="en-US" w:eastAsia="zh-CN"/>
              </w:rPr>
              <w:t>21</w:t>
            </w:r>
            <w:r>
              <w:rPr>
                <w:rFonts w:hint="eastAsia"/>
              </w:rPr>
              <w:t xml:space="preserve"> 项目环境影响源及影响因子识别表</w:t>
            </w:r>
          </w:p>
          <w:tbl>
            <w:tblPr>
              <w:tblStyle w:val="7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42"/>
              <w:gridCol w:w="1552"/>
              <w:gridCol w:w="1200"/>
              <w:gridCol w:w="1888"/>
              <w:gridCol w:w="1215"/>
              <w:gridCol w:w="442"/>
            </w:tblGrid>
            <w:tr w14:paraId="3DA6D9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8" w:type="pct"/>
                  <w:noWrap w:val="0"/>
                  <w:vAlign w:val="center"/>
                </w:tcPr>
                <w:p w14:paraId="600931FE">
                  <w:pPr>
                    <w:pStyle w:val="1111"/>
                    <w:bidi w:val="0"/>
                    <w:rPr>
                      <w:rFonts w:hint="eastAsia"/>
                    </w:rPr>
                  </w:pPr>
                  <w:r>
                    <w:rPr>
                      <w:rFonts w:hint="eastAsia"/>
                    </w:rPr>
                    <w:t>污染源</w:t>
                  </w:r>
                </w:p>
              </w:tc>
              <w:tc>
                <w:tcPr>
                  <w:tcW w:w="1015" w:type="pct"/>
                  <w:noWrap w:val="0"/>
                  <w:vAlign w:val="center"/>
                </w:tcPr>
                <w:p w14:paraId="51E6C832">
                  <w:pPr>
                    <w:pStyle w:val="1111"/>
                    <w:bidi w:val="0"/>
                  </w:pPr>
                  <w:r>
                    <w:rPr>
                      <w:rFonts w:hint="eastAsia"/>
                    </w:rPr>
                    <w:t>工艺流程/节点</w:t>
                  </w:r>
                </w:p>
              </w:tc>
              <w:tc>
                <w:tcPr>
                  <w:tcW w:w="785" w:type="pct"/>
                  <w:noWrap w:val="0"/>
                  <w:vAlign w:val="center"/>
                </w:tcPr>
                <w:p w14:paraId="1065B170">
                  <w:pPr>
                    <w:pStyle w:val="1111"/>
                    <w:bidi w:val="0"/>
                  </w:pPr>
                  <w:r>
                    <w:rPr>
                      <w:rFonts w:hint="eastAsia"/>
                    </w:rPr>
                    <w:t>污染途径</w:t>
                  </w:r>
                </w:p>
              </w:tc>
              <w:tc>
                <w:tcPr>
                  <w:tcW w:w="1235" w:type="pct"/>
                  <w:noWrap w:val="0"/>
                  <w:vAlign w:val="center"/>
                </w:tcPr>
                <w:p w14:paraId="21D8F4BB">
                  <w:pPr>
                    <w:pStyle w:val="1111"/>
                    <w:bidi w:val="0"/>
                  </w:pPr>
                  <w:r>
                    <w:rPr>
                      <w:rFonts w:hint="eastAsia"/>
                    </w:rPr>
                    <w:t>全部污染指标</w:t>
                  </w:r>
                </w:p>
              </w:tc>
              <w:tc>
                <w:tcPr>
                  <w:tcW w:w="795" w:type="pct"/>
                  <w:noWrap w:val="0"/>
                  <w:vAlign w:val="center"/>
                </w:tcPr>
                <w:p w14:paraId="1F7317DF">
                  <w:pPr>
                    <w:pStyle w:val="1111"/>
                    <w:bidi w:val="0"/>
                  </w:pPr>
                  <w:r>
                    <w:rPr>
                      <w:rFonts w:hint="eastAsia"/>
                    </w:rPr>
                    <w:t>特征因子</w:t>
                  </w:r>
                </w:p>
              </w:tc>
              <w:tc>
                <w:tcPr>
                  <w:tcW w:w="289" w:type="pct"/>
                  <w:noWrap w:val="0"/>
                  <w:vAlign w:val="center"/>
                </w:tcPr>
                <w:p w14:paraId="398A5774">
                  <w:pPr>
                    <w:pStyle w:val="1111"/>
                    <w:bidi w:val="0"/>
                    <w:rPr>
                      <w:rFonts w:hint="eastAsia"/>
                    </w:rPr>
                  </w:pPr>
                  <w:r>
                    <w:rPr>
                      <w:rFonts w:hint="eastAsia"/>
                    </w:rPr>
                    <w:t>备注</w:t>
                  </w:r>
                </w:p>
              </w:tc>
            </w:tr>
            <w:tr w14:paraId="632EB0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8" w:type="pct"/>
                  <w:vMerge w:val="restart"/>
                  <w:noWrap w:val="0"/>
                  <w:vAlign w:val="center"/>
                </w:tcPr>
                <w:p w14:paraId="6EBFFF64">
                  <w:pPr>
                    <w:pStyle w:val="1111"/>
                    <w:bidi w:val="0"/>
                  </w:pPr>
                  <w:r>
                    <w:rPr>
                      <w:rFonts w:hint="eastAsia"/>
                    </w:rPr>
                    <w:t>废气处理装置</w:t>
                  </w:r>
                </w:p>
              </w:tc>
              <w:tc>
                <w:tcPr>
                  <w:tcW w:w="1015" w:type="pct"/>
                  <w:noWrap w:val="0"/>
                  <w:vAlign w:val="center"/>
                </w:tcPr>
                <w:p w14:paraId="6FDCCAFA">
                  <w:pPr>
                    <w:pStyle w:val="1111"/>
                    <w:bidi w:val="0"/>
                  </w:pPr>
                  <w:r>
                    <w:rPr>
                      <w:rFonts w:hint="eastAsia"/>
                    </w:rPr>
                    <w:t>废气排放</w:t>
                  </w:r>
                </w:p>
              </w:tc>
              <w:tc>
                <w:tcPr>
                  <w:tcW w:w="785" w:type="pct"/>
                  <w:noWrap w:val="0"/>
                  <w:vAlign w:val="center"/>
                </w:tcPr>
                <w:p w14:paraId="7A4BDADF">
                  <w:pPr>
                    <w:pStyle w:val="1111"/>
                    <w:bidi w:val="0"/>
                  </w:pPr>
                  <w:r>
                    <w:rPr>
                      <w:rFonts w:hint="eastAsia"/>
                    </w:rPr>
                    <w:t>大气沉降</w:t>
                  </w:r>
                </w:p>
              </w:tc>
              <w:tc>
                <w:tcPr>
                  <w:tcW w:w="1235" w:type="pct"/>
                  <w:noWrap w:val="0"/>
                  <w:vAlign w:val="center"/>
                </w:tcPr>
                <w:p w14:paraId="040EFD10">
                  <w:pPr>
                    <w:pStyle w:val="1111"/>
                    <w:bidi w:val="0"/>
                    <w:rPr>
                      <w:rFonts w:hint="default" w:eastAsia="宋体"/>
                      <w:lang w:val="en-US" w:eastAsia="zh-CN"/>
                    </w:rPr>
                  </w:pPr>
                  <w:r>
                    <w:t>非甲烷总烃</w:t>
                  </w:r>
                  <w:r>
                    <w:rPr>
                      <w:rFonts w:hint="eastAsia"/>
                      <w:lang w:eastAsia="zh-CN"/>
                    </w:rPr>
                    <w:t>、</w:t>
                  </w:r>
                  <w:r>
                    <w:rPr>
                      <w:rFonts w:hint="eastAsia"/>
                      <w:lang w:val="en-US" w:eastAsia="zh-CN"/>
                    </w:rPr>
                    <w:t>臭气</w:t>
                  </w:r>
                </w:p>
              </w:tc>
              <w:tc>
                <w:tcPr>
                  <w:tcW w:w="795" w:type="pct"/>
                  <w:noWrap w:val="0"/>
                  <w:vAlign w:val="center"/>
                </w:tcPr>
                <w:p w14:paraId="213090E8">
                  <w:pPr>
                    <w:pStyle w:val="1111"/>
                    <w:bidi w:val="0"/>
                    <w:rPr>
                      <w:rFonts w:hint="eastAsia"/>
                    </w:rPr>
                  </w:pPr>
                  <w:r>
                    <w:rPr>
                      <w:rFonts w:hint="eastAsia"/>
                    </w:rPr>
                    <w:t>/</w:t>
                  </w:r>
                </w:p>
              </w:tc>
              <w:tc>
                <w:tcPr>
                  <w:tcW w:w="289" w:type="pct"/>
                  <w:noWrap w:val="0"/>
                  <w:vAlign w:val="center"/>
                </w:tcPr>
                <w:p w14:paraId="1D866DE9">
                  <w:pPr>
                    <w:pStyle w:val="1111"/>
                    <w:bidi w:val="0"/>
                    <w:rPr>
                      <w:rFonts w:hint="eastAsia"/>
                    </w:rPr>
                  </w:pPr>
                  <w:r>
                    <w:rPr>
                      <w:rFonts w:hint="eastAsia"/>
                    </w:rPr>
                    <w:t>/</w:t>
                  </w:r>
                </w:p>
              </w:tc>
            </w:tr>
            <w:tr w14:paraId="607F48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8" w:type="pct"/>
                  <w:vMerge w:val="continue"/>
                  <w:noWrap w:val="0"/>
                  <w:vAlign w:val="center"/>
                </w:tcPr>
                <w:p w14:paraId="506ACA84">
                  <w:pPr>
                    <w:pStyle w:val="1111"/>
                    <w:bidi w:val="0"/>
                    <w:rPr>
                      <w:rFonts w:hint="eastAsia"/>
                    </w:rPr>
                  </w:pPr>
                </w:p>
              </w:tc>
              <w:tc>
                <w:tcPr>
                  <w:tcW w:w="1015" w:type="pct"/>
                  <w:noWrap w:val="0"/>
                  <w:vAlign w:val="center"/>
                </w:tcPr>
                <w:p w14:paraId="0CB0A3DC">
                  <w:pPr>
                    <w:pStyle w:val="1111"/>
                    <w:bidi w:val="0"/>
                    <w:rPr>
                      <w:rFonts w:hint="eastAsia"/>
                    </w:rPr>
                  </w:pPr>
                  <w:r>
                    <w:rPr>
                      <w:rFonts w:hint="eastAsia"/>
                    </w:rPr>
                    <w:t>废水排放</w:t>
                  </w:r>
                </w:p>
              </w:tc>
              <w:tc>
                <w:tcPr>
                  <w:tcW w:w="785" w:type="pct"/>
                  <w:noWrap w:val="0"/>
                  <w:vAlign w:val="center"/>
                </w:tcPr>
                <w:p w14:paraId="238363EF">
                  <w:pPr>
                    <w:pStyle w:val="1111"/>
                    <w:bidi w:val="0"/>
                    <w:rPr>
                      <w:rFonts w:hint="eastAsia"/>
                    </w:rPr>
                  </w:pPr>
                  <w:r>
                    <w:rPr>
                      <w:rFonts w:hint="eastAsia"/>
                    </w:rPr>
                    <w:t>垂直入渗、地面漫流</w:t>
                  </w:r>
                </w:p>
              </w:tc>
              <w:tc>
                <w:tcPr>
                  <w:tcW w:w="1235" w:type="pct"/>
                  <w:noWrap w:val="0"/>
                  <w:vAlign w:val="center"/>
                </w:tcPr>
                <w:p w14:paraId="17C5B338">
                  <w:pPr>
                    <w:pStyle w:val="1111"/>
                    <w:bidi w:val="0"/>
                  </w:pPr>
                  <w:r>
                    <w:rPr>
                      <w:rFonts w:hint="eastAsia"/>
                    </w:rPr>
                    <w:t>COD、SS</w:t>
                  </w:r>
                </w:p>
              </w:tc>
              <w:tc>
                <w:tcPr>
                  <w:tcW w:w="795" w:type="pct"/>
                  <w:noWrap w:val="0"/>
                  <w:vAlign w:val="center"/>
                </w:tcPr>
                <w:p w14:paraId="3AF0AEED">
                  <w:pPr>
                    <w:pStyle w:val="1111"/>
                    <w:bidi w:val="0"/>
                    <w:rPr>
                      <w:rFonts w:hint="eastAsia"/>
                    </w:rPr>
                  </w:pPr>
                  <w:r>
                    <w:rPr>
                      <w:rFonts w:hint="eastAsia"/>
                    </w:rPr>
                    <w:t>/</w:t>
                  </w:r>
                </w:p>
              </w:tc>
              <w:tc>
                <w:tcPr>
                  <w:tcW w:w="289" w:type="pct"/>
                  <w:noWrap w:val="0"/>
                  <w:vAlign w:val="center"/>
                </w:tcPr>
                <w:p w14:paraId="7C32797E">
                  <w:pPr>
                    <w:pStyle w:val="1111"/>
                    <w:bidi w:val="0"/>
                    <w:rPr>
                      <w:rFonts w:hint="eastAsia"/>
                    </w:rPr>
                  </w:pPr>
                  <w:r>
                    <w:rPr>
                      <w:rFonts w:hint="eastAsia"/>
                    </w:rPr>
                    <w:t>/</w:t>
                  </w:r>
                </w:p>
              </w:tc>
            </w:tr>
            <w:tr w14:paraId="11EE1C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878" w:type="pct"/>
                  <w:noWrap w:val="0"/>
                  <w:vAlign w:val="center"/>
                </w:tcPr>
                <w:p w14:paraId="5EB4F95E">
                  <w:pPr>
                    <w:pStyle w:val="1111"/>
                    <w:bidi w:val="0"/>
                    <w:rPr>
                      <w:rFonts w:hint="eastAsia"/>
                    </w:rPr>
                  </w:pPr>
                  <w:r>
                    <w:rPr>
                      <w:rFonts w:hint="eastAsia"/>
                    </w:rPr>
                    <w:t>危废库</w:t>
                  </w:r>
                </w:p>
              </w:tc>
              <w:tc>
                <w:tcPr>
                  <w:tcW w:w="1015" w:type="pct"/>
                  <w:noWrap w:val="0"/>
                  <w:vAlign w:val="center"/>
                </w:tcPr>
                <w:p w14:paraId="095B5A31">
                  <w:pPr>
                    <w:pStyle w:val="1111"/>
                    <w:bidi w:val="0"/>
                    <w:rPr>
                      <w:rFonts w:hint="eastAsia"/>
                    </w:rPr>
                  </w:pPr>
                  <w:r>
                    <w:rPr>
                      <w:rFonts w:hint="eastAsia"/>
                    </w:rPr>
                    <w:t>危废</w:t>
                  </w:r>
                  <w:r>
                    <w:t>暂存</w:t>
                  </w:r>
                </w:p>
              </w:tc>
              <w:tc>
                <w:tcPr>
                  <w:tcW w:w="785" w:type="pct"/>
                  <w:noWrap w:val="0"/>
                  <w:vAlign w:val="center"/>
                </w:tcPr>
                <w:p w14:paraId="6B91E444">
                  <w:pPr>
                    <w:pStyle w:val="1111"/>
                    <w:bidi w:val="0"/>
                    <w:rPr>
                      <w:rFonts w:hint="eastAsia"/>
                    </w:rPr>
                  </w:pPr>
                  <w:r>
                    <w:rPr>
                      <w:rFonts w:hint="eastAsia"/>
                    </w:rPr>
                    <w:t>垂直入渗、地面漫流</w:t>
                  </w:r>
                </w:p>
              </w:tc>
              <w:tc>
                <w:tcPr>
                  <w:tcW w:w="1235" w:type="pct"/>
                  <w:noWrap w:val="0"/>
                  <w:vAlign w:val="center"/>
                </w:tcPr>
                <w:p w14:paraId="47AFE33F">
                  <w:pPr>
                    <w:pStyle w:val="1111"/>
                    <w:bidi w:val="0"/>
                  </w:pPr>
                  <w:r>
                    <w:rPr>
                      <w:rFonts w:hint="eastAsia"/>
                    </w:rPr>
                    <w:t>COD、NH</w:t>
                  </w:r>
                  <w:r>
                    <w:rPr>
                      <w:rFonts w:hint="eastAsia"/>
                      <w:vertAlign w:val="subscript"/>
                    </w:rPr>
                    <w:t>3</w:t>
                  </w:r>
                  <w:r>
                    <w:rPr>
                      <w:rFonts w:hint="eastAsia"/>
                    </w:rPr>
                    <w:t>-N</w:t>
                  </w:r>
                </w:p>
              </w:tc>
              <w:tc>
                <w:tcPr>
                  <w:tcW w:w="795" w:type="pct"/>
                  <w:noWrap w:val="0"/>
                  <w:vAlign w:val="center"/>
                </w:tcPr>
                <w:p w14:paraId="1D9D5CEC">
                  <w:pPr>
                    <w:pStyle w:val="1111"/>
                    <w:bidi w:val="0"/>
                    <w:rPr>
                      <w:rFonts w:hint="eastAsia"/>
                    </w:rPr>
                  </w:pPr>
                  <w:r>
                    <w:rPr>
                      <w:rFonts w:hint="eastAsia"/>
                    </w:rPr>
                    <w:t>/</w:t>
                  </w:r>
                </w:p>
              </w:tc>
              <w:tc>
                <w:tcPr>
                  <w:tcW w:w="289" w:type="pct"/>
                  <w:noWrap w:val="0"/>
                  <w:vAlign w:val="center"/>
                </w:tcPr>
                <w:p w14:paraId="7DD60FE3">
                  <w:pPr>
                    <w:pStyle w:val="1111"/>
                    <w:bidi w:val="0"/>
                    <w:rPr>
                      <w:rFonts w:hint="eastAsia"/>
                    </w:rPr>
                  </w:pPr>
                  <w:r>
                    <w:rPr>
                      <w:rFonts w:hint="eastAsia"/>
                    </w:rPr>
                    <w:t>/</w:t>
                  </w:r>
                </w:p>
              </w:tc>
            </w:tr>
          </w:tbl>
          <w:p w14:paraId="6265C7CF">
            <w:pPr>
              <w:pStyle w:val="512"/>
              <w:numPr>
                <w:ilvl w:val="0"/>
                <w:numId w:val="12"/>
              </w:numPr>
              <w:bidi w:val="0"/>
              <w:rPr>
                <w:rFonts w:hint="eastAsia"/>
              </w:rPr>
            </w:pPr>
            <w:r>
              <w:rPr>
                <w:rFonts w:hint="eastAsia"/>
                <w:lang w:eastAsia="zh-CN"/>
              </w:rPr>
              <w:t>现有</w:t>
            </w:r>
            <w:r>
              <w:rPr>
                <w:rFonts w:hint="eastAsia"/>
              </w:rPr>
              <w:t>防控措施</w:t>
            </w:r>
          </w:p>
          <w:p w14:paraId="5A307433">
            <w:pPr>
              <w:pStyle w:val="512"/>
              <w:bidi w:val="0"/>
              <w:rPr>
                <w:rFonts w:hint="eastAsia"/>
                <w:lang w:eastAsia="zh-CN"/>
              </w:rPr>
            </w:pPr>
            <w:r>
              <w:rPr>
                <w:rFonts w:hint="eastAsia"/>
                <w:lang w:eastAsia="zh-CN"/>
              </w:rPr>
              <w:t>①在仓库贮存区设置液体导流沟（宽</w:t>
            </w:r>
            <w:r>
              <w:rPr>
                <w:rFonts w:hint="eastAsia"/>
                <w:lang w:val="en-US" w:eastAsia="zh-CN"/>
              </w:rPr>
              <w:t>0.2m，深0.3m</w:t>
            </w:r>
            <w:r>
              <w:rPr>
                <w:rFonts w:hint="eastAsia"/>
                <w:lang w:eastAsia="zh-CN"/>
              </w:rPr>
              <w:t>），沿渗滤液设定流动方向设置</w:t>
            </w:r>
            <w:r>
              <w:rPr>
                <w:rFonts w:hint="eastAsia"/>
                <w:lang w:val="en-US" w:eastAsia="zh-CN"/>
              </w:rPr>
              <w:t>0.5%的坡度，存储间设置</w:t>
            </w:r>
            <w:r>
              <w:rPr>
                <w:rFonts w:hint="eastAsia"/>
                <w:lang w:eastAsia="zh-CN"/>
              </w:rPr>
              <w:t>应急收集井（容积</w:t>
            </w:r>
            <w:r>
              <w:rPr>
                <w:rFonts w:hint="eastAsia"/>
                <w:lang w:val="en-US" w:eastAsia="zh-CN"/>
              </w:rPr>
              <w:t>0.729m</w:t>
            </w:r>
            <w:r>
              <w:rPr>
                <w:rFonts w:hint="eastAsia"/>
                <w:vertAlign w:val="superscript"/>
                <w:lang w:val="en-US" w:eastAsia="zh-CN"/>
              </w:rPr>
              <w:t>3</w:t>
            </w:r>
            <w:r>
              <w:rPr>
                <w:rFonts w:hint="eastAsia"/>
                <w:lang w:eastAsia="zh-CN"/>
              </w:rPr>
              <w:t>）；</w:t>
            </w:r>
          </w:p>
          <w:p w14:paraId="60A1AAC0">
            <w:pPr>
              <w:pStyle w:val="512"/>
              <w:bidi w:val="0"/>
              <w:rPr>
                <w:rFonts w:hint="eastAsia" w:eastAsia="宋体"/>
                <w:lang w:eastAsia="zh-CN"/>
              </w:rPr>
            </w:pPr>
            <w:r>
              <w:rPr>
                <w:rFonts w:hint="eastAsia"/>
                <w:lang w:eastAsia="zh-CN"/>
              </w:rPr>
              <w:t>②危废存储间地面、导流沟、收集井均按照《危险废物贮存污染控制标准》</w:t>
            </w:r>
            <w:r>
              <w:t>（GB18597-2023）的规定</w:t>
            </w:r>
            <w:r>
              <w:rPr>
                <w:rFonts w:hint="eastAsia"/>
                <w:lang w:eastAsia="zh-CN"/>
              </w:rPr>
              <w:t>进行建造。</w:t>
            </w:r>
          </w:p>
          <w:p w14:paraId="0177C3A4">
            <w:pPr>
              <w:pStyle w:val="512"/>
              <w:numPr>
                <w:ilvl w:val="0"/>
                <w:numId w:val="12"/>
              </w:numPr>
              <w:bidi w:val="0"/>
              <w:rPr>
                <w:rFonts w:hint="eastAsia"/>
              </w:rPr>
            </w:pPr>
            <w:r>
              <w:rPr>
                <w:rFonts w:hint="eastAsia"/>
                <w:lang w:eastAsia="zh-CN"/>
              </w:rPr>
              <w:t>本项目防控措施</w:t>
            </w:r>
          </w:p>
          <w:p w14:paraId="6F920ACD">
            <w:pPr>
              <w:pStyle w:val="512"/>
              <w:bidi w:val="0"/>
              <w:rPr>
                <w:rFonts w:hint="eastAsia"/>
                <w:lang w:eastAsia="zh-CN"/>
              </w:rPr>
            </w:pPr>
            <w:r>
              <w:t>根据本项目的特性分析，本项目可能造成污染的途径主要有</w:t>
            </w:r>
            <w:r>
              <w:rPr>
                <w:rFonts w:hint="eastAsia"/>
                <w:lang w:eastAsia="zh-CN"/>
              </w:rPr>
              <w:t>：</w:t>
            </w:r>
          </w:p>
          <w:p w14:paraId="398E59DC">
            <w:pPr>
              <w:pStyle w:val="512"/>
              <w:numPr>
                <w:ilvl w:val="0"/>
                <w:numId w:val="13"/>
              </w:numPr>
              <w:bidi w:val="0"/>
            </w:pPr>
            <w:r>
              <w:t>排放的废气污染物通过沉降或降水而降落到地面；</w:t>
            </w:r>
          </w:p>
          <w:p w14:paraId="19A17B32">
            <w:pPr>
              <w:pStyle w:val="512"/>
              <w:numPr>
                <w:ilvl w:val="0"/>
                <w:numId w:val="13"/>
              </w:numPr>
              <w:bidi w:val="0"/>
            </w:pPr>
            <w:r>
              <w:rPr>
                <w:rFonts w:hint="eastAsia"/>
              </w:rPr>
              <w:t>危险废物</w:t>
            </w:r>
            <w:r>
              <w:t>泄露</w:t>
            </w:r>
            <w:r>
              <w:rPr>
                <w:rFonts w:hint="eastAsia"/>
              </w:rPr>
              <w:t>经</w:t>
            </w:r>
            <w:r>
              <w:t>雨水管网</w:t>
            </w:r>
            <w:r>
              <w:rPr>
                <w:rFonts w:hint="eastAsia"/>
              </w:rPr>
              <w:t>进入地表</w:t>
            </w:r>
            <w:r>
              <w:t>水体；</w:t>
            </w:r>
          </w:p>
          <w:p w14:paraId="57284C1E">
            <w:pPr>
              <w:pStyle w:val="512"/>
              <w:numPr>
                <w:ilvl w:val="0"/>
                <w:numId w:val="13"/>
              </w:numPr>
              <w:bidi w:val="0"/>
            </w:pPr>
            <w:r>
              <w:rPr>
                <w:rFonts w:hint="eastAsia"/>
              </w:rPr>
              <w:t>危废库</w:t>
            </w:r>
            <w:r>
              <w:t>污水下渗对土壤</w:t>
            </w:r>
            <w:r>
              <w:rPr>
                <w:rFonts w:hint="eastAsia"/>
              </w:rPr>
              <w:t>地下水</w:t>
            </w:r>
            <w:r>
              <w:t>造成的污染</w:t>
            </w:r>
            <w:r>
              <w:rPr>
                <w:rFonts w:hint="eastAsia"/>
              </w:rPr>
              <w:t>；</w:t>
            </w:r>
          </w:p>
          <w:p w14:paraId="6EE2292C">
            <w:pPr>
              <w:pStyle w:val="512"/>
              <w:numPr>
                <w:ilvl w:val="0"/>
                <w:numId w:val="13"/>
              </w:numPr>
              <w:bidi w:val="0"/>
            </w:pPr>
            <w:r>
              <w:rPr>
                <w:rFonts w:hint="eastAsia"/>
              </w:rPr>
              <w:t>废气处理设施</w:t>
            </w:r>
            <w:r>
              <w:t>污水下渗对土壤</w:t>
            </w:r>
            <w:r>
              <w:rPr>
                <w:rFonts w:hint="eastAsia"/>
              </w:rPr>
              <w:t>地下水</w:t>
            </w:r>
            <w:r>
              <w:t>造成的污染。</w:t>
            </w:r>
          </w:p>
          <w:p w14:paraId="74C76787">
            <w:pPr>
              <w:pStyle w:val="512"/>
              <w:bidi w:val="0"/>
            </w:pPr>
            <w:r>
              <w:t>针对以上污染途径，</w:t>
            </w:r>
            <w:r>
              <w:rPr>
                <w:rFonts w:hint="eastAsia"/>
                <w:lang w:eastAsia="zh-CN"/>
              </w:rPr>
              <w:t>企业</w:t>
            </w:r>
            <w:r>
              <w:t>应采取以下污染防治措施：</w:t>
            </w:r>
          </w:p>
          <w:p w14:paraId="7EB00834">
            <w:pPr>
              <w:pStyle w:val="512"/>
              <w:bidi w:val="0"/>
              <w:rPr>
                <w:rFonts w:hint="eastAsia"/>
              </w:rPr>
            </w:pPr>
            <w:r>
              <w:rPr>
                <w:rFonts w:hint="eastAsia"/>
              </w:rPr>
              <w:fldChar w:fldCharType="begin"/>
            </w:r>
            <w:r>
              <w:rPr>
                <w:rFonts w:hint="eastAsia"/>
              </w:rPr>
              <w:instrText xml:space="preserve"> = 1 \* GB3 \* MERGEFORMAT </w:instrText>
            </w:r>
            <w:r>
              <w:rPr>
                <w:rFonts w:hint="eastAsia"/>
              </w:rPr>
              <w:fldChar w:fldCharType="separate"/>
            </w:r>
            <w:r>
              <w:rPr>
                <w:rFonts w:hint="eastAsia"/>
              </w:rPr>
              <w:t>①</w:t>
            </w:r>
            <w:r>
              <w:rPr>
                <w:rFonts w:hint="eastAsia"/>
              </w:rPr>
              <w:fldChar w:fldCharType="end"/>
            </w:r>
            <w:r>
              <w:rPr>
                <w:rFonts w:hint="eastAsia"/>
              </w:rPr>
              <w:t>源头控制措施</w:t>
            </w:r>
          </w:p>
          <w:p w14:paraId="7C119740">
            <w:pPr>
              <w:pStyle w:val="512"/>
              <w:bidi w:val="0"/>
              <w:rPr>
                <w:rFonts w:hint="eastAsia"/>
              </w:rPr>
            </w:pPr>
            <w:r>
              <w:rPr>
                <w:rFonts w:hint="eastAsia"/>
              </w:rPr>
              <w:t>本次所用原料不涉及重金属，</w:t>
            </w:r>
            <w:r>
              <w:rPr>
                <w:rFonts w:hint="eastAsia"/>
                <w:lang w:eastAsia="zh-CN"/>
              </w:rPr>
              <w:t>本</w:t>
            </w:r>
            <w:r>
              <w:rPr>
                <w:rFonts w:hint="eastAsia"/>
              </w:rPr>
              <w:t>项目危废仓库采取严格防渗措施，加强生产管理，避免物料洒落侵入土壤，从而造成土壤污染，另外项目设置三级防控体系，事故状态下废水得到妥善处置，因此，项目正常生产对厂区内土壤不会造成明显的环境影响。</w:t>
            </w:r>
          </w:p>
          <w:p w14:paraId="26F9B756">
            <w:pPr>
              <w:pStyle w:val="512"/>
              <w:bidi w:val="0"/>
              <w:rPr>
                <w:rFonts w:hint="eastAsia"/>
              </w:rPr>
            </w:pPr>
            <w:r>
              <w:rPr>
                <w:rFonts w:hint="eastAsia"/>
              </w:rPr>
              <w:fldChar w:fldCharType="begin"/>
            </w:r>
            <w:r>
              <w:rPr>
                <w:rFonts w:hint="eastAsia"/>
              </w:rPr>
              <w:instrText xml:space="preserve"> = 2 \* GB3 \* MERGEFORMAT </w:instrText>
            </w:r>
            <w:r>
              <w:rPr>
                <w:rFonts w:hint="eastAsia"/>
              </w:rPr>
              <w:fldChar w:fldCharType="separate"/>
            </w:r>
            <w:r>
              <w:rPr>
                <w:rFonts w:hint="eastAsia"/>
              </w:rPr>
              <w:t>②</w:t>
            </w:r>
            <w:r>
              <w:rPr>
                <w:rFonts w:hint="eastAsia"/>
              </w:rPr>
              <w:fldChar w:fldCharType="end"/>
            </w:r>
            <w:r>
              <w:rPr>
                <w:rFonts w:hint="eastAsia"/>
              </w:rPr>
              <w:t>分区防渗措施</w:t>
            </w:r>
          </w:p>
          <w:p w14:paraId="40FB0C3E">
            <w:pPr>
              <w:pStyle w:val="512"/>
              <w:bidi w:val="0"/>
            </w:pPr>
            <w:r>
              <w:t>防渗处理是防止地下水污染的重要</w:t>
            </w:r>
            <w:r>
              <w:rPr>
                <w:rFonts w:hint="eastAsia"/>
                <w:lang w:eastAsia="zh-CN"/>
              </w:rPr>
              <w:t>环境</w:t>
            </w:r>
            <w:r>
              <w:t>保护措施，也是杜绝地下水污染的最后一道防线。依据项目区域水文地质情况及项目特点，提出如下污染防治措施及防渗要求：</w:t>
            </w:r>
          </w:p>
          <w:p w14:paraId="62915C81">
            <w:pPr>
              <w:pStyle w:val="512"/>
              <w:bidi w:val="0"/>
            </w:pPr>
            <w:r>
              <w:t>对</w:t>
            </w:r>
            <w:r>
              <w:rPr>
                <w:rFonts w:hint="eastAsia"/>
              </w:rPr>
              <w:t>危废仓库</w:t>
            </w:r>
            <w:r>
              <w:t>等设置重点防渗区</w:t>
            </w:r>
            <w:r>
              <w:rPr>
                <w:rFonts w:hint="eastAsia"/>
              </w:rPr>
              <w:t>，</w:t>
            </w:r>
            <w:r>
              <w:t>重点防渗区的防渗设计</w:t>
            </w:r>
            <w:r>
              <w:rPr>
                <w:rFonts w:hint="eastAsia"/>
              </w:rPr>
              <w:t>参照《石油化工工程防渗技术规范》（</w:t>
            </w:r>
            <w:r>
              <w:t>GB/T50934-2013）</w:t>
            </w:r>
            <w:r>
              <w:rPr>
                <w:rFonts w:hint="eastAsia"/>
              </w:rPr>
              <w:t>，并满足</w:t>
            </w:r>
            <w:r>
              <w:t>《环境影响评价技术导则 地下水环境》（HJ610-2016）表</w:t>
            </w:r>
            <w:r>
              <w:rPr>
                <w:rFonts w:hint="eastAsia"/>
              </w:rPr>
              <w:t>7</w:t>
            </w:r>
            <w:r>
              <w:t>相关要求。</w:t>
            </w:r>
          </w:p>
          <w:p w14:paraId="384FD79F">
            <w:pPr>
              <w:pStyle w:val="512"/>
              <w:bidi w:val="0"/>
            </w:pPr>
            <w:r>
              <w:t>此外，</w:t>
            </w:r>
            <w:r>
              <w:rPr>
                <w:rFonts w:hint="eastAsia"/>
              </w:rPr>
              <w:t>危废仓库</w:t>
            </w:r>
            <w:r>
              <w:t>的设置和管理严格执行《危险废物贮存污染控制标准》（GB18597-2023）的规定；还需加强管理，在</w:t>
            </w:r>
            <w:r>
              <w:rPr>
                <w:rFonts w:hint="eastAsia"/>
              </w:rPr>
              <w:t>危废仓库库</w:t>
            </w:r>
            <w:r>
              <w:t>需设置安全报警装置，并加强巡检，污染物泄漏时做到及时发现，及时处置，采取有效的堵漏作业，将污染物泄漏的环境风险事故降到最低。</w:t>
            </w:r>
          </w:p>
          <w:p w14:paraId="740D418F">
            <w:pPr>
              <w:pStyle w:val="512"/>
              <w:bidi w:val="0"/>
            </w:pPr>
            <w:r>
              <w:rPr>
                <w:rFonts w:hint="eastAsia"/>
                <w:lang w:eastAsia="zh-CN"/>
              </w:rPr>
              <w:t>（</w:t>
            </w:r>
            <w:r>
              <w:rPr>
                <w:rFonts w:hint="eastAsia"/>
                <w:lang w:val="en-US" w:eastAsia="zh-CN"/>
              </w:rPr>
              <w:t>3</w:t>
            </w:r>
            <w:r>
              <w:rPr>
                <w:rFonts w:hint="eastAsia"/>
                <w:lang w:eastAsia="zh-CN"/>
              </w:rPr>
              <w:t>）</w:t>
            </w:r>
            <w:r>
              <w:rPr>
                <w:rFonts w:hint="eastAsia"/>
              </w:rPr>
              <w:t>跟踪监测</w:t>
            </w:r>
          </w:p>
          <w:p w14:paraId="6BC4A2E8">
            <w:pPr>
              <w:pStyle w:val="512"/>
              <w:bidi w:val="0"/>
              <w:rPr>
                <w:rFonts w:hint="eastAsia"/>
              </w:rPr>
            </w:pPr>
            <w:r>
              <w:rPr>
                <w:rFonts w:hint="eastAsia"/>
              </w:rPr>
              <w:t>根据土壤导则，本项目不设土壤评价等级，土壤监测项目参照《土壤环境质量标准 建设用</w:t>
            </w:r>
            <w:r>
              <w:rPr>
                <w:rFonts w:hint="eastAsia" w:ascii="Times New Roman" w:eastAsia="宋体"/>
                <w:spacing w:val="0"/>
                <w:kern w:val="2"/>
                <w:szCs w:val="24"/>
              </w:rPr>
              <w:t>地土壤污染风险管控标准（试行）》（GB36600-2018）的相关要求，必要时可</w:t>
            </w:r>
            <w:r>
              <w:rPr>
                <w:rFonts w:hint="eastAsia"/>
              </w:rPr>
              <w:t>开展跟踪监测，由专人负责监测或委托专业的机构监测分析。</w:t>
            </w:r>
            <w:r>
              <w:rPr>
                <w:rFonts w:hint="eastAsia"/>
                <w:lang w:eastAsia="zh-CN"/>
              </w:rPr>
              <w:t>企业</w:t>
            </w:r>
            <w:r>
              <w:rPr>
                <w:rFonts w:hint="eastAsia"/>
              </w:rPr>
              <w:t>监测计划应向社会公开。</w:t>
            </w:r>
          </w:p>
          <w:p w14:paraId="6AA6A765">
            <w:pPr>
              <w:pStyle w:val="512"/>
              <w:bidi w:val="0"/>
              <w:rPr>
                <w:rFonts w:hint="eastAsia"/>
                <w:lang w:eastAsia="zh-CN"/>
              </w:rPr>
            </w:pPr>
            <w:r>
              <w:rPr>
                <w:rFonts w:hint="eastAsia"/>
                <w:lang w:val="en-US" w:eastAsia="zh-CN"/>
              </w:rPr>
              <w:t>6、</w:t>
            </w:r>
            <w:r>
              <w:rPr>
                <w:rFonts w:hint="eastAsia"/>
                <w:lang w:eastAsia="zh-CN"/>
              </w:rPr>
              <w:t>环境管理与自行监测计划</w:t>
            </w:r>
          </w:p>
          <w:p w14:paraId="1AFDE339">
            <w:pPr>
              <w:pStyle w:val="512"/>
              <w:numPr>
                <w:ilvl w:val="0"/>
                <w:numId w:val="14"/>
              </w:numPr>
              <w:bidi w:val="0"/>
              <w:rPr>
                <w:rFonts w:hint="eastAsia"/>
                <w:lang w:eastAsia="zh-CN"/>
              </w:rPr>
            </w:pPr>
            <w:r>
              <w:rPr>
                <w:rFonts w:hint="eastAsia"/>
                <w:lang w:eastAsia="zh-CN"/>
              </w:rPr>
              <w:t>环境管理</w:t>
            </w:r>
          </w:p>
          <w:p w14:paraId="20599EC8">
            <w:pPr>
              <w:pStyle w:val="512"/>
              <w:bidi w:val="0"/>
              <w:rPr>
                <w:rFonts w:hint="eastAsia"/>
                <w:lang w:eastAsia="zh-CN"/>
              </w:rPr>
            </w:pPr>
            <w:r>
              <w:rPr>
                <w:rFonts w:hint="eastAsia"/>
                <w:lang w:eastAsia="zh-CN"/>
              </w:rPr>
              <w:t>项目实施后，建设单位应配置专门的环保管理人员，监督、检查环保设施的运行和维护及保养情况。制定相关的环保管理制度，规范工作程序，实施环保设施运行台账记录制，使管理工作落实到实处，同时按照环保部门要求，按时上报环保设施的运行情况，以接受环保部门的监督。</w:t>
            </w:r>
          </w:p>
          <w:p w14:paraId="1A764797">
            <w:pPr>
              <w:pStyle w:val="512"/>
              <w:numPr>
                <w:ilvl w:val="0"/>
                <w:numId w:val="14"/>
              </w:numPr>
              <w:bidi w:val="0"/>
              <w:ind w:left="0" w:leftChars="0" w:firstLine="480" w:firstLineChars="200"/>
              <w:rPr>
                <w:rFonts w:hint="eastAsia"/>
                <w:lang w:eastAsia="zh-CN"/>
              </w:rPr>
            </w:pPr>
            <w:r>
              <w:rPr>
                <w:rFonts w:hint="eastAsia"/>
                <w:lang w:eastAsia="zh-CN"/>
              </w:rPr>
              <w:t>环境监测计划</w:t>
            </w:r>
          </w:p>
          <w:p w14:paraId="6A4D8CE8">
            <w:pPr>
              <w:pStyle w:val="512"/>
              <w:bidi w:val="0"/>
              <w:rPr>
                <w:rFonts w:hint="eastAsia"/>
                <w:lang w:val="en-US" w:eastAsia="zh-CN"/>
              </w:rPr>
            </w:pPr>
            <w:r>
              <w:rPr>
                <w:rFonts w:hint="eastAsia"/>
                <w:lang w:val="en-US" w:eastAsia="zh-CN"/>
              </w:rPr>
              <w:t>①验收监测</w:t>
            </w:r>
          </w:p>
          <w:p w14:paraId="60DFC1E8">
            <w:pPr>
              <w:pStyle w:val="512"/>
              <w:bidi w:val="0"/>
              <w:rPr>
                <w:rFonts w:hint="eastAsia"/>
                <w:lang w:val="en-US" w:eastAsia="zh-CN"/>
              </w:rPr>
            </w:pPr>
            <w:r>
              <w:rPr>
                <w:rFonts w:hint="eastAsia"/>
                <w:lang w:val="en-US" w:eastAsia="zh-CN"/>
              </w:rPr>
              <w:t>项目投入运营后，应及时与有资质的环境监测机构联系，由监测机构对项目环保“三同时”设施实施竣工验收监测和编制验收方案，报相关主管部门同意后实施。</w:t>
            </w:r>
          </w:p>
          <w:p w14:paraId="2416F3E1">
            <w:pPr>
              <w:pStyle w:val="512"/>
              <w:bidi w:val="0"/>
              <w:rPr>
                <w:rFonts w:hint="eastAsia"/>
                <w:lang w:val="en-US" w:eastAsia="zh-CN"/>
              </w:rPr>
            </w:pPr>
            <w:r>
              <w:rPr>
                <w:rFonts w:hint="eastAsia"/>
                <w:lang w:val="en-US" w:eastAsia="zh-CN"/>
              </w:rPr>
              <w:t>②营运期自行监测</w:t>
            </w:r>
          </w:p>
          <w:p w14:paraId="46220EBC">
            <w:pPr>
              <w:pStyle w:val="512"/>
              <w:bidi w:val="0"/>
            </w:pPr>
            <w:r>
              <w:t>根据《排污许可证申请与核发技术规范 总则》（HJ942-2018）、《排污单位自行监测技术指南 总则》（HJ 819-2017）和</w:t>
            </w:r>
            <w:r>
              <w:rPr>
                <w:rFonts w:hint="eastAsia"/>
                <w:lang w:eastAsia="zh-CN"/>
              </w:rPr>
              <w:t>《</w:t>
            </w:r>
            <w:r>
              <w:rPr>
                <w:rFonts w:hint="eastAsia"/>
              </w:rPr>
              <w:t>排污许可证申请与核发技术规范 工业固体废物和危险废物治理</w:t>
            </w:r>
            <w:r>
              <w:rPr>
                <w:rFonts w:hint="eastAsia"/>
                <w:lang w:eastAsia="zh-CN"/>
              </w:rPr>
              <w:t>》（</w:t>
            </w:r>
            <w:r>
              <w:rPr>
                <w:rFonts w:hint="eastAsia"/>
                <w:lang w:val="en-US" w:eastAsia="zh-CN"/>
              </w:rPr>
              <w:t>HJ1033-2019</w:t>
            </w:r>
            <w:r>
              <w:rPr>
                <w:rFonts w:hint="eastAsia"/>
                <w:lang w:eastAsia="zh-CN"/>
              </w:rPr>
              <w:t>）</w:t>
            </w:r>
            <w:r>
              <w:t>，本项目运营期环境监测计划见表4</w:t>
            </w:r>
            <w:r>
              <w:rPr>
                <w:rFonts w:hint="eastAsia"/>
                <w:lang w:val="en-US" w:eastAsia="zh-CN"/>
              </w:rPr>
              <w:t>-22</w:t>
            </w:r>
            <w:r>
              <w:t>。</w:t>
            </w:r>
          </w:p>
          <w:p w14:paraId="2816C7B1">
            <w:pPr>
              <w:pStyle w:val="1111"/>
              <w:bidi w:val="0"/>
              <w:rPr>
                <w:rFonts w:hint="eastAsia"/>
                <w:lang w:val="en-US" w:eastAsia="zh-CN"/>
              </w:rPr>
            </w:pPr>
            <w:r>
              <w:rPr>
                <w:rFonts w:hint="eastAsia"/>
                <w:lang w:val="en-US" w:eastAsia="zh-CN"/>
              </w:rPr>
              <w:t>表4-22 环境监测计划表</w:t>
            </w:r>
          </w:p>
          <w:tbl>
            <w:tblPr>
              <w:tblStyle w:val="77"/>
              <w:tblW w:w="5000"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951"/>
              <w:gridCol w:w="2266"/>
              <w:gridCol w:w="1928"/>
              <w:gridCol w:w="1269"/>
              <w:gridCol w:w="1225"/>
            </w:tblGrid>
            <w:tr w14:paraId="1DB3DEE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952" w:type="dxa"/>
                  <w:tcBorders>
                    <w:top w:val="single" w:color="auto" w:sz="4" w:space="0"/>
                    <w:left w:val="single" w:color="auto" w:sz="4" w:space="0"/>
                    <w:bottom w:val="single" w:color="auto" w:sz="6" w:space="0"/>
                    <w:right w:val="single" w:color="auto" w:sz="6" w:space="0"/>
                  </w:tcBorders>
                  <w:vAlign w:val="center"/>
                </w:tcPr>
                <w:p w14:paraId="39CA5B8A">
                  <w:pPr>
                    <w:pStyle w:val="1111"/>
                    <w:bidi w:val="0"/>
                  </w:pPr>
                  <w:r>
                    <w:t>序号</w:t>
                  </w:r>
                </w:p>
              </w:tc>
              <w:tc>
                <w:tcPr>
                  <w:tcW w:w="2269" w:type="dxa"/>
                  <w:tcBorders>
                    <w:top w:val="single" w:color="auto" w:sz="4" w:space="0"/>
                    <w:left w:val="single" w:color="auto" w:sz="6" w:space="0"/>
                    <w:bottom w:val="single" w:color="auto" w:sz="6" w:space="0"/>
                    <w:right w:val="single" w:color="auto" w:sz="6" w:space="0"/>
                  </w:tcBorders>
                  <w:vAlign w:val="center"/>
                </w:tcPr>
                <w:p w14:paraId="23268B96">
                  <w:pPr>
                    <w:pStyle w:val="1111"/>
                    <w:bidi w:val="0"/>
                  </w:pPr>
                  <w:r>
                    <w:t>监测位置</w:t>
                  </w:r>
                </w:p>
              </w:tc>
              <w:tc>
                <w:tcPr>
                  <w:tcW w:w="1931" w:type="dxa"/>
                  <w:tcBorders>
                    <w:top w:val="single" w:color="auto" w:sz="4" w:space="0"/>
                    <w:left w:val="single" w:color="auto" w:sz="6" w:space="0"/>
                    <w:bottom w:val="single" w:color="auto" w:sz="6" w:space="0"/>
                    <w:right w:val="single" w:color="auto" w:sz="6" w:space="0"/>
                  </w:tcBorders>
                  <w:vAlign w:val="center"/>
                </w:tcPr>
                <w:p w14:paraId="18C5B3CA">
                  <w:pPr>
                    <w:pStyle w:val="1111"/>
                    <w:bidi w:val="0"/>
                  </w:pPr>
                  <w:r>
                    <w:t>监测项目</w:t>
                  </w:r>
                </w:p>
              </w:tc>
              <w:tc>
                <w:tcPr>
                  <w:tcW w:w="1271" w:type="dxa"/>
                  <w:tcBorders>
                    <w:top w:val="single" w:color="auto" w:sz="4" w:space="0"/>
                    <w:left w:val="single" w:color="auto" w:sz="6" w:space="0"/>
                    <w:bottom w:val="single" w:color="auto" w:sz="6" w:space="0"/>
                    <w:right w:val="single" w:color="auto" w:sz="6" w:space="0"/>
                  </w:tcBorders>
                  <w:vAlign w:val="center"/>
                </w:tcPr>
                <w:p w14:paraId="738F0BFE">
                  <w:pPr>
                    <w:pStyle w:val="1111"/>
                    <w:bidi w:val="0"/>
                  </w:pPr>
                  <w:r>
                    <w:t>执行标准</w:t>
                  </w:r>
                </w:p>
              </w:tc>
              <w:tc>
                <w:tcPr>
                  <w:tcW w:w="1226" w:type="dxa"/>
                  <w:tcBorders>
                    <w:top w:val="single" w:color="auto" w:sz="4" w:space="0"/>
                    <w:left w:val="single" w:color="auto" w:sz="6" w:space="0"/>
                    <w:bottom w:val="single" w:color="auto" w:sz="6" w:space="0"/>
                    <w:right w:val="single" w:color="auto" w:sz="4" w:space="0"/>
                  </w:tcBorders>
                  <w:vAlign w:val="center"/>
                </w:tcPr>
                <w:p w14:paraId="51CC17A4">
                  <w:pPr>
                    <w:pStyle w:val="1111"/>
                    <w:bidi w:val="0"/>
                  </w:pPr>
                  <w:r>
                    <w:t>监测频次</w:t>
                  </w:r>
                </w:p>
              </w:tc>
            </w:tr>
            <w:tr w14:paraId="452398E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93" w:hRule="atLeast"/>
                <w:jc w:val="center"/>
              </w:trPr>
              <w:tc>
                <w:tcPr>
                  <w:tcW w:w="952" w:type="dxa"/>
                  <w:vMerge w:val="restart"/>
                  <w:tcBorders>
                    <w:top w:val="single" w:color="auto" w:sz="4" w:space="0"/>
                    <w:left w:val="single" w:color="auto" w:sz="4" w:space="0"/>
                    <w:right w:val="single" w:color="auto" w:sz="6" w:space="0"/>
                  </w:tcBorders>
                  <w:vAlign w:val="center"/>
                </w:tcPr>
                <w:p w14:paraId="187ADBBF">
                  <w:pPr>
                    <w:pStyle w:val="1111"/>
                    <w:bidi w:val="0"/>
                  </w:pPr>
                  <w:r>
                    <w:t>大气</w:t>
                  </w:r>
                </w:p>
              </w:tc>
              <w:tc>
                <w:tcPr>
                  <w:tcW w:w="2269" w:type="dxa"/>
                  <w:tcBorders>
                    <w:top w:val="single" w:color="auto" w:sz="4" w:space="0"/>
                    <w:left w:val="single" w:color="auto" w:sz="6" w:space="0"/>
                    <w:right w:val="single" w:color="auto" w:sz="6" w:space="0"/>
                  </w:tcBorders>
                  <w:vAlign w:val="center"/>
                </w:tcPr>
                <w:p w14:paraId="5DF8790C">
                  <w:pPr>
                    <w:pStyle w:val="1111"/>
                    <w:bidi w:val="0"/>
                    <w:rPr>
                      <w:rFonts w:hint="default" w:eastAsia="宋体"/>
                      <w:lang w:val="en-US" w:eastAsia="zh-CN"/>
                    </w:rPr>
                  </w:pPr>
                  <w:r>
                    <w:t>排气筒</w:t>
                  </w:r>
                  <w:r>
                    <w:rPr>
                      <w:rFonts w:hint="eastAsia"/>
                      <w:lang w:val="en-US" w:eastAsia="zh-CN"/>
                    </w:rPr>
                    <w:t>DA001、DA002、DA003</w:t>
                  </w:r>
                </w:p>
              </w:tc>
              <w:tc>
                <w:tcPr>
                  <w:tcW w:w="1931" w:type="dxa"/>
                  <w:tcBorders>
                    <w:top w:val="single" w:color="auto" w:sz="4" w:space="0"/>
                    <w:left w:val="single" w:color="auto" w:sz="6" w:space="0"/>
                    <w:right w:val="single" w:color="auto" w:sz="6" w:space="0"/>
                  </w:tcBorders>
                  <w:vAlign w:val="center"/>
                </w:tcPr>
                <w:p w14:paraId="14EC3170">
                  <w:pPr>
                    <w:pStyle w:val="1111"/>
                    <w:bidi w:val="0"/>
                    <w:rPr>
                      <w:rFonts w:hint="eastAsia" w:eastAsia="宋体"/>
                      <w:lang w:eastAsia="zh-CN"/>
                    </w:rPr>
                  </w:pPr>
                  <w:r>
                    <w:rPr>
                      <w:rFonts w:hint="eastAsia"/>
                      <w:lang w:eastAsia="zh-CN"/>
                    </w:rPr>
                    <w:t>非甲烷总烃</w:t>
                  </w:r>
                </w:p>
              </w:tc>
              <w:tc>
                <w:tcPr>
                  <w:tcW w:w="1271" w:type="dxa"/>
                  <w:tcBorders>
                    <w:top w:val="single" w:color="auto" w:sz="4" w:space="0"/>
                    <w:left w:val="single" w:color="auto" w:sz="6" w:space="0"/>
                    <w:right w:val="single" w:color="auto" w:sz="6" w:space="0"/>
                  </w:tcBorders>
                  <w:vAlign w:val="center"/>
                </w:tcPr>
                <w:p w14:paraId="451A5DC1">
                  <w:pPr>
                    <w:pStyle w:val="1111"/>
                    <w:bidi w:val="0"/>
                  </w:pPr>
                  <w:r>
                    <w:rPr>
                      <w:rFonts w:hint="eastAsia"/>
                    </w:rPr>
                    <w:t>G</w:t>
                  </w:r>
                  <w:r>
                    <w:t>B31571</w:t>
                  </w:r>
                  <w:r>
                    <w:rPr>
                      <w:rFonts w:hint="eastAsia"/>
                    </w:rPr>
                    <w:t>、</w:t>
                  </w:r>
                  <w:r>
                    <w:t>DB32/4041</w:t>
                  </w:r>
                </w:p>
              </w:tc>
              <w:tc>
                <w:tcPr>
                  <w:tcW w:w="1226" w:type="dxa"/>
                  <w:tcBorders>
                    <w:top w:val="single" w:color="auto" w:sz="4" w:space="0"/>
                    <w:left w:val="single" w:color="auto" w:sz="6" w:space="0"/>
                    <w:right w:val="single" w:color="auto" w:sz="4" w:space="0"/>
                  </w:tcBorders>
                  <w:vAlign w:val="center"/>
                </w:tcPr>
                <w:p w14:paraId="5FAF9933">
                  <w:pPr>
                    <w:pStyle w:val="1111"/>
                    <w:bidi w:val="0"/>
                    <w:rPr>
                      <w:rFonts w:hint="eastAsia" w:eastAsia="宋体"/>
                      <w:lang w:val="en-US" w:eastAsia="zh-CN"/>
                    </w:rPr>
                  </w:pPr>
                  <w:r>
                    <w:rPr>
                      <w:rFonts w:hint="eastAsia"/>
                      <w:lang w:val="en-US" w:eastAsia="zh-CN"/>
                    </w:rPr>
                    <w:t>半年</w:t>
                  </w:r>
                </w:p>
              </w:tc>
            </w:tr>
            <w:tr w14:paraId="25C1AE4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952" w:type="dxa"/>
                  <w:vMerge w:val="continue"/>
                  <w:tcBorders>
                    <w:left w:val="single" w:color="auto" w:sz="4" w:space="0"/>
                    <w:right w:val="single" w:color="auto" w:sz="6" w:space="0"/>
                  </w:tcBorders>
                  <w:vAlign w:val="center"/>
                </w:tcPr>
                <w:p w14:paraId="26E3373E">
                  <w:pPr>
                    <w:pStyle w:val="1111"/>
                    <w:bidi w:val="0"/>
                  </w:pPr>
                </w:p>
              </w:tc>
              <w:tc>
                <w:tcPr>
                  <w:tcW w:w="2269" w:type="dxa"/>
                  <w:tcBorders>
                    <w:top w:val="single" w:color="auto" w:sz="6" w:space="0"/>
                    <w:left w:val="single" w:color="auto" w:sz="6" w:space="0"/>
                    <w:right w:val="single" w:color="auto" w:sz="6" w:space="0"/>
                  </w:tcBorders>
                  <w:vAlign w:val="center"/>
                </w:tcPr>
                <w:p w14:paraId="75CB1ADD">
                  <w:pPr>
                    <w:pStyle w:val="1111"/>
                    <w:bidi w:val="0"/>
                  </w:pPr>
                  <w:r>
                    <w:t>无组织排放（厂界下风向）</w:t>
                  </w:r>
                </w:p>
              </w:tc>
              <w:tc>
                <w:tcPr>
                  <w:tcW w:w="1931" w:type="dxa"/>
                  <w:tcBorders>
                    <w:top w:val="single" w:color="auto" w:sz="6" w:space="0"/>
                    <w:left w:val="single" w:color="auto" w:sz="6" w:space="0"/>
                    <w:right w:val="single" w:color="auto" w:sz="6" w:space="0"/>
                  </w:tcBorders>
                  <w:vAlign w:val="center"/>
                </w:tcPr>
                <w:p w14:paraId="0BD28C38">
                  <w:pPr>
                    <w:pStyle w:val="1111"/>
                    <w:bidi w:val="0"/>
                  </w:pPr>
                  <w:r>
                    <w:t>非甲烷总烃</w:t>
                  </w:r>
                </w:p>
              </w:tc>
              <w:tc>
                <w:tcPr>
                  <w:tcW w:w="1271" w:type="dxa"/>
                  <w:tcBorders>
                    <w:top w:val="single" w:color="auto" w:sz="6" w:space="0"/>
                    <w:left w:val="single" w:color="auto" w:sz="6" w:space="0"/>
                    <w:right w:val="single" w:color="auto" w:sz="6" w:space="0"/>
                  </w:tcBorders>
                  <w:vAlign w:val="center"/>
                </w:tcPr>
                <w:p w14:paraId="275A049B">
                  <w:pPr>
                    <w:pStyle w:val="1111"/>
                    <w:bidi w:val="0"/>
                  </w:pPr>
                  <w:r>
                    <w:rPr>
                      <w:rFonts w:hint="eastAsia"/>
                    </w:rPr>
                    <w:t>G</w:t>
                  </w:r>
                  <w:r>
                    <w:t>B31571</w:t>
                  </w:r>
                  <w:r>
                    <w:rPr>
                      <w:rFonts w:hint="eastAsia"/>
                    </w:rPr>
                    <w:t>、</w:t>
                  </w:r>
                  <w:r>
                    <w:t>DB32/4041</w:t>
                  </w:r>
                </w:p>
              </w:tc>
              <w:tc>
                <w:tcPr>
                  <w:tcW w:w="1226" w:type="dxa"/>
                  <w:tcBorders>
                    <w:top w:val="single" w:color="auto" w:sz="6" w:space="0"/>
                    <w:left w:val="single" w:color="auto" w:sz="6" w:space="0"/>
                    <w:bottom w:val="single" w:color="auto" w:sz="6" w:space="0"/>
                    <w:right w:val="single" w:color="auto" w:sz="4" w:space="0"/>
                  </w:tcBorders>
                  <w:vAlign w:val="center"/>
                </w:tcPr>
                <w:p w14:paraId="436F73FE">
                  <w:pPr>
                    <w:pStyle w:val="1111"/>
                    <w:bidi w:val="0"/>
                  </w:pPr>
                  <w:r>
                    <w:t>半年</w:t>
                  </w:r>
                </w:p>
              </w:tc>
            </w:tr>
            <w:tr w14:paraId="16A15E3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952" w:type="dxa"/>
                  <w:tcBorders>
                    <w:top w:val="single" w:color="auto" w:sz="6" w:space="0"/>
                    <w:left w:val="single" w:color="auto" w:sz="4" w:space="0"/>
                    <w:bottom w:val="single" w:color="auto" w:sz="6" w:space="0"/>
                    <w:right w:val="single" w:color="auto" w:sz="6" w:space="0"/>
                  </w:tcBorders>
                  <w:vAlign w:val="center"/>
                </w:tcPr>
                <w:p w14:paraId="12473C20">
                  <w:pPr>
                    <w:pStyle w:val="1111"/>
                    <w:bidi w:val="0"/>
                  </w:pPr>
                  <w:r>
                    <w:t>声环境</w:t>
                  </w:r>
                </w:p>
              </w:tc>
              <w:tc>
                <w:tcPr>
                  <w:tcW w:w="2269" w:type="dxa"/>
                  <w:tcBorders>
                    <w:top w:val="single" w:color="auto" w:sz="6" w:space="0"/>
                    <w:left w:val="single" w:color="auto" w:sz="6" w:space="0"/>
                    <w:right w:val="single" w:color="auto" w:sz="6" w:space="0"/>
                  </w:tcBorders>
                  <w:vAlign w:val="center"/>
                </w:tcPr>
                <w:p w14:paraId="51DA4DCC">
                  <w:pPr>
                    <w:pStyle w:val="1111"/>
                    <w:bidi w:val="0"/>
                  </w:pPr>
                  <w:r>
                    <w:t>厂界外1米</w:t>
                  </w:r>
                </w:p>
              </w:tc>
              <w:tc>
                <w:tcPr>
                  <w:tcW w:w="1931" w:type="dxa"/>
                  <w:tcBorders>
                    <w:top w:val="single" w:color="auto" w:sz="6" w:space="0"/>
                    <w:left w:val="single" w:color="auto" w:sz="6" w:space="0"/>
                    <w:bottom w:val="single" w:color="auto" w:sz="6" w:space="0"/>
                    <w:right w:val="single" w:color="auto" w:sz="6" w:space="0"/>
                  </w:tcBorders>
                  <w:vAlign w:val="center"/>
                </w:tcPr>
                <w:p w14:paraId="3EE77176">
                  <w:pPr>
                    <w:pStyle w:val="1111"/>
                    <w:bidi w:val="0"/>
                  </w:pPr>
                  <w:r>
                    <w:t>等效连续A声级</w:t>
                  </w:r>
                </w:p>
              </w:tc>
              <w:tc>
                <w:tcPr>
                  <w:tcW w:w="1271" w:type="dxa"/>
                  <w:tcBorders>
                    <w:top w:val="single" w:color="auto" w:sz="6" w:space="0"/>
                    <w:left w:val="single" w:color="auto" w:sz="6" w:space="0"/>
                    <w:bottom w:val="single" w:color="auto" w:sz="6" w:space="0"/>
                    <w:right w:val="single" w:color="auto" w:sz="6" w:space="0"/>
                  </w:tcBorders>
                  <w:vAlign w:val="center"/>
                </w:tcPr>
                <w:p w14:paraId="4FF89A5A">
                  <w:pPr>
                    <w:pStyle w:val="1111"/>
                    <w:bidi w:val="0"/>
                  </w:pPr>
                  <w:r>
                    <w:rPr>
                      <w:rFonts w:hint="eastAsia"/>
                    </w:rPr>
                    <w:t>/</w:t>
                  </w:r>
                </w:p>
              </w:tc>
              <w:tc>
                <w:tcPr>
                  <w:tcW w:w="1226" w:type="dxa"/>
                  <w:tcBorders>
                    <w:top w:val="single" w:color="auto" w:sz="6" w:space="0"/>
                    <w:left w:val="single" w:color="auto" w:sz="6" w:space="0"/>
                    <w:bottom w:val="single" w:color="auto" w:sz="6" w:space="0"/>
                    <w:right w:val="single" w:color="auto" w:sz="4" w:space="0"/>
                  </w:tcBorders>
                  <w:vAlign w:val="center"/>
                </w:tcPr>
                <w:p w14:paraId="0F464A69">
                  <w:pPr>
                    <w:pStyle w:val="1111"/>
                    <w:bidi w:val="0"/>
                  </w:pPr>
                  <w:r>
                    <w:t>每季度一次</w:t>
                  </w:r>
                </w:p>
              </w:tc>
            </w:tr>
            <w:tr w14:paraId="3339ADC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952" w:type="dxa"/>
                  <w:tcBorders>
                    <w:top w:val="single" w:color="auto" w:sz="6" w:space="0"/>
                    <w:left w:val="single" w:color="auto" w:sz="4" w:space="0"/>
                    <w:bottom w:val="single" w:color="auto" w:sz="6" w:space="0"/>
                    <w:right w:val="single" w:color="auto" w:sz="6" w:space="0"/>
                  </w:tcBorders>
                  <w:vAlign w:val="center"/>
                </w:tcPr>
                <w:p w14:paraId="47A7FCB5">
                  <w:pPr>
                    <w:pStyle w:val="1111"/>
                    <w:bidi w:val="0"/>
                  </w:pPr>
                  <w:r>
                    <w:t>信息公开</w:t>
                  </w:r>
                </w:p>
              </w:tc>
              <w:tc>
                <w:tcPr>
                  <w:tcW w:w="6697" w:type="dxa"/>
                  <w:gridSpan w:val="4"/>
                  <w:tcBorders>
                    <w:top w:val="single" w:color="auto" w:sz="6" w:space="0"/>
                    <w:left w:val="single" w:color="auto" w:sz="6" w:space="0"/>
                    <w:bottom w:val="single" w:color="auto" w:sz="6" w:space="0"/>
                    <w:right w:val="single" w:color="auto" w:sz="4" w:space="0"/>
                  </w:tcBorders>
                  <w:vAlign w:val="center"/>
                </w:tcPr>
                <w:p w14:paraId="12968359">
                  <w:pPr>
                    <w:pStyle w:val="1111"/>
                    <w:bidi w:val="0"/>
                  </w:pPr>
                  <w:r>
                    <w:t>依据相关文件确定</w:t>
                  </w:r>
                </w:p>
              </w:tc>
            </w:tr>
            <w:tr w14:paraId="551E4AB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952" w:type="dxa"/>
                  <w:tcBorders>
                    <w:top w:val="single" w:color="auto" w:sz="6" w:space="0"/>
                    <w:left w:val="single" w:color="auto" w:sz="4" w:space="0"/>
                    <w:bottom w:val="single" w:color="auto" w:sz="4" w:space="0"/>
                    <w:right w:val="single" w:color="auto" w:sz="6" w:space="0"/>
                  </w:tcBorders>
                  <w:vAlign w:val="center"/>
                </w:tcPr>
                <w:p w14:paraId="46CC407F">
                  <w:pPr>
                    <w:pStyle w:val="1111"/>
                    <w:bidi w:val="0"/>
                  </w:pPr>
                  <w:r>
                    <w:t>监测管理</w:t>
                  </w:r>
                </w:p>
              </w:tc>
              <w:tc>
                <w:tcPr>
                  <w:tcW w:w="6697" w:type="dxa"/>
                  <w:gridSpan w:val="4"/>
                  <w:tcBorders>
                    <w:top w:val="single" w:color="auto" w:sz="6" w:space="0"/>
                    <w:left w:val="single" w:color="auto" w:sz="6" w:space="0"/>
                    <w:bottom w:val="single" w:color="auto" w:sz="4" w:space="0"/>
                    <w:right w:val="single" w:color="auto" w:sz="4" w:space="0"/>
                  </w:tcBorders>
                  <w:vAlign w:val="center"/>
                </w:tcPr>
                <w:p w14:paraId="24D3317D">
                  <w:pPr>
                    <w:pStyle w:val="1111"/>
                    <w:bidi w:val="0"/>
                  </w:pPr>
                  <w:r>
                    <w:t>排污单位对其自行监测结果及信息公开内容的真实性、准确性、完整性负责，排污单位应积极配合并接受环境保护行政主管部门的日常监督管理。</w:t>
                  </w:r>
                </w:p>
              </w:tc>
            </w:tr>
          </w:tbl>
          <w:p w14:paraId="50301D74">
            <w:pPr>
              <w:pStyle w:val="512"/>
              <w:bidi w:val="0"/>
            </w:pPr>
            <w:r>
              <w:rPr>
                <w:rFonts w:hint="eastAsia"/>
                <w:lang w:val="en-US" w:eastAsia="zh-CN"/>
              </w:rPr>
              <w:t>7、</w:t>
            </w:r>
            <w:r>
              <w:rPr>
                <w:rFonts w:hint="eastAsia"/>
              </w:rPr>
              <w:t>环保投资及三同时验收一览表</w:t>
            </w:r>
          </w:p>
          <w:p w14:paraId="025D7321">
            <w:pPr>
              <w:pStyle w:val="512"/>
              <w:ind w:firstLine="480"/>
              <w:jc w:val="left"/>
            </w:pPr>
            <w:r>
              <w:rPr>
                <w:rFonts w:hint="eastAsia"/>
              </w:rPr>
              <w:t>本项目总投资</w:t>
            </w:r>
            <w:r>
              <w:rPr>
                <w:rFonts w:hint="eastAsia"/>
                <w:lang w:val="en-US" w:eastAsia="zh-CN"/>
              </w:rPr>
              <w:t>1</w:t>
            </w:r>
            <w:r>
              <w:rPr>
                <w:rFonts w:hint="eastAsia"/>
              </w:rPr>
              <w:t>00万元，其中环保投资</w:t>
            </w:r>
            <w:r>
              <w:rPr>
                <w:rFonts w:hint="eastAsia"/>
                <w:lang w:val="en-US" w:eastAsia="zh-CN"/>
              </w:rPr>
              <w:t>5</w:t>
            </w:r>
            <w:r>
              <w:rPr>
                <w:rFonts w:hint="eastAsia"/>
              </w:rPr>
              <w:t>0万元，占工程投资的</w:t>
            </w:r>
            <w:r>
              <w:rPr>
                <w:rFonts w:hint="eastAsia"/>
                <w:lang w:val="en-US" w:eastAsia="zh-CN"/>
              </w:rPr>
              <w:t>50</w:t>
            </w:r>
            <w:r>
              <w:rPr>
                <w:rFonts w:hint="eastAsia"/>
              </w:rPr>
              <w:t>%，环保投资估算详见表4-</w:t>
            </w:r>
            <w:r>
              <w:rPr>
                <w:rFonts w:hint="eastAsia"/>
                <w:lang w:val="en-US" w:eastAsia="zh-CN"/>
              </w:rPr>
              <w:t>23</w:t>
            </w:r>
            <w:r>
              <w:rPr>
                <w:rFonts w:hint="eastAsia"/>
              </w:rPr>
              <w:t>。</w:t>
            </w:r>
          </w:p>
          <w:p w14:paraId="01AE77DE">
            <w:pPr>
              <w:pStyle w:val="1111"/>
            </w:pPr>
            <w:r>
              <w:rPr>
                <w:rFonts w:hint="eastAsia"/>
              </w:rPr>
              <w:t>表4-</w:t>
            </w:r>
            <w:r>
              <w:rPr>
                <w:rFonts w:hint="eastAsia"/>
                <w:lang w:val="en-US" w:eastAsia="zh-CN"/>
              </w:rPr>
              <w:t>23</w:t>
            </w:r>
            <w:r>
              <w:rPr>
                <w:rFonts w:hint="eastAsia"/>
              </w:rPr>
              <w:t xml:space="preserve"> “三同时”验收一览表</w:t>
            </w:r>
          </w:p>
          <w:tbl>
            <w:tblPr>
              <w:tblStyle w:val="78"/>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4"/>
              <w:gridCol w:w="834"/>
              <w:gridCol w:w="869"/>
              <w:gridCol w:w="1539"/>
              <w:gridCol w:w="1890"/>
              <w:gridCol w:w="690"/>
              <w:gridCol w:w="752"/>
              <w:gridCol w:w="635"/>
            </w:tblGrid>
            <w:tr w14:paraId="2A4CCA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77" w:type="pct"/>
                  <w:vAlign w:val="center"/>
                </w:tcPr>
                <w:p w14:paraId="7CEBAA53">
                  <w:pPr>
                    <w:pStyle w:val="1111"/>
                  </w:pPr>
                  <w:r>
                    <w:t>类别</w:t>
                  </w:r>
                </w:p>
              </w:tc>
              <w:tc>
                <w:tcPr>
                  <w:tcW w:w="546" w:type="pct"/>
                  <w:vAlign w:val="center"/>
                </w:tcPr>
                <w:p w14:paraId="103432ED">
                  <w:pPr>
                    <w:pStyle w:val="1111"/>
                  </w:pPr>
                  <w:r>
                    <w:t>污染源</w:t>
                  </w:r>
                </w:p>
              </w:tc>
              <w:tc>
                <w:tcPr>
                  <w:tcW w:w="569" w:type="pct"/>
                  <w:vAlign w:val="center"/>
                </w:tcPr>
                <w:p w14:paraId="1425B5AB">
                  <w:pPr>
                    <w:pStyle w:val="1111"/>
                  </w:pPr>
                  <w:r>
                    <w:t>污染物</w:t>
                  </w:r>
                </w:p>
              </w:tc>
              <w:tc>
                <w:tcPr>
                  <w:tcW w:w="1008" w:type="pct"/>
                  <w:vAlign w:val="center"/>
                </w:tcPr>
                <w:p w14:paraId="5C7A57E5">
                  <w:pPr>
                    <w:pStyle w:val="1111"/>
                  </w:pPr>
                  <w:r>
                    <w:t>治理措施（建设数量、规模、处理能力等）</w:t>
                  </w:r>
                </w:p>
              </w:tc>
              <w:tc>
                <w:tcPr>
                  <w:tcW w:w="1238" w:type="pct"/>
                  <w:vAlign w:val="center"/>
                </w:tcPr>
                <w:p w14:paraId="1CD9DCC6">
                  <w:pPr>
                    <w:pStyle w:val="1111"/>
                  </w:pPr>
                  <w:r>
                    <w:t>处理效果、执行标准或拟达要求</w:t>
                  </w:r>
                </w:p>
              </w:tc>
              <w:tc>
                <w:tcPr>
                  <w:tcW w:w="451" w:type="pct"/>
                  <w:vAlign w:val="center"/>
                </w:tcPr>
                <w:p w14:paraId="21A71319">
                  <w:pPr>
                    <w:pStyle w:val="1111"/>
                  </w:pPr>
                  <w:r>
                    <w:t>环保投资（万元）</w:t>
                  </w:r>
                </w:p>
              </w:tc>
              <w:tc>
                <w:tcPr>
                  <w:tcW w:w="492" w:type="pct"/>
                  <w:vAlign w:val="center"/>
                </w:tcPr>
                <w:p w14:paraId="45085DBA">
                  <w:pPr>
                    <w:pStyle w:val="1111"/>
                    <w:rPr>
                      <w:rFonts w:hint="eastAsia" w:eastAsia="宋体"/>
                      <w:lang w:eastAsia="zh-CN"/>
                    </w:rPr>
                  </w:pPr>
                  <w:r>
                    <w:rPr>
                      <w:rFonts w:hint="eastAsia"/>
                      <w:lang w:eastAsia="zh-CN"/>
                    </w:rPr>
                    <w:t>运行费用（万元）</w:t>
                  </w:r>
                </w:p>
              </w:tc>
              <w:tc>
                <w:tcPr>
                  <w:tcW w:w="415" w:type="pct"/>
                  <w:vAlign w:val="center"/>
                </w:tcPr>
                <w:p w14:paraId="0BF90290">
                  <w:pPr>
                    <w:pStyle w:val="1111"/>
                  </w:pPr>
                  <w:r>
                    <w:t>完成</w:t>
                  </w:r>
                </w:p>
                <w:p w14:paraId="1F129C78">
                  <w:pPr>
                    <w:pStyle w:val="1111"/>
                  </w:pPr>
                  <w:r>
                    <w:t>时间</w:t>
                  </w:r>
                </w:p>
              </w:tc>
            </w:tr>
            <w:tr w14:paraId="3E3DB1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77" w:type="pct"/>
                  <w:vMerge w:val="restart"/>
                  <w:vAlign w:val="center"/>
                </w:tcPr>
                <w:p w14:paraId="62B3CDBD">
                  <w:pPr>
                    <w:pStyle w:val="1111"/>
                  </w:pPr>
                  <w:r>
                    <w:t>废气</w:t>
                  </w:r>
                </w:p>
              </w:tc>
              <w:tc>
                <w:tcPr>
                  <w:tcW w:w="546" w:type="pct"/>
                  <w:vAlign w:val="center"/>
                </w:tcPr>
                <w:p w14:paraId="4E6FB189">
                  <w:pPr>
                    <w:pStyle w:val="1111"/>
                  </w:pPr>
                  <w:r>
                    <w:rPr>
                      <w:rFonts w:hint="eastAsia"/>
                    </w:rPr>
                    <w:t>DA001</w:t>
                  </w:r>
                </w:p>
              </w:tc>
              <w:tc>
                <w:tcPr>
                  <w:tcW w:w="569" w:type="pct"/>
                  <w:vAlign w:val="center"/>
                </w:tcPr>
                <w:p w14:paraId="3194D6A3">
                  <w:pPr>
                    <w:pStyle w:val="1111"/>
                    <w:rPr>
                      <w:rFonts w:hint="eastAsia" w:eastAsia="宋体"/>
                      <w:lang w:eastAsia="zh-CN"/>
                    </w:rPr>
                  </w:pPr>
                  <w:r>
                    <w:rPr>
                      <w:rFonts w:hint="eastAsia"/>
                      <w:lang w:eastAsia="zh-CN"/>
                    </w:rPr>
                    <w:t>非甲烷总烃、</w:t>
                  </w:r>
                  <w:r>
                    <w:rPr>
                      <w:rFonts w:hint="eastAsia"/>
                      <w:lang w:val="en-US" w:eastAsia="zh-CN"/>
                    </w:rPr>
                    <w:t>臭气</w:t>
                  </w:r>
                </w:p>
              </w:tc>
              <w:tc>
                <w:tcPr>
                  <w:tcW w:w="1008" w:type="pct"/>
                  <w:vAlign w:val="center"/>
                </w:tcPr>
                <w:p w14:paraId="3FA61E85">
                  <w:pPr>
                    <w:pStyle w:val="1111"/>
                    <w:rPr>
                      <w:rFonts w:hint="default" w:eastAsia="宋体"/>
                      <w:lang w:val="en-US" w:eastAsia="zh-CN"/>
                    </w:rPr>
                  </w:pPr>
                  <w:r>
                    <w:rPr>
                      <w:rFonts w:hint="eastAsia"/>
                      <w:lang w:eastAsia="zh-CN"/>
                    </w:rPr>
                    <w:t>一级碱喷淋</w:t>
                  </w:r>
                  <w:r>
                    <w:rPr>
                      <w:rFonts w:hint="eastAsia"/>
                      <w:lang w:val="en-US" w:eastAsia="zh-CN"/>
                    </w:rPr>
                    <w:t>+</w:t>
                  </w:r>
                  <w:r>
                    <w:rPr>
                      <w:rFonts w:hint="eastAsia"/>
                      <w:lang w:eastAsia="zh-CN"/>
                    </w:rPr>
                    <w:t>一级活性炭吸附装置（</w:t>
                  </w:r>
                  <w:r>
                    <w:rPr>
                      <w:rFonts w:hint="eastAsia"/>
                      <w:lang w:val="en-US" w:eastAsia="zh-CN"/>
                    </w:rPr>
                    <w:t>依托现有</w:t>
                  </w:r>
                  <w:r>
                    <w:rPr>
                      <w:rFonts w:hint="eastAsia"/>
                      <w:lang w:eastAsia="zh-CN"/>
                    </w:rPr>
                    <w:t>）</w:t>
                  </w:r>
                </w:p>
              </w:tc>
              <w:tc>
                <w:tcPr>
                  <w:tcW w:w="1238" w:type="pct"/>
                  <w:vMerge w:val="restart"/>
                  <w:vAlign w:val="center"/>
                </w:tcPr>
                <w:p w14:paraId="55CC7BD3">
                  <w:pPr>
                    <w:pStyle w:val="1111"/>
                    <w:rPr>
                      <w:rFonts w:hint="eastAsia"/>
                      <w:lang w:eastAsia="zh-CN"/>
                    </w:rPr>
                  </w:pPr>
                  <w:r>
                    <w:rPr>
                      <w:rFonts w:hint="eastAsia"/>
                      <w:lang w:eastAsia="zh-CN"/>
                    </w:rPr>
                    <w:t>《大气污染物综合排放标准》（</w:t>
                  </w:r>
                  <w:r>
                    <w:rPr>
                      <w:rFonts w:hint="eastAsia"/>
                      <w:lang w:val="en-US" w:eastAsia="zh-CN"/>
                    </w:rPr>
                    <w:t>DB32/4041-2021</w:t>
                  </w:r>
                  <w:r>
                    <w:rPr>
                      <w:rFonts w:hint="eastAsia"/>
                      <w:lang w:eastAsia="zh-CN"/>
                    </w:rPr>
                    <w:t>）</w:t>
                  </w:r>
                </w:p>
                <w:p w14:paraId="5165DE0E">
                  <w:pPr>
                    <w:pStyle w:val="1111"/>
                    <w:rPr>
                      <w:rFonts w:hint="eastAsia"/>
                      <w:lang w:eastAsia="zh-CN"/>
                    </w:rPr>
                  </w:pPr>
                  <w:r>
                    <w:t>《恶臭污染物排放标准》表1二级新改扩建标准及表2标准</w:t>
                  </w:r>
                </w:p>
              </w:tc>
              <w:tc>
                <w:tcPr>
                  <w:tcW w:w="451" w:type="pct"/>
                  <w:vMerge w:val="restart"/>
                  <w:vAlign w:val="center"/>
                </w:tcPr>
                <w:p w14:paraId="26D5AD70">
                  <w:pPr>
                    <w:pStyle w:val="1111"/>
                    <w:rPr>
                      <w:rFonts w:hint="default" w:eastAsia="宋体"/>
                      <w:lang w:val="en-US" w:eastAsia="zh-CN"/>
                    </w:rPr>
                  </w:pPr>
                  <w:r>
                    <w:rPr>
                      <w:rFonts w:hint="eastAsia"/>
                      <w:lang w:val="en-US" w:eastAsia="zh-CN"/>
                    </w:rPr>
                    <w:t>/</w:t>
                  </w:r>
                </w:p>
              </w:tc>
              <w:tc>
                <w:tcPr>
                  <w:tcW w:w="492" w:type="pct"/>
                  <w:vMerge w:val="restart"/>
                  <w:vAlign w:val="center"/>
                </w:tcPr>
                <w:p w14:paraId="11ED80ED">
                  <w:pPr>
                    <w:pStyle w:val="1111"/>
                    <w:rPr>
                      <w:rFonts w:hint="default"/>
                      <w:lang w:val="en-US" w:eastAsia="zh-CN"/>
                    </w:rPr>
                  </w:pPr>
                  <w:r>
                    <w:rPr>
                      <w:rFonts w:hint="eastAsia"/>
                      <w:lang w:val="en-US" w:eastAsia="zh-CN"/>
                    </w:rPr>
                    <w:t>30</w:t>
                  </w:r>
                </w:p>
              </w:tc>
              <w:tc>
                <w:tcPr>
                  <w:tcW w:w="415" w:type="pct"/>
                  <w:vMerge w:val="restart"/>
                  <w:vAlign w:val="center"/>
                </w:tcPr>
                <w:p w14:paraId="128DFFF2">
                  <w:pPr>
                    <w:pStyle w:val="1111"/>
                  </w:pPr>
                  <w:r>
                    <w:t>与建设项目主体工程同时设计、同时开工、同时建成运</w:t>
                  </w:r>
                </w:p>
                <w:p w14:paraId="37BB37D4">
                  <w:pPr>
                    <w:pStyle w:val="1111"/>
                  </w:pPr>
                  <w:r>
                    <w:t>行</w:t>
                  </w:r>
                </w:p>
              </w:tc>
            </w:tr>
            <w:tr w14:paraId="71EEF1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77" w:type="pct"/>
                  <w:vMerge w:val="continue"/>
                  <w:vAlign w:val="center"/>
                </w:tcPr>
                <w:p w14:paraId="091F6E00">
                  <w:pPr>
                    <w:pStyle w:val="1111"/>
                  </w:pPr>
                </w:p>
              </w:tc>
              <w:tc>
                <w:tcPr>
                  <w:tcW w:w="546" w:type="pct"/>
                  <w:vAlign w:val="center"/>
                </w:tcPr>
                <w:p w14:paraId="47A5C448">
                  <w:pPr>
                    <w:pStyle w:val="1111"/>
                    <w:rPr>
                      <w:rFonts w:hint="eastAsia" w:eastAsia="宋体"/>
                      <w:lang w:eastAsia="zh-CN"/>
                    </w:rPr>
                  </w:pPr>
                  <w:r>
                    <w:rPr>
                      <w:rFonts w:hint="eastAsia"/>
                    </w:rPr>
                    <w:t>DA00</w:t>
                  </w:r>
                  <w:r>
                    <w:rPr>
                      <w:rFonts w:hint="eastAsia"/>
                      <w:lang w:val="en-US" w:eastAsia="zh-CN"/>
                    </w:rPr>
                    <w:t>2</w:t>
                  </w:r>
                </w:p>
              </w:tc>
              <w:tc>
                <w:tcPr>
                  <w:tcW w:w="569" w:type="pct"/>
                  <w:vAlign w:val="center"/>
                </w:tcPr>
                <w:p w14:paraId="411C96E4">
                  <w:pPr>
                    <w:pStyle w:val="1111"/>
                    <w:rPr>
                      <w:rFonts w:hint="eastAsia" w:eastAsia="宋体"/>
                      <w:lang w:eastAsia="zh-CN"/>
                    </w:rPr>
                  </w:pPr>
                  <w:r>
                    <w:rPr>
                      <w:rFonts w:hint="eastAsia"/>
                      <w:lang w:eastAsia="zh-CN"/>
                    </w:rPr>
                    <w:t>非甲烷总烃、</w:t>
                  </w:r>
                  <w:r>
                    <w:rPr>
                      <w:rFonts w:hint="eastAsia"/>
                      <w:lang w:val="en-US" w:eastAsia="zh-CN"/>
                    </w:rPr>
                    <w:t>臭气</w:t>
                  </w:r>
                </w:p>
              </w:tc>
              <w:tc>
                <w:tcPr>
                  <w:tcW w:w="1008" w:type="pct"/>
                  <w:vAlign w:val="center"/>
                </w:tcPr>
                <w:p w14:paraId="4B41156F">
                  <w:pPr>
                    <w:pStyle w:val="1111"/>
                    <w:rPr>
                      <w:rFonts w:hint="default"/>
                      <w:lang w:val="en-US" w:eastAsia="zh-CN"/>
                    </w:rPr>
                  </w:pPr>
                  <w:r>
                    <w:rPr>
                      <w:rFonts w:hint="eastAsia"/>
                      <w:lang w:eastAsia="zh-CN"/>
                    </w:rPr>
                    <w:t>一级碱喷淋</w:t>
                  </w:r>
                  <w:r>
                    <w:rPr>
                      <w:rFonts w:hint="eastAsia"/>
                      <w:lang w:val="en-US" w:eastAsia="zh-CN"/>
                    </w:rPr>
                    <w:t>+</w:t>
                  </w:r>
                  <w:r>
                    <w:rPr>
                      <w:rFonts w:hint="eastAsia"/>
                      <w:lang w:eastAsia="zh-CN"/>
                    </w:rPr>
                    <w:t>一级活性炭吸附装置（</w:t>
                  </w:r>
                  <w:r>
                    <w:rPr>
                      <w:rFonts w:hint="eastAsia"/>
                      <w:lang w:val="en-US" w:eastAsia="zh-CN"/>
                    </w:rPr>
                    <w:t>依托现有</w:t>
                  </w:r>
                  <w:r>
                    <w:rPr>
                      <w:rFonts w:hint="eastAsia"/>
                      <w:lang w:eastAsia="zh-CN"/>
                    </w:rPr>
                    <w:t>）</w:t>
                  </w:r>
                </w:p>
              </w:tc>
              <w:tc>
                <w:tcPr>
                  <w:tcW w:w="1238" w:type="pct"/>
                  <w:vMerge w:val="continue"/>
                  <w:vAlign w:val="center"/>
                </w:tcPr>
                <w:p w14:paraId="256C1E5F">
                  <w:pPr>
                    <w:pStyle w:val="1111"/>
                    <w:rPr>
                      <w:rFonts w:hint="eastAsia"/>
                      <w:lang w:eastAsia="zh-CN"/>
                    </w:rPr>
                  </w:pPr>
                </w:p>
              </w:tc>
              <w:tc>
                <w:tcPr>
                  <w:tcW w:w="451" w:type="pct"/>
                  <w:vMerge w:val="continue"/>
                  <w:vAlign w:val="center"/>
                </w:tcPr>
                <w:p w14:paraId="54E37EE2">
                  <w:pPr>
                    <w:pStyle w:val="1111"/>
                    <w:rPr>
                      <w:rFonts w:hint="eastAsia"/>
                      <w:lang w:val="en-US" w:eastAsia="zh-CN"/>
                    </w:rPr>
                  </w:pPr>
                </w:p>
              </w:tc>
              <w:tc>
                <w:tcPr>
                  <w:tcW w:w="492" w:type="pct"/>
                  <w:vMerge w:val="continue"/>
                  <w:vAlign w:val="center"/>
                </w:tcPr>
                <w:p w14:paraId="7DF16DD6">
                  <w:pPr>
                    <w:pStyle w:val="1111"/>
                    <w:rPr>
                      <w:rFonts w:hint="eastAsia"/>
                      <w:lang w:val="en-US" w:eastAsia="zh-CN"/>
                    </w:rPr>
                  </w:pPr>
                </w:p>
              </w:tc>
              <w:tc>
                <w:tcPr>
                  <w:tcW w:w="415" w:type="pct"/>
                  <w:vMerge w:val="continue"/>
                  <w:vAlign w:val="center"/>
                </w:tcPr>
                <w:p w14:paraId="29E1BD7A">
                  <w:pPr>
                    <w:pStyle w:val="1111"/>
                  </w:pPr>
                </w:p>
              </w:tc>
            </w:tr>
            <w:tr w14:paraId="1E882B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77" w:type="pct"/>
                  <w:vMerge w:val="continue"/>
                  <w:vAlign w:val="center"/>
                </w:tcPr>
                <w:p w14:paraId="161808C3">
                  <w:pPr>
                    <w:pStyle w:val="1111"/>
                  </w:pPr>
                </w:p>
              </w:tc>
              <w:tc>
                <w:tcPr>
                  <w:tcW w:w="546" w:type="pct"/>
                  <w:vAlign w:val="center"/>
                </w:tcPr>
                <w:p w14:paraId="38DF8267">
                  <w:pPr>
                    <w:pStyle w:val="1111"/>
                    <w:rPr>
                      <w:rFonts w:hint="eastAsia" w:eastAsia="宋体"/>
                      <w:lang w:eastAsia="zh-CN"/>
                    </w:rPr>
                  </w:pPr>
                  <w:r>
                    <w:rPr>
                      <w:rFonts w:hint="eastAsia"/>
                    </w:rPr>
                    <w:t>DA00</w:t>
                  </w:r>
                  <w:r>
                    <w:rPr>
                      <w:rFonts w:hint="eastAsia"/>
                      <w:lang w:val="en-US" w:eastAsia="zh-CN"/>
                    </w:rPr>
                    <w:t>3</w:t>
                  </w:r>
                </w:p>
              </w:tc>
              <w:tc>
                <w:tcPr>
                  <w:tcW w:w="569" w:type="pct"/>
                  <w:vAlign w:val="center"/>
                </w:tcPr>
                <w:p w14:paraId="0E59949C">
                  <w:pPr>
                    <w:pStyle w:val="1111"/>
                    <w:rPr>
                      <w:rFonts w:hint="eastAsia" w:eastAsia="宋体"/>
                      <w:lang w:eastAsia="zh-CN"/>
                    </w:rPr>
                  </w:pPr>
                  <w:r>
                    <w:rPr>
                      <w:rFonts w:hint="eastAsia"/>
                      <w:lang w:eastAsia="zh-CN"/>
                    </w:rPr>
                    <w:t>非甲烷总烃、</w:t>
                  </w:r>
                  <w:r>
                    <w:rPr>
                      <w:rFonts w:hint="eastAsia"/>
                      <w:lang w:val="en-US" w:eastAsia="zh-CN"/>
                    </w:rPr>
                    <w:t>臭气</w:t>
                  </w:r>
                </w:p>
              </w:tc>
              <w:tc>
                <w:tcPr>
                  <w:tcW w:w="1008" w:type="pct"/>
                  <w:vAlign w:val="center"/>
                </w:tcPr>
                <w:p w14:paraId="59D76169">
                  <w:pPr>
                    <w:pStyle w:val="1111"/>
                  </w:pPr>
                  <w:r>
                    <w:rPr>
                      <w:rFonts w:hint="eastAsia"/>
                      <w:lang w:eastAsia="zh-CN"/>
                    </w:rPr>
                    <w:t>一级碱喷淋</w:t>
                  </w:r>
                  <w:r>
                    <w:rPr>
                      <w:rFonts w:hint="eastAsia"/>
                      <w:lang w:val="en-US" w:eastAsia="zh-CN"/>
                    </w:rPr>
                    <w:t>+</w:t>
                  </w:r>
                  <w:r>
                    <w:rPr>
                      <w:rFonts w:hint="eastAsia"/>
                      <w:lang w:eastAsia="zh-CN"/>
                    </w:rPr>
                    <w:t>一级活性炭吸附装置（</w:t>
                  </w:r>
                  <w:r>
                    <w:rPr>
                      <w:rFonts w:hint="eastAsia"/>
                      <w:lang w:val="en-US" w:eastAsia="zh-CN"/>
                    </w:rPr>
                    <w:t>依托现有</w:t>
                  </w:r>
                  <w:r>
                    <w:rPr>
                      <w:rFonts w:hint="eastAsia"/>
                      <w:lang w:eastAsia="zh-CN"/>
                    </w:rPr>
                    <w:t>）</w:t>
                  </w:r>
                </w:p>
              </w:tc>
              <w:tc>
                <w:tcPr>
                  <w:tcW w:w="1238" w:type="pct"/>
                  <w:vMerge w:val="continue"/>
                  <w:vAlign w:val="center"/>
                </w:tcPr>
                <w:p w14:paraId="6910D10B">
                  <w:pPr>
                    <w:pStyle w:val="1111"/>
                  </w:pPr>
                </w:p>
              </w:tc>
              <w:tc>
                <w:tcPr>
                  <w:tcW w:w="451" w:type="pct"/>
                  <w:vMerge w:val="continue"/>
                  <w:vAlign w:val="center"/>
                </w:tcPr>
                <w:p w14:paraId="7DE5816A">
                  <w:pPr>
                    <w:pStyle w:val="1111"/>
                    <w:rPr>
                      <w:rFonts w:hint="eastAsia" w:eastAsia="宋体"/>
                      <w:lang w:eastAsia="zh-CN"/>
                    </w:rPr>
                  </w:pPr>
                </w:p>
              </w:tc>
              <w:tc>
                <w:tcPr>
                  <w:tcW w:w="492" w:type="pct"/>
                  <w:vMerge w:val="continue"/>
                  <w:vAlign w:val="center"/>
                </w:tcPr>
                <w:p w14:paraId="77D6B54E">
                  <w:pPr>
                    <w:pStyle w:val="1111"/>
                    <w:rPr>
                      <w:rFonts w:hint="eastAsia" w:eastAsia="宋体"/>
                      <w:lang w:eastAsia="zh-CN"/>
                    </w:rPr>
                  </w:pPr>
                </w:p>
              </w:tc>
              <w:tc>
                <w:tcPr>
                  <w:tcW w:w="415" w:type="pct"/>
                  <w:vMerge w:val="continue"/>
                  <w:vAlign w:val="center"/>
                </w:tcPr>
                <w:p w14:paraId="452D0778">
                  <w:pPr>
                    <w:pStyle w:val="1111"/>
                  </w:pPr>
                </w:p>
              </w:tc>
            </w:tr>
            <w:tr w14:paraId="550047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77" w:type="pct"/>
                  <w:vMerge w:val="continue"/>
                  <w:vAlign w:val="center"/>
                </w:tcPr>
                <w:p w14:paraId="14F001F5">
                  <w:pPr>
                    <w:pStyle w:val="1111"/>
                  </w:pPr>
                </w:p>
              </w:tc>
              <w:tc>
                <w:tcPr>
                  <w:tcW w:w="2123" w:type="pct"/>
                  <w:gridSpan w:val="3"/>
                  <w:vAlign w:val="center"/>
                </w:tcPr>
                <w:p w14:paraId="08C0468A">
                  <w:pPr>
                    <w:pStyle w:val="1111"/>
                    <w:rPr>
                      <w:rFonts w:hint="default"/>
                      <w:szCs w:val="21"/>
                      <w:lang w:val="en-US" w:eastAsia="zh-CN"/>
                    </w:rPr>
                  </w:pPr>
                  <w:r>
                    <w:rPr>
                      <w:rFonts w:hint="eastAsia"/>
                      <w:szCs w:val="21"/>
                      <w:lang w:eastAsia="zh-CN"/>
                    </w:rPr>
                    <w:t>管线、风机等若干、排气筒</w:t>
                  </w:r>
                  <w:r>
                    <w:rPr>
                      <w:rFonts w:hint="eastAsia"/>
                      <w:szCs w:val="21"/>
                      <w:lang w:val="en-US" w:eastAsia="zh-CN"/>
                    </w:rPr>
                    <w:t>3根</w:t>
                  </w:r>
                </w:p>
              </w:tc>
              <w:tc>
                <w:tcPr>
                  <w:tcW w:w="1238" w:type="pct"/>
                  <w:vMerge w:val="continue"/>
                  <w:vAlign w:val="center"/>
                </w:tcPr>
                <w:p w14:paraId="316752F4">
                  <w:pPr>
                    <w:pStyle w:val="1111"/>
                  </w:pPr>
                </w:p>
              </w:tc>
              <w:tc>
                <w:tcPr>
                  <w:tcW w:w="451" w:type="pct"/>
                  <w:vMerge w:val="continue"/>
                  <w:vAlign w:val="center"/>
                </w:tcPr>
                <w:p w14:paraId="7ED18B69">
                  <w:pPr>
                    <w:pStyle w:val="1111"/>
                    <w:rPr>
                      <w:rFonts w:hint="eastAsia" w:eastAsia="宋体"/>
                      <w:lang w:eastAsia="zh-CN"/>
                    </w:rPr>
                  </w:pPr>
                </w:p>
              </w:tc>
              <w:tc>
                <w:tcPr>
                  <w:tcW w:w="492" w:type="pct"/>
                  <w:vMerge w:val="continue"/>
                  <w:vAlign w:val="center"/>
                </w:tcPr>
                <w:p w14:paraId="67D74ED5">
                  <w:pPr>
                    <w:pStyle w:val="1111"/>
                    <w:rPr>
                      <w:rFonts w:hint="eastAsia" w:eastAsia="宋体"/>
                      <w:lang w:eastAsia="zh-CN"/>
                    </w:rPr>
                  </w:pPr>
                </w:p>
              </w:tc>
              <w:tc>
                <w:tcPr>
                  <w:tcW w:w="415" w:type="pct"/>
                  <w:vMerge w:val="continue"/>
                  <w:vAlign w:val="center"/>
                </w:tcPr>
                <w:p w14:paraId="7445920B">
                  <w:pPr>
                    <w:pStyle w:val="1111"/>
                  </w:pPr>
                </w:p>
              </w:tc>
            </w:tr>
            <w:tr w14:paraId="2E66C4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77" w:type="pct"/>
                  <w:vMerge w:val="restart"/>
                  <w:vAlign w:val="center"/>
                </w:tcPr>
                <w:p w14:paraId="232867CD">
                  <w:pPr>
                    <w:pStyle w:val="1111"/>
                  </w:pPr>
                  <w:r>
                    <w:t>废水</w:t>
                  </w:r>
                </w:p>
              </w:tc>
              <w:tc>
                <w:tcPr>
                  <w:tcW w:w="546" w:type="pct"/>
                  <w:vAlign w:val="center"/>
                </w:tcPr>
                <w:p w14:paraId="79C60D4D">
                  <w:pPr>
                    <w:pStyle w:val="1111"/>
                    <w:rPr>
                      <w:rFonts w:hint="eastAsia" w:eastAsia="宋体"/>
                      <w:lang w:eastAsia="zh-CN"/>
                    </w:rPr>
                  </w:pPr>
                  <w:r>
                    <w:rPr>
                      <w:rFonts w:hint="eastAsia"/>
                      <w:lang w:eastAsia="zh-CN"/>
                    </w:rPr>
                    <w:t>废气吸收废水</w:t>
                  </w:r>
                </w:p>
              </w:tc>
              <w:tc>
                <w:tcPr>
                  <w:tcW w:w="569" w:type="pct"/>
                  <w:vAlign w:val="center"/>
                </w:tcPr>
                <w:p w14:paraId="1123A2EB">
                  <w:pPr>
                    <w:pStyle w:val="1111"/>
                    <w:rPr>
                      <w:rFonts w:hint="eastAsia" w:eastAsia="宋体"/>
                      <w:lang w:eastAsia="zh-CN"/>
                    </w:rPr>
                  </w:pPr>
                  <w:r>
                    <w:t>COD、SS</w:t>
                  </w:r>
                </w:p>
              </w:tc>
              <w:tc>
                <w:tcPr>
                  <w:tcW w:w="1008" w:type="pct"/>
                  <w:vMerge w:val="restart"/>
                  <w:vAlign w:val="center"/>
                </w:tcPr>
                <w:p w14:paraId="245B3765">
                  <w:pPr>
                    <w:pStyle w:val="1111"/>
                  </w:pPr>
                  <w:r>
                    <w:rPr>
                      <w:rFonts w:hint="eastAsia"/>
                      <w:lang w:eastAsia="zh-CN"/>
                    </w:rPr>
                    <w:t>依托中华药港污水处理站</w:t>
                  </w:r>
                </w:p>
              </w:tc>
              <w:tc>
                <w:tcPr>
                  <w:tcW w:w="1238" w:type="pct"/>
                  <w:vMerge w:val="restart"/>
                  <w:vAlign w:val="center"/>
                </w:tcPr>
                <w:p w14:paraId="62B21766">
                  <w:pPr>
                    <w:pStyle w:val="1111"/>
                    <w:rPr>
                      <w:rFonts w:hint="eastAsia" w:eastAsia="宋体"/>
                      <w:lang w:val="en-US" w:eastAsia="zh-CN"/>
                    </w:rPr>
                  </w:pPr>
                  <w:r>
                    <w:t>《生物制药行业水和大气污染物排放限值》</w:t>
                  </w:r>
                  <w:r>
                    <w:rPr>
                      <w:rFonts w:hint="eastAsia"/>
                      <w:lang w:eastAsia="zh-CN"/>
                    </w:rPr>
                    <w:t>（</w:t>
                  </w:r>
                  <w:r>
                    <w:t>DB32/3560-2019</w:t>
                  </w:r>
                  <w:r>
                    <w:rPr>
                      <w:rFonts w:hint="eastAsia"/>
                      <w:lang w:eastAsia="zh-CN"/>
                    </w:rPr>
                    <w:t>）</w:t>
                  </w:r>
                  <w:r>
                    <w:t>表2间接排放限值及《污水排入城镇下水道水质标准》</w:t>
                  </w:r>
                  <w:r>
                    <w:rPr>
                      <w:rFonts w:hint="eastAsia"/>
                      <w:lang w:eastAsia="zh-CN"/>
                    </w:rPr>
                    <w:t>（</w:t>
                  </w:r>
                  <w:r>
                    <w:t>GB/T31962-2015</w:t>
                  </w:r>
                  <w:r>
                    <w:rPr>
                      <w:rFonts w:hint="eastAsia"/>
                      <w:lang w:eastAsia="zh-CN"/>
                    </w:rPr>
                    <w:t>）</w:t>
                  </w:r>
                  <w:r>
                    <w:t>表1中A等级标准</w:t>
                  </w:r>
                </w:p>
              </w:tc>
              <w:tc>
                <w:tcPr>
                  <w:tcW w:w="451" w:type="pct"/>
                  <w:vMerge w:val="restart"/>
                  <w:vAlign w:val="center"/>
                </w:tcPr>
                <w:p w14:paraId="77A50B82">
                  <w:pPr>
                    <w:pStyle w:val="1111"/>
                    <w:rPr>
                      <w:rFonts w:hint="default" w:eastAsia="宋体"/>
                      <w:lang w:val="en-US" w:eastAsia="zh-CN"/>
                    </w:rPr>
                  </w:pPr>
                  <w:r>
                    <w:rPr>
                      <w:rFonts w:hint="eastAsia"/>
                      <w:lang w:val="en-US" w:eastAsia="zh-CN"/>
                    </w:rPr>
                    <w:t>/</w:t>
                  </w:r>
                </w:p>
              </w:tc>
              <w:tc>
                <w:tcPr>
                  <w:tcW w:w="492" w:type="pct"/>
                  <w:vMerge w:val="restart"/>
                  <w:vAlign w:val="center"/>
                </w:tcPr>
                <w:p w14:paraId="09384F50">
                  <w:pPr>
                    <w:pStyle w:val="1111"/>
                    <w:rPr>
                      <w:rFonts w:hint="default"/>
                      <w:lang w:val="en-US" w:eastAsia="zh-CN"/>
                    </w:rPr>
                  </w:pPr>
                  <w:r>
                    <w:rPr>
                      <w:rFonts w:hint="eastAsia"/>
                      <w:lang w:val="en-US" w:eastAsia="zh-CN"/>
                    </w:rPr>
                    <w:t>/</w:t>
                  </w:r>
                </w:p>
              </w:tc>
              <w:tc>
                <w:tcPr>
                  <w:tcW w:w="415" w:type="pct"/>
                  <w:vMerge w:val="continue"/>
                  <w:vAlign w:val="center"/>
                </w:tcPr>
                <w:p w14:paraId="6B949B59">
                  <w:pPr>
                    <w:pStyle w:val="1111"/>
                  </w:pPr>
                </w:p>
              </w:tc>
            </w:tr>
            <w:tr w14:paraId="5A950F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77" w:type="pct"/>
                  <w:vMerge w:val="continue"/>
                  <w:vAlign w:val="center"/>
                </w:tcPr>
                <w:p w14:paraId="16EF86AC">
                  <w:pPr>
                    <w:pStyle w:val="1111"/>
                  </w:pPr>
                </w:p>
              </w:tc>
              <w:tc>
                <w:tcPr>
                  <w:tcW w:w="546" w:type="pct"/>
                  <w:vAlign w:val="center"/>
                </w:tcPr>
                <w:p w14:paraId="500F1E15">
                  <w:pPr>
                    <w:pStyle w:val="1111"/>
                  </w:pPr>
                  <w:r>
                    <w:rPr>
                      <w:rFonts w:hint="eastAsia"/>
                    </w:rPr>
                    <w:t>生活污水</w:t>
                  </w:r>
                </w:p>
              </w:tc>
              <w:tc>
                <w:tcPr>
                  <w:tcW w:w="569" w:type="pct"/>
                  <w:vAlign w:val="center"/>
                </w:tcPr>
                <w:p w14:paraId="00AC7752">
                  <w:pPr>
                    <w:pStyle w:val="1111"/>
                  </w:pPr>
                  <w:r>
                    <w:t>COD、SS、氨氮、TP、总氮</w:t>
                  </w:r>
                </w:p>
              </w:tc>
              <w:tc>
                <w:tcPr>
                  <w:tcW w:w="1008" w:type="pct"/>
                  <w:vMerge w:val="continue"/>
                  <w:vAlign w:val="center"/>
                </w:tcPr>
                <w:p w14:paraId="688280AE">
                  <w:pPr>
                    <w:pStyle w:val="1111"/>
                  </w:pPr>
                </w:p>
              </w:tc>
              <w:tc>
                <w:tcPr>
                  <w:tcW w:w="1238" w:type="pct"/>
                  <w:vMerge w:val="continue"/>
                  <w:vAlign w:val="center"/>
                </w:tcPr>
                <w:p w14:paraId="44941703">
                  <w:pPr>
                    <w:pStyle w:val="1111"/>
                    <w:rPr>
                      <w:rFonts w:hint="eastAsia" w:eastAsia="宋体"/>
                      <w:lang w:val="en-US" w:eastAsia="zh-CN"/>
                    </w:rPr>
                  </w:pPr>
                </w:p>
              </w:tc>
              <w:tc>
                <w:tcPr>
                  <w:tcW w:w="451" w:type="pct"/>
                  <w:vMerge w:val="continue"/>
                  <w:vAlign w:val="center"/>
                </w:tcPr>
                <w:p w14:paraId="7BA45F1C">
                  <w:pPr>
                    <w:pStyle w:val="1111"/>
                  </w:pPr>
                </w:p>
              </w:tc>
              <w:tc>
                <w:tcPr>
                  <w:tcW w:w="492" w:type="pct"/>
                  <w:vMerge w:val="continue"/>
                  <w:vAlign w:val="center"/>
                </w:tcPr>
                <w:p w14:paraId="19F80EC7">
                  <w:pPr>
                    <w:pStyle w:val="1111"/>
                  </w:pPr>
                </w:p>
              </w:tc>
              <w:tc>
                <w:tcPr>
                  <w:tcW w:w="415" w:type="pct"/>
                  <w:vMerge w:val="continue"/>
                  <w:vAlign w:val="center"/>
                </w:tcPr>
                <w:p w14:paraId="6A6EDE41">
                  <w:pPr>
                    <w:pStyle w:val="1111"/>
                  </w:pPr>
                </w:p>
              </w:tc>
            </w:tr>
            <w:tr w14:paraId="7B3639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77" w:type="pct"/>
                  <w:vAlign w:val="center"/>
                </w:tcPr>
                <w:p w14:paraId="471519D1">
                  <w:pPr>
                    <w:pStyle w:val="1111"/>
                  </w:pPr>
                  <w:r>
                    <w:t>噪声</w:t>
                  </w:r>
                </w:p>
              </w:tc>
              <w:tc>
                <w:tcPr>
                  <w:tcW w:w="546" w:type="pct"/>
                  <w:vAlign w:val="center"/>
                </w:tcPr>
                <w:p w14:paraId="2E2A9A6D">
                  <w:pPr>
                    <w:pStyle w:val="1111"/>
                  </w:pPr>
                  <w:r>
                    <w:t>噪声设备</w:t>
                  </w:r>
                </w:p>
              </w:tc>
              <w:tc>
                <w:tcPr>
                  <w:tcW w:w="569" w:type="pct"/>
                  <w:vAlign w:val="center"/>
                </w:tcPr>
                <w:p w14:paraId="3A2B9FAD">
                  <w:pPr>
                    <w:pStyle w:val="1111"/>
                  </w:pPr>
                  <w:r>
                    <w:t>噪声</w:t>
                  </w:r>
                </w:p>
              </w:tc>
              <w:tc>
                <w:tcPr>
                  <w:tcW w:w="1008" w:type="pct"/>
                  <w:vAlign w:val="center"/>
                </w:tcPr>
                <w:p w14:paraId="1EEEC088">
                  <w:pPr>
                    <w:pStyle w:val="1111"/>
                  </w:pPr>
                  <w:r>
                    <w:rPr>
                      <w:rFonts w:hint="eastAsia"/>
                    </w:rPr>
                    <w:t>消声器、设备减震</w:t>
                  </w:r>
                </w:p>
              </w:tc>
              <w:tc>
                <w:tcPr>
                  <w:tcW w:w="1238" w:type="pct"/>
                  <w:vAlign w:val="center"/>
                </w:tcPr>
                <w:p w14:paraId="58E00058">
                  <w:pPr>
                    <w:pStyle w:val="1111"/>
                  </w:pPr>
                  <w:r>
                    <w:t>满足《工业企业厂界环境噪声排放标准》（GB12348-2008）</w:t>
                  </w:r>
                  <w:r>
                    <w:rPr>
                      <w:rFonts w:hint="eastAsia"/>
                      <w:lang w:val="en-US" w:eastAsia="zh-CN"/>
                    </w:rPr>
                    <w:t>2</w:t>
                  </w:r>
                  <w:r>
                    <w:t>类标准要求</w:t>
                  </w:r>
                </w:p>
              </w:tc>
              <w:tc>
                <w:tcPr>
                  <w:tcW w:w="451" w:type="pct"/>
                  <w:vAlign w:val="center"/>
                </w:tcPr>
                <w:p w14:paraId="4A8A32DC">
                  <w:pPr>
                    <w:pStyle w:val="1111"/>
                    <w:rPr>
                      <w:rFonts w:hint="default" w:eastAsia="宋体"/>
                      <w:lang w:val="en-US" w:eastAsia="zh-CN"/>
                    </w:rPr>
                  </w:pPr>
                  <w:r>
                    <w:rPr>
                      <w:rFonts w:hint="eastAsia"/>
                      <w:lang w:val="en-US" w:eastAsia="zh-CN"/>
                    </w:rPr>
                    <w:t>5</w:t>
                  </w:r>
                </w:p>
              </w:tc>
              <w:tc>
                <w:tcPr>
                  <w:tcW w:w="492" w:type="pct"/>
                  <w:vAlign w:val="center"/>
                </w:tcPr>
                <w:p w14:paraId="715E1142">
                  <w:pPr>
                    <w:pStyle w:val="1111"/>
                    <w:rPr>
                      <w:rFonts w:hint="default"/>
                      <w:lang w:val="en-US" w:eastAsia="zh-CN"/>
                    </w:rPr>
                  </w:pPr>
                  <w:r>
                    <w:rPr>
                      <w:rFonts w:hint="eastAsia"/>
                      <w:lang w:val="en-US" w:eastAsia="zh-CN"/>
                    </w:rPr>
                    <w:t>/</w:t>
                  </w:r>
                </w:p>
              </w:tc>
              <w:tc>
                <w:tcPr>
                  <w:tcW w:w="415" w:type="pct"/>
                  <w:vMerge w:val="continue"/>
                  <w:vAlign w:val="center"/>
                </w:tcPr>
                <w:p w14:paraId="487ED9C0">
                  <w:pPr>
                    <w:pStyle w:val="1111"/>
                  </w:pPr>
                </w:p>
              </w:tc>
            </w:tr>
            <w:tr w14:paraId="6B4767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77" w:type="pct"/>
                  <w:vMerge w:val="restart"/>
                  <w:vAlign w:val="center"/>
                </w:tcPr>
                <w:p w14:paraId="27218D6D">
                  <w:pPr>
                    <w:pStyle w:val="1111"/>
                  </w:pPr>
                  <w:r>
                    <w:t>固废</w:t>
                  </w:r>
                </w:p>
              </w:tc>
              <w:tc>
                <w:tcPr>
                  <w:tcW w:w="546" w:type="pct"/>
                  <w:vAlign w:val="center"/>
                </w:tcPr>
                <w:p w14:paraId="0C706CCB">
                  <w:pPr>
                    <w:pStyle w:val="1111"/>
                  </w:pPr>
                  <w:r>
                    <w:rPr>
                      <w:rFonts w:hint="eastAsia"/>
                    </w:rPr>
                    <w:t>生活</w:t>
                  </w:r>
                </w:p>
              </w:tc>
              <w:tc>
                <w:tcPr>
                  <w:tcW w:w="569" w:type="pct"/>
                  <w:vAlign w:val="center"/>
                </w:tcPr>
                <w:p w14:paraId="49F67C09">
                  <w:pPr>
                    <w:pStyle w:val="1111"/>
                  </w:pPr>
                  <w:r>
                    <w:rPr>
                      <w:rFonts w:hint="eastAsia"/>
                    </w:rPr>
                    <w:t>生活垃圾</w:t>
                  </w:r>
                </w:p>
              </w:tc>
              <w:tc>
                <w:tcPr>
                  <w:tcW w:w="1008" w:type="pct"/>
                  <w:vAlign w:val="center"/>
                </w:tcPr>
                <w:p w14:paraId="0495C0FD">
                  <w:pPr>
                    <w:pStyle w:val="1111"/>
                  </w:pPr>
                  <w:r>
                    <w:rPr>
                      <w:rFonts w:hint="eastAsia"/>
                    </w:rPr>
                    <w:t>环卫部门集中清运处理</w:t>
                  </w:r>
                </w:p>
              </w:tc>
              <w:tc>
                <w:tcPr>
                  <w:tcW w:w="1238" w:type="pct"/>
                  <w:vAlign w:val="center"/>
                </w:tcPr>
                <w:p w14:paraId="6DBA04A0">
                  <w:pPr>
                    <w:pStyle w:val="1111"/>
                  </w:pPr>
                  <w:r>
                    <w:rPr>
                      <w:rFonts w:hint="eastAsia"/>
                    </w:rPr>
                    <w:t>零排放</w:t>
                  </w:r>
                </w:p>
              </w:tc>
              <w:tc>
                <w:tcPr>
                  <w:tcW w:w="451" w:type="pct"/>
                  <w:vMerge w:val="restart"/>
                  <w:vAlign w:val="center"/>
                </w:tcPr>
                <w:p w14:paraId="200EF0EC">
                  <w:pPr>
                    <w:pStyle w:val="1111"/>
                    <w:rPr>
                      <w:rFonts w:hint="default" w:eastAsia="宋体"/>
                      <w:lang w:val="en-US" w:eastAsia="zh-CN"/>
                    </w:rPr>
                  </w:pPr>
                  <w:r>
                    <w:rPr>
                      <w:rFonts w:hint="eastAsia"/>
                      <w:lang w:val="en-US" w:eastAsia="zh-CN"/>
                    </w:rPr>
                    <w:t>5</w:t>
                  </w:r>
                </w:p>
              </w:tc>
              <w:tc>
                <w:tcPr>
                  <w:tcW w:w="492" w:type="pct"/>
                  <w:vMerge w:val="restart"/>
                  <w:vAlign w:val="center"/>
                </w:tcPr>
                <w:p w14:paraId="190DB679">
                  <w:pPr>
                    <w:pStyle w:val="1111"/>
                    <w:rPr>
                      <w:rFonts w:hint="default"/>
                      <w:lang w:val="en-US" w:eastAsia="zh-CN"/>
                    </w:rPr>
                  </w:pPr>
                  <w:r>
                    <w:rPr>
                      <w:rFonts w:hint="eastAsia"/>
                      <w:lang w:val="en-US" w:eastAsia="zh-CN"/>
                    </w:rPr>
                    <w:t>5</w:t>
                  </w:r>
                </w:p>
              </w:tc>
              <w:tc>
                <w:tcPr>
                  <w:tcW w:w="415" w:type="pct"/>
                  <w:vMerge w:val="continue"/>
                  <w:vAlign w:val="center"/>
                </w:tcPr>
                <w:p w14:paraId="16A88D8C">
                  <w:pPr>
                    <w:pStyle w:val="1111"/>
                  </w:pPr>
                </w:p>
              </w:tc>
            </w:tr>
            <w:tr w14:paraId="5744BA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77" w:type="pct"/>
                  <w:vMerge w:val="continue"/>
                  <w:vAlign w:val="center"/>
                </w:tcPr>
                <w:p w14:paraId="0DD5B605">
                  <w:pPr>
                    <w:pStyle w:val="1111"/>
                  </w:pPr>
                </w:p>
              </w:tc>
              <w:tc>
                <w:tcPr>
                  <w:tcW w:w="546" w:type="pct"/>
                  <w:shd w:val="clear" w:color="auto" w:fill="auto"/>
                  <w:vAlign w:val="center"/>
                </w:tcPr>
                <w:p w14:paraId="44279932">
                  <w:pPr>
                    <w:pStyle w:val="1111"/>
                    <w:rPr>
                      <w:rFonts w:ascii="Times New Roman" w:hAnsi="Times New Roman" w:eastAsia="宋体" w:cs="Times New Roman"/>
                      <w:kern w:val="0"/>
                      <w:sz w:val="21"/>
                      <w:szCs w:val="20"/>
                      <w:lang w:val="en-US" w:eastAsia="zh-CN" w:bidi="ar-SA"/>
                    </w:rPr>
                  </w:pPr>
                  <w:r>
                    <w:rPr>
                      <w:rFonts w:hint="eastAsia"/>
                    </w:rPr>
                    <w:t>危险固废</w:t>
                  </w:r>
                </w:p>
              </w:tc>
              <w:tc>
                <w:tcPr>
                  <w:tcW w:w="569" w:type="pct"/>
                  <w:vAlign w:val="center"/>
                </w:tcPr>
                <w:p w14:paraId="79A39698">
                  <w:pPr>
                    <w:pStyle w:val="1111"/>
                    <w:rPr>
                      <w:rFonts w:hint="eastAsia" w:eastAsia="宋体"/>
                      <w:lang w:eastAsia="zh-CN"/>
                    </w:rPr>
                  </w:pPr>
                  <w:r>
                    <w:rPr>
                      <w:rFonts w:hint="eastAsia"/>
                      <w:lang w:eastAsia="zh-CN"/>
                    </w:rPr>
                    <w:t>劳保用品、废包装物、</w:t>
                  </w:r>
                  <w:r>
                    <w:t>废活性炭</w:t>
                  </w:r>
                </w:p>
              </w:tc>
              <w:tc>
                <w:tcPr>
                  <w:tcW w:w="1008" w:type="pct"/>
                  <w:vAlign w:val="center"/>
                </w:tcPr>
                <w:p w14:paraId="4CE2A344">
                  <w:pPr>
                    <w:pStyle w:val="1111"/>
                    <w:rPr>
                      <w:rFonts w:hint="eastAsia" w:eastAsia="宋体"/>
                      <w:lang w:eastAsia="zh-CN"/>
                    </w:rPr>
                  </w:pPr>
                  <w:r>
                    <w:rPr>
                      <w:rFonts w:hint="eastAsia"/>
                      <w:lang w:eastAsia="zh-CN"/>
                    </w:rPr>
                    <w:t>暂存于危废存储间</w:t>
                  </w:r>
                </w:p>
              </w:tc>
              <w:tc>
                <w:tcPr>
                  <w:tcW w:w="1238" w:type="pct"/>
                  <w:vAlign w:val="center"/>
                </w:tcPr>
                <w:p w14:paraId="1C972906">
                  <w:pPr>
                    <w:pStyle w:val="1111"/>
                  </w:pPr>
                  <w:r>
                    <w:rPr>
                      <w:rFonts w:hint="eastAsia"/>
                    </w:rPr>
                    <w:t>零排放</w:t>
                  </w:r>
                </w:p>
              </w:tc>
              <w:tc>
                <w:tcPr>
                  <w:tcW w:w="451" w:type="pct"/>
                  <w:vMerge w:val="continue"/>
                  <w:vAlign w:val="center"/>
                </w:tcPr>
                <w:p w14:paraId="6BB9F02D">
                  <w:pPr>
                    <w:pStyle w:val="1111"/>
                    <w:rPr>
                      <w:rFonts w:hint="default" w:eastAsia="宋体"/>
                      <w:lang w:val="en-US" w:eastAsia="zh-CN"/>
                    </w:rPr>
                  </w:pPr>
                </w:p>
              </w:tc>
              <w:tc>
                <w:tcPr>
                  <w:tcW w:w="492" w:type="pct"/>
                  <w:vMerge w:val="continue"/>
                  <w:vAlign w:val="center"/>
                </w:tcPr>
                <w:p w14:paraId="6518E989">
                  <w:pPr>
                    <w:pStyle w:val="1111"/>
                    <w:rPr>
                      <w:rFonts w:hint="default" w:eastAsia="宋体"/>
                      <w:lang w:val="en-US" w:eastAsia="zh-CN"/>
                    </w:rPr>
                  </w:pPr>
                </w:p>
              </w:tc>
              <w:tc>
                <w:tcPr>
                  <w:tcW w:w="415" w:type="pct"/>
                  <w:vMerge w:val="continue"/>
                  <w:vAlign w:val="center"/>
                </w:tcPr>
                <w:p w14:paraId="6351A3DC">
                  <w:pPr>
                    <w:pStyle w:val="1111"/>
                  </w:pPr>
                </w:p>
              </w:tc>
            </w:tr>
            <w:tr w14:paraId="2EADE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2" w:hRule="atLeast"/>
              </w:trPr>
              <w:tc>
                <w:tcPr>
                  <w:tcW w:w="824" w:type="pct"/>
                  <w:gridSpan w:val="2"/>
                  <w:vAlign w:val="center"/>
                </w:tcPr>
                <w:p w14:paraId="28AB13E1">
                  <w:pPr>
                    <w:pStyle w:val="1111"/>
                  </w:pPr>
                  <w:r>
                    <w:rPr>
                      <w:rFonts w:hint="eastAsia"/>
                    </w:rPr>
                    <w:t>地下水、土壤</w:t>
                  </w:r>
                </w:p>
              </w:tc>
              <w:tc>
                <w:tcPr>
                  <w:tcW w:w="1577" w:type="pct"/>
                  <w:gridSpan w:val="2"/>
                  <w:vAlign w:val="center"/>
                </w:tcPr>
                <w:p w14:paraId="57F66030">
                  <w:pPr>
                    <w:pStyle w:val="1111"/>
                    <w:rPr>
                      <w:rFonts w:hint="eastAsia" w:eastAsia="宋体"/>
                      <w:lang w:eastAsia="zh-CN"/>
                    </w:rPr>
                  </w:pPr>
                  <w:r>
                    <w:rPr>
                      <w:rFonts w:hint="eastAsia"/>
                      <w:lang w:eastAsia="zh-CN"/>
                    </w:rPr>
                    <w:t>依托现有的</w:t>
                  </w:r>
                  <w:r>
                    <w:rPr>
                      <w:rFonts w:hint="eastAsia"/>
                    </w:rPr>
                    <w:t>分区防渗防腐</w:t>
                  </w:r>
                  <w:r>
                    <w:rPr>
                      <w:rFonts w:hint="eastAsia"/>
                      <w:lang w:eastAsia="zh-CN"/>
                    </w:rPr>
                    <w:t>措施</w:t>
                  </w:r>
                </w:p>
              </w:tc>
              <w:tc>
                <w:tcPr>
                  <w:tcW w:w="1238" w:type="pct"/>
                  <w:vAlign w:val="center"/>
                </w:tcPr>
                <w:p w14:paraId="129C08CA">
                  <w:pPr>
                    <w:pStyle w:val="1111"/>
                  </w:pPr>
                  <w:r>
                    <w:rPr>
                      <w:rFonts w:hint="eastAsia"/>
                    </w:rPr>
                    <w:t>确保地下水、土壤不受污染</w:t>
                  </w:r>
                </w:p>
              </w:tc>
              <w:tc>
                <w:tcPr>
                  <w:tcW w:w="451" w:type="pct"/>
                  <w:vAlign w:val="center"/>
                </w:tcPr>
                <w:p w14:paraId="2E375D04">
                  <w:pPr>
                    <w:pStyle w:val="1111"/>
                    <w:rPr>
                      <w:rFonts w:hint="default" w:eastAsia="宋体"/>
                      <w:lang w:val="en-US" w:eastAsia="zh-CN"/>
                    </w:rPr>
                  </w:pPr>
                  <w:r>
                    <w:rPr>
                      <w:rFonts w:hint="eastAsia"/>
                      <w:lang w:val="en-US" w:eastAsia="zh-CN"/>
                    </w:rPr>
                    <w:t>/</w:t>
                  </w:r>
                </w:p>
              </w:tc>
              <w:tc>
                <w:tcPr>
                  <w:tcW w:w="492" w:type="pct"/>
                  <w:vAlign w:val="center"/>
                </w:tcPr>
                <w:p w14:paraId="057B3D07">
                  <w:pPr>
                    <w:pStyle w:val="1111"/>
                    <w:rPr>
                      <w:rFonts w:hint="default"/>
                      <w:lang w:val="en-US" w:eastAsia="zh-CN"/>
                    </w:rPr>
                  </w:pPr>
                  <w:r>
                    <w:rPr>
                      <w:rFonts w:hint="eastAsia"/>
                      <w:lang w:val="en-US" w:eastAsia="zh-CN"/>
                    </w:rPr>
                    <w:t>/</w:t>
                  </w:r>
                </w:p>
              </w:tc>
              <w:tc>
                <w:tcPr>
                  <w:tcW w:w="415" w:type="pct"/>
                  <w:vMerge w:val="continue"/>
                  <w:vAlign w:val="center"/>
                </w:tcPr>
                <w:p w14:paraId="7492EDC3">
                  <w:pPr>
                    <w:pStyle w:val="1111"/>
                  </w:pPr>
                </w:p>
              </w:tc>
            </w:tr>
            <w:tr w14:paraId="102D22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824" w:type="pct"/>
                  <w:gridSpan w:val="2"/>
                  <w:vAlign w:val="center"/>
                </w:tcPr>
                <w:p w14:paraId="32A6803F">
                  <w:pPr>
                    <w:pStyle w:val="1111"/>
                  </w:pPr>
                  <w:r>
                    <w:t>排污口规范化设置（流量计、在线监测仪等）</w:t>
                  </w:r>
                </w:p>
              </w:tc>
              <w:tc>
                <w:tcPr>
                  <w:tcW w:w="1577" w:type="pct"/>
                  <w:gridSpan w:val="2"/>
                  <w:vAlign w:val="center"/>
                </w:tcPr>
                <w:p w14:paraId="531BED8A">
                  <w:pPr>
                    <w:pStyle w:val="1111"/>
                  </w:pPr>
                  <w:r>
                    <w:t>雨污分流、清污分流；</w:t>
                  </w:r>
                  <w:r>
                    <w:rPr>
                      <w:rFonts w:hint="eastAsia"/>
                      <w:lang w:eastAsia="zh-CN"/>
                    </w:rPr>
                    <w:t>依托原有</w:t>
                  </w:r>
                  <w:r>
                    <w:t>废气排口。</w:t>
                  </w:r>
                </w:p>
                <w:p w14:paraId="109D0EDA">
                  <w:pPr>
                    <w:pStyle w:val="1111"/>
                  </w:pPr>
                  <w:r>
                    <w:t>噪声：在噪声设备点，设置环境保护标志牌。</w:t>
                  </w:r>
                  <w:r>
                    <w:rPr>
                      <w:rFonts w:hint="eastAsia"/>
                      <w:lang w:val="en-US" w:eastAsia="zh-CN"/>
                    </w:rPr>
                    <w:t>在</w:t>
                  </w:r>
                  <w:r>
                    <w:rPr>
                      <w:lang w:val="en-US" w:eastAsia="zh-CN"/>
                    </w:rPr>
                    <w:t>生产、治污设施分别安装用电监控设备</w:t>
                  </w:r>
                  <w:r>
                    <w:rPr>
                      <w:rFonts w:hint="eastAsia"/>
                      <w:lang w:val="en-US" w:eastAsia="zh-CN"/>
                    </w:rPr>
                    <w:t>。</w:t>
                  </w:r>
                </w:p>
              </w:tc>
              <w:tc>
                <w:tcPr>
                  <w:tcW w:w="1238" w:type="pct"/>
                  <w:vAlign w:val="center"/>
                </w:tcPr>
                <w:p w14:paraId="5A5D4A7F">
                  <w:pPr>
                    <w:pStyle w:val="1111"/>
                  </w:pPr>
                  <w:r>
                    <w:t>满足相关要求</w:t>
                  </w:r>
                </w:p>
              </w:tc>
              <w:tc>
                <w:tcPr>
                  <w:tcW w:w="451" w:type="pct"/>
                  <w:vAlign w:val="center"/>
                </w:tcPr>
                <w:p w14:paraId="062433DC">
                  <w:pPr>
                    <w:pStyle w:val="1111"/>
                    <w:rPr>
                      <w:rFonts w:hint="default" w:eastAsia="宋体"/>
                      <w:lang w:val="en-US" w:eastAsia="zh-CN"/>
                    </w:rPr>
                  </w:pPr>
                  <w:r>
                    <w:rPr>
                      <w:rFonts w:hint="eastAsia"/>
                      <w:lang w:val="en-US" w:eastAsia="zh-CN"/>
                    </w:rPr>
                    <w:t>5</w:t>
                  </w:r>
                </w:p>
              </w:tc>
              <w:tc>
                <w:tcPr>
                  <w:tcW w:w="492" w:type="pct"/>
                  <w:vAlign w:val="center"/>
                </w:tcPr>
                <w:p w14:paraId="1CA87FBB">
                  <w:pPr>
                    <w:pStyle w:val="1111"/>
                    <w:rPr>
                      <w:rFonts w:hint="default"/>
                      <w:lang w:val="en-US" w:eastAsia="zh-CN"/>
                    </w:rPr>
                  </w:pPr>
                  <w:r>
                    <w:rPr>
                      <w:rFonts w:hint="eastAsia"/>
                      <w:lang w:val="en-US" w:eastAsia="zh-CN"/>
                    </w:rPr>
                    <w:t>/</w:t>
                  </w:r>
                </w:p>
              </w:tc>
              <w:tc>
                <w:tcPr>
                  <w:tcW w:w="415" w:type="pct"/>
                  <w:vMerge w:val="continue"/>
                  <w:vAlign w:val="center"/>
                </w:tcPr>
                <w:p w14:paraId="45B48161">
                  <w:pPr>
                    <w:pStyle w:val="1111"/>
                  </w:pPr>
                </w:p>
              </w:tc>
            </w:tr>
            <w:tr w14:paraId="05F48F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824" w:type="pct"/>
                  <w:gridSpan w:val="2"/>
                  <w:vMerge w:val="restart"/>
                  <w:vAlign w:val="center"/>
                </w:tcPr>
                <w:p w14:paraId="02777624">
                  <w:pPr>
                    <w:pStyle w:val="1111"/>
                  </w:pPr>
                  <w:r>
                    <w:rPr>
                      <w:rFonts w:hint="eastAsia"/>
                    </w:rPr>
                    <w:t>风险防范措施</w:t>
                  </w:r>
                </w:p>
              </w:tc>
              <w:tc>
                <w:tcPr>
                  <w:tcW w:w="1577" w:type="pct"/>
                  <w:gridSpan w:val="2"/>
                  <w:vAlign w:val="center"/>
                </w:tcPr>
                <w:p w14:paraId="4ADA1310">
                  <w:pPr>
                    <w:pStyle w:val="1111"/>
                    <w:rPr>
                      <w:rFonts w:hint="default" w:eastAsia="宋体"/>
                      <w:lang w:val="en-US" w:eastAsia="zh-CN"/>
                    </w:rPr>
                  </w:pPr>
                  <w:r>
                    <w:rPr>
                      <w:rFonts w:hint="eastAsia"/>
                      <w:lang w:eastAsia="zh-CN"/>
                    </w:rPr>
                    <w:t>依托中华药港消防排水收集系统，包括管网及排水监控系统，事故应急池</w:t>
                  </w:r>
                </w:p>
              </w:tc>
              <w:tc>
                <w:tcPr>
                  <w:tcW w:w="1238" w:type="pct"/>
                  <w:vMerge w:val="restart"/>
                  <w:vAlign w:val="center"/>
                </w:tcPr>
                <w:p w14:paraId="612591E3">
                  <w:pPr>
                    <w:pStyle w:val="1111"/>
                    <w:rPr>
                      <w:rFonts w:hint="eastAsia" w:eastAsia="宋体"/>
                      <w:lang w:eastAsia="zh-CN"/>
                    </w:rPr>
                  </w:pPr>
                  <w:r>
                    <w:rPr>
                      <w:rFonts w:hint="eastAsia"/>
                      <w:lang w:eastAsia="zh-CN"/>
                    </w:rPr>
                    <w:t>将风险水平降低到可接受范围</w:t>
                  </w:r>
                </w:p>
              </w:tc>
              <w:tc>
                <w:tcPr>
                  <w:tcW w:w="451" w:type="pct"/>
                  <w:vMerge w:val="restart"/>
                  <w:vAlign w:val="center"/>
                </w:tcPr>
                <w:p w14:paraId="5F5DB53F">
                  <w:pPr>
                    <w:pStyle w:val="1111"/>
                    <w:rPr>
                      <w:rFonts w:hint="default" w:eastAsia="宋体"/>
                      <w:lang w:val="en-US" w:eastAsia="zh-CN"/>
                    </w:rPr>
                  </w:pPr>
                  <w:r>
                    <w:rPr>
                      <w:rFonts w:hint="eastAsia"/>
                      <w:lang w:val="en-US" w:eastAsia="zh-CN"/>
                    </w:rPr>
                    <w:t>25</w:t>
                  </w:r>
                </w:p>
              </w:tc>
              <w:tc>
                <w:tcPr>
                  <w:tcW w:w="492" w:type="pct"/>
                  <w:vMerge w:val="restart"/>
                  <w:vAlign w:val="center"/>
                </w:tcPr>
                <w:p w14:paraId="46E3AC77">
                  <w:pPr>
                    <w:pStyle w:val="1111"/>
                    <w:rPr>
                      <w:rFonts w:hint="default"/>
                      <w:lang w:val="en-US" w:eastAsia="zh-CN"/>
                    </w:rPr>
                  </w:pPr>
                  <w:r>
                    <w:rPr>
                      <w:rFonts w:hint="eastAsia"/>
                      <w:lang w:val="en-US" w:eastAsia="zh-CN"/>
                    </w:rPr>
                    <w:t>5</w:t>
                  </w:r>
                </w:p>
              </w:tc>
              <w:tc>
                <w:tcPr>
                  <w:tcW w:w="415" w:type="pct"/>
                  <w:vMerge w:val="continue"/>
                  <w:vAlign w:val="center"/>
                </w:tcPr>
                <w:p w14:paraId="18CCCF5D">
                  <w:pPr>
                    <w:pStyle w:val="1111"/>
                  </w:pPr>
                </w:p>
              </w:tc>
            </w:tr>
            <w:tr w14:paraId="111B95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824" w:type="pct"/>
                  <w:gridSpan w:val="2"/>
                  <w:vMerge w:val="continue"/>
                  <w:vAlign w:val="center"/>
                </w:tcPr>
                <w:p w14:paraId="1B878358">
                  <w:pPr>
                    <w:pStyle w:val="1111"/>
                    <w:rPr>
                      <w:rFonts w:hint="eastAsia"/>
                    </w:rPr>
                  </w:pPr>
                </w:p>
              </w:tc>
              <w:tc>
                <w:tcPr>
                  <w:tcW w:w="1577" w:type="pct"/>
                  <w:gridSpan w:val="2"/>
                  <w:vAlign w:val="center"/>
                </w:tcPr>
                <w:p w14:paraId="522D940A">
                  <w:pPr>
                    <w:pStyle w:val="1111"/>
                    <w:rPr>
                      <w:rFonts w:hint="eastAsia" w:eastAsia="宋体"/>
                      <w:lang w:eastAsia="zh-CN"/>
                    </w:rPr>
                  </w:pPr>
                  <w:r>
                    <w:rPr>
                      <w:rFonts w:hint="eastAsia"/>
                      <w:lang w:eastAsia="zh-CN"/>
                    </w:rPr>
                    <w:t>建立事故风险紧急监测系统、报警系统等</w:t>
                  </w:r>
                </w:p>
              </w:tc>
              <w:tc>
                <w:tcPr>
                  <w:tcW w:w="1238" w:type="pct"/>
                  <w:vMerge w:val="continue"/>
                  <w:vAlign w:val="center"/>
                </w:tcPr>
                <w:p w14:paraId="1FEBCB59">
                  <w:pPr>
                    <w:pStyle w:val="1111"/>
                    <w:rPr>
                      <w:rFonts w:hint="eastAsia"/>
                    </w:rPr>
                  </w:pPr>
                </w:p>
              </w:tc>
              <w:tc>
                <w:tcPr>
                  <w:tcW w:w="451" w:type="pct"/>
                  <w:vMerge w:val="continue"/>
                  <w:vAlign w:val="center"/>
                </w:tcPr>
                <w:p w14:paraId="051A9345">
                  <w:pPr>
                    <w:pStyle w:val="1111"/>
                    <w:rPr>
                      <w:rFonts w:hint="eastAsia"/>
                      <w:lang w:val="en-US" w:eastAsia="zh-CN"/>
                    </w:rPr>
                  </w:pPr>
                </w:p>
              </w:tc>
              <w:tc>
                <w:tcPr>
                  <w:tcW w:w="492" w:type="pct"/>
                  <w:vMerge w:val="continue"/>
                  <w:vAlign w:val="center"/>
                </w:tcPr>
                <w:p w14:paraId="5475D84A">
                  <w:pPr>
                    <w:pStyle w:val="1111"/>
                    <w:rPr>
                      <w:rFonts w:hint="eastAsia"/>
                      <w:lang w:val="en-US" w:eastAsia="zh-CN"/>
                    </w:rPr>
                  </w:pPr>
                </w:p>
              </w:tc>
              <w:tc>
                <w:tcPr>
                  <w:tcW w:w="415" w:type="pct"/>
                  <w:vMerge w:val="continue"/>
                  <w:vAlign w:val="center"/>
                </w:tcPr>
                <w:p w14:paraId="0C072886">
                  <w:pPr>
                    <w:pStyle w:val="1111"/>
                  </w:pPr>
                </w:p>
              </w:tc>
            </w:tr>
            <w:tr w14:paraId="262754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824" w:type="pct"/>
                  <w:gridSpan w:val="2"/>
                  <w:vMerge w:val="continue"/>
                  <w:vAlign w:val="center"/>
                </w:tcPr>
                <w:p w14:paraId="588012F9">
                  <w:pPr>
                    <w:pStyle w:val="1111"/>
                    <w:rPr>
                      <w:rFonts w:hint="eastAsia"/>
                    </w:rPr>
                  </w:pPr>
                </w:p>
              </w:tc>
              <w:tc>
                <w:tcPr>
                  <w:tcW w:w="1577" w:type="pct"/>
                  <w:gridSpan w:val="2"/>
                  <w:vAlign w:val="center"/>
                </w:tcPr>
                <w:p w14:paraId="636AB341">
                  <w:pPr>
                    <w:pStyle w:val="1111"/>
                    <w:rPr>
                      <w:rFonts w:hint="eastAsia" w:eastAsia="宋体"/>
                      <w:lang w:eastAsia="zh-CN"/>
                    </w:rPr>
                  </w:pPr>
                  <w:r>
                    <w:rPr>
                      <w:rFonts w:hint="eastAsia"/>
                      <w:lang w:eastAsia="zh-CN"/>
                    </w:rPr>
                    <w:t>应急预案</w:t>
                  </w:r>
                </w:p>
              </w:tc>
              <w:tc>
                <w:tcPr>
                  <w:tcW w:w="1238" w:type="pct"/>
                  <w:vMerge w:val="continue"/>
                  <w:vAlign w:val="center"/>
                </w:tcPr>
                <w:p w14:paraId="0785109D">
                  <w:pPr>
                    <w:pStyle w:val="1111"/>
                    <w:rPr>
                      <w:rFonts w:hint="eastAsia"/>
                    </w:rPr>
                  </w:pPr>
                </w:p>
              </w:tc>
              <w:tc>
                <w:tcPr>
                  <w:tcW w:w="451" w:type="pct"/>
                  <w:vMerge w:val="continue"/>
                  <w:vAlign w:val="center"/>
                </w:tcPr>
                <w:p w14:paraId="27A71336">
                  <w:pPr>
                    <w:pStyle w:val="1111"/>
                    <w:rPr>
                      <w:rFonts w:hint="eastAsia"/>
                      <w:lang w:val="en-US" w:eastAsia="zh-CN"/>
                    </w:rPr>
                  </w:pPr>
                </w:p>
              </w:tc>
              <w:tc>
                <w:tcPr>
                  <w:tcW w:w="492" w:type="pct"/>
                  <w:vMerge w:val="continue"/>
                  <w:vAlign w:val="center"/>
                </w:tcPr>
                <w:p w14:paraId="318C4684">
                  <w:pPr>
                    <w:pStyle w:val="1111"/>
                    <w:rPr>
                      <w:rFonts w:hint="eastAsia"/>
                      <w:lang w:val="en-US" w:eastAsia="zh-CN"/>
                    </w:rPr>
                  </w:pPr>
                </w:p>
              </w:tc>
              <w:tc>
                <w:tcPr>
                  <w:tcW w:w="415" w:type="pct"/>
                  <w:vMerge w:val="continue"/>
                  <w:vAlign w:val="center"/>
                </w:tcPr>
                <w:p w14:paraId="1493ECE9">
                  <w:pPr>
                    <w:pStyle w:val="1111"/>
                  </w:pPr>
                </w:p>
              </w:tc>
            </w:tr>
            <w:tr w14:paraId="0BC2C2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639" w:type="pct"/>
                  <w:gridSpan w:val="5"/>
                  <w:vAlign w:val="center"/>
                </w:tcPr>
                <w:p w14:paraId="3724C788">
                  <w:pPr>
                    <w:pStyle w:val="1111"/>
                  </w:pPr>
                  <w:r>
                    <w:t>环保投资合计</w:t>
                  </w:r>
                </w:p>
              </w:tc>
              <w:tc>
                <w:tcPr>
                  <w:tcW w:w="451" w:type="pct"/>
                  <w:vAlign w:val="center"/>
                </w:tcPr>
                <w:p w14:paraId="3251BEDC">
                  <w:pPr>
                    <w:pStyle w:val="1111"/>
                    <w:rPr>
                      <w:rFonts w:hint="default" w:eastAsia="宋体"/>
                      <w:lang w:val="en-US" w:eastAsia="zh-CN"/>
                    </w:rPr>
                  </w:pPr>
                  <w:r>
                    <w:rPr>
                      <w:rFonts w:hint="eastAsia"/>
                      <w:lang w:val="en-US" w:eastAsia="zh-CN"/>
                    </w:rPr>
                    <w:t>50</w:t>
                  </w:r>
                </w:p>
              </w:tc>
              <w:tc>
                <w:tcPr>
                  <w:tcW w:w="492" w:type="pct"/>
                  <w:vAlign w:val="center"/>
                </w:tcPr>
                <w:p w14:paraId="46B933FD">
                  <w:pPr>
                    <w:pStyle w:val="1111"/>
                    <w:rPr>
                      <w:rFonts w:hint="default"/>
                      <w:lang w:val="en-US" w:eastAsia="zh-CN"/>
                    </w:rPr>
                  </w:pPr>
                  <w:r>
                    <w:rPr>
                      <w:rFonts w:hint="eastAsia"/>
                      <w:lang w:val="en-US" w:eastAsia="zh-CN"/>
                    </w:rPr>
                    <w:t>40</w:t>
                  </w:r>
                </w:p>
              </w:tc>
              <w:tc>
                <w:tcPr>
                  <w:tcW w:w="415" w:type="pct"/>
                  <w:vMerge w:val="continue"/>
                  <w:vAlign w:val="center"/>
                </w:tcPr>
                <w:p w14:paraId="601BDDAC">
                  <w:pPr>
                    <w:pStyle w:val="1111"/>
                  </w:pPr>
                </w:p>
              </w:tc>
            </w:tr>
          </w:tbl>
          <w:p w14:paraId="151186D6">
            <w:pPr>
              <w:pStyle w:val="512"/>
              <w:bidi w:val="0"/>
              <w:rPr>
                <w:rFonts w:hint="eastAsia"/>
              </w:rPr>
            </w:pPr>
          </w:p>
        </w:tc>
      </w:tr>
    </w:tbl>
    <w:p w14:paraId="4E8F3EB2">
      <w:pPr>
        <w:adjustRightInd w:val="0"/>
        <w:snapToGrid w:val="0"/>
        <w:spacing w:line="360" w:lineRule="auto"/>
        <w:rPr>
          <w:b/>
          <w:kern w:val="0"/>
          <w:sz w:val="28"/>
          <w:szCs w:val="28"/>
        </w:rPr>
        <w:sectPr>
          <w:pgSz w:w="11907" w:h="16840"/>
          <w:pgMar w:top="1440" w:right="1800" w:bottom="1440" w:left="1800" w:header="851" w:footer="851" w:gutter="0"/>
          <w:pgBorders>
            <w:top w:val="none" w:sz="0" w:space="0"/>
            <w:left w:val="none" w:sz="0" w:space="0"/>
            <w:bottom w:val="none" w:sz="0" w:space="0"/>
            <w:right w:val="none" w:sz="0" w:space="0"/>
          </w:pgBorders>
          <w:cols w:space="720" w:num="1"/>
          <w:docGrid w:linePitch="312" w:charSpace="0"/>
        </w:sectPr>
      </w:pPr>
    </w:p>
    <w:p w14:paraId="3FD7D305">
      <w:pPr>
        <w:pStyle w:val="71"/>
        <w:outlineLvl w:val="0"/>
        <w:rPr>
          <w:rFonts w:ascii="Times New Roman" w:hAnsi="Times New Roman"/>
          <w:snapToGrid w:val="0"/>
          <w:sz w:val="30"/>
          <w:szCs w:val="30"/>
        </w:rPr>
      </w:pPr>
      <w:r>
        <w:rPr>
          <w:rFonts w:ascii="Times New Roman" w:hAnsi="Times New Roman"/>
          <w:snapToGrid w:val="0"/>
          <w:sz w:val="30"/>
          <w:szCs w:val="30"/>
        </w:rPr>
        <w:t>五</w:t>
      </w:r>
      <w:bookmarkStart w:id="8" w:name="_Hlk54167917"/>
      <w:r>
        <w:rPr>
          <w:rFonts w:hint="eastAsia" w:ascii="Times New Roman" w:hAnsi="Times New Roman" w:eastAsia="微软雅黑"/>
          <w:snapToGrid w:val="0"/>
          <w:sz w:val="30"/>
          <w:szCs w:val="30"/>
          <w:lang w:eastAsia="zh-CN"/>
        </w:rPr>
        <w:t>、</w:t>
      </w:r>
      <w:r>
        <w:rPr>
          <w:rFonts w:ascii="Times New Roman" w:hAnsi="Times New Roman"/>
          <w:snapToGrid w:val="0"/>
          <w:sz w:val="30"/>
          <w:szCs w:val="30"/>
        </w:rPr>
        <w:t>环境保护措施监督检查清单</w:t>
      </w:r>
      <w:bookmarkEnd w:id="8"/>
    </w:p>
    <w:tbl>
      <w:tblPr>
        <w:tblStyle w:val="77"/>
        <w:tblW w:w="905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9"/>
        <w:gridCol w:w="661"/>
        <w:gridCol w:w="1559"/>
        <w:gridCol w:w="1701"/>
        <w:gridCol w:w="1600"/>
        <w:gridCol w:w="2640"/>
      </w:tblGrid>
      <w:tr w14:paraId="1642A9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50" w:type="dxa"/>
            <w:gridSpan w:val="2"/>
            <w:tcBorders>
              <w:tl2br w:val="single" w:color="auto" w:sz="4" w:space="0"/>
            </w:tcBorders>
          </w:tcPr>
          <w:p w14:paraId="45C097B8">
            <w:pPr>
              <w:pStyle w:val="1111"/>
              <w:bidi w:val="0"/>
            </w:pPr>
            <w:r>
              <w:t>内容</w:t>
            </w:r>
          </w:p>
          <w:p w14:paraId="6B2C47C8">
            <w:pPr>
              <w:pStyle w:val="1111"/>
              <w:bidi w:val="0"/>
            </w:pPr>
            <w:r>
              <w:t>要素</w:t>
            </w:r>
          </w:p>
        </w:tc>
        <w:tc>
          <w:tcPr>
            <w:tcW w:w="1559" w:type="dxa"/>
            <w:vAlign w:val="center"/>
          </w:tcPr>
          <w:p w14:paraId="4E4AF436">
            <w:pPr>
              <w:pStyle w:val="1111"/>
              <w:bidi w:val="0"/>
            </w:pPr>
            <w:r>
              <w:t>排放口（编号</w:t>
            </w:r>
            <w:r>
              <w:rPr>
                <w:rFonts w:hint="eastAsia"/>
                <w:lang w:eastAsia="zh-CN"/>
              </w:rPr>
              <w:t>、</w:t>
            </w:r>
            <w:r>
              <w:t>名称）/污染源</w:t>
            </w:r>
          </w:p>
        </w:tc>
        <w:tc>
          <w:tcPr>
            <w:tcW w:w="1701" w:type="dxa"/>
            <w:vAlign w:val="center"/>
          </w:tcPr>
          <w:p w14:paraId="2FF40C9C">
            <w:pPr>
              <w:pStyle w:val="1111"/>
              <w:bidi w:val="0"/>
            </w:pPr>
            <w:r>
              <w:t>污染物项目</w:t>
            </w:r>
          </w:p>
        </w:tc>
        <w:tc>
          <w:tcPr>
            <w:tcW w:w="1600" w:type="dxa"/>
            <w:vAlign w:val="center"/>
          </w:tcPr>
          <w:p w14:paraId="38AB33B8">
            <w:pPr>
              <w:pStyle w:val="1111"/>
              <w:bidi w:val="0"/>
            </w:pPr>
            <w:r>
              <w:t>环境保护措施</w:t>
            </w:r>
          </w:p>
        </w:tc>
        <w:tc>
          <w:tcPr>
            <w:tcW w:w="2640" w:type="dxa"/>
            <w:vAlign w:val="center"/>
          </w:tcPr>
          <w:p w14:paraId="37D58792">
            <w:pPr>
              <w:pStyle w:val="1111"/>
              <w:bidi w:val="0"/>
            </w:pPr>
            <w:r>
              <w:t>执行标准</w:t>
            </w:r>
          </w:p>
        </w:tc>
      </w:tr>
      <w:tr w14:paraId="484E62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889" w:type="dxa"/>
            <w:vMerge w:val="restart"/>
            <w:vAlign w:val="center"/>
          </w:tcPr>
          <w:p w14:paraId="3B0E9D77">
            <w:pPr>
              <w:pStyle w:val="1111"/>
              <w:bidi w:val="0"/>
            </w:pPr>
            <w:r>
              <w:t>大气环境</w:t>
            </w:r>
          </w:p>
        </w:tc>
        <w:tc>
          <w:tcPr>
            <w:tcW w:w="661" w:type="dxa"/>
            <w:vMerge w:val="restart"/>
            <w:vAlign w:val="center"/>
          </w:tcPr>
          <w:p w14:paraId="1238014C">
            <w:pPr>
              <w:pStyle w:val="1111"/>
              <w:bidi w:val="0"/>
            </w:pPr>
            <w:r>
              <w:t>有组织</w:t>
            </w:r>
          </w:p>
        </w:tc>
        <w:tc>
          <w:tcPr>
            <w:tcW w:w="1559" w:type="dxa"/>
            <w:vAlign w:val="center"/>
          </w:tcPr>
          <w:p w14:paraId="2699656C">
            <w:pPr>
              <w:pStyle w:val="1111"/>
              <w:bidi w:val="0"/>
            </w:pPr>
            <w:r>
              <w:rPr>
                <w:rFonts w:hint="eastAsia"/>
                <w:lang w:val="en-US" w:eastAsia="zh-CN"/>
              </w:rPr>
              <w:t>DA00</w:t>
            </w:r>
            <w:r>
              <w:t>1</w:t>
            </w:r>
          </w:p>
        </w:tc>
        <w:tc>
          <w:tcPr>
            <w:tcW w:w="1701" w:type="dxa"/>
            <w:vMerge w:val="restart"/>
            <w:vAlign w:val="center"/>
          </w:tcPr>
          <w:p w14:paraId="64F0028B">
            <w:pPr>
              <w:pStyle w:val="1111"/>
              <w:bidi w:val="0"/>
              <w:rPr>
                <w:rFonts w:hint="default"/>
                <w:lang w:val="en-US" w:eastAsia="zh-CN"/>
              </w:rPr>
            </w:pPr>
            <w:r>
              <w:rPr>
                <w:rFonts w:hint="eastAsia"/>
              </w:rPr>
              <w:t>非甲烷总烃</w:t>
            </w:r>
            <w:r>
              <w:rPr>
                <w:rFonts w:hint="eastAsia"/>
                <w:lang w:eastAsia="zh-CN"/>
              </w:rPr>
              <w:t>、</w:t>
            </w:r>
            <w:r>
              <w:rPr>
                <w:rFonts w:hint="eastAsia"/>
                <w:lang w:val="en-US" w:eastAsia="zh-CN"/>
              </w:rPr>
              <w:t>臭气</w:t>
            </w:r>
          </w:p>
        </w:tc>
        <w:tc>
          <w:tcPr>
            <w:tcW w:w="1600" w:type="dxa"/>
            <w:vMerge w:val="restart"/>
            <w:tcBorders>
              <w:top w:val="single" w:color="auto" w:sz="4" w:space="0"/>
            </w:tcBorders>
            <w:vAlign w:val="center"/>
          </w:tcPr>
          <w:p w14:paraId="1E510A34">
            <w:pPr>
              <w:pStyle w:val="1111"/>
              <w:bidi w:val="0"/>
            </w:pPr>
            <w:r>
              <w:t>负压收集+</w:t>
            </w:r>
            <w:r>
              <w:rPr>
                <w:rFonts w:hint="eastAsia"/>
              </w:rPr>
              <w:t>一级</w:t>
            </w:r>
            <w:r>
              <w:rPr>
                <w:rFonts w:hint="eastAsia"/>
                <w:lang w:eastAsia="zh-CN"/>
              </w:rPr>
              <w:t>碱</w:t>
            </w:r>
            <w:r>
              <w:rPr>
                <w:rFonts w:hint="eastAsia"/>
              </w:rPr>
              <w:t>吸收+一级</w:t>
            </w:r>
            <w:r>
              <w:t>活性炭吸附装置</w:t>
            </w:r>
          </w:p>
        </w:tc>
        <w:tc>
          <w:tcPr>
            <w:tcW w:w="2640" w:type="dxa"/>
            <w:vMerge w:val="restart"/>
            <w:tcBorders>
              <w:top w:val="single" w:color="auto" w:sz="4" w:space="0"/>
            </w:tcBorders>
            <w:vAlign w:val="center"/>
          </w:tcPr>
          <w:p w14:paraId="361A85F2">
            <w:pPr>
              <w:pStyle w:val="1111"/>
              <w:bidi w:val="0"/>
            </w:pPr>
            <w:r>
              <w:t>非甲烷总烃排放</w:t>
            </w:r>
            <w:r>
              <w:rPr>
                <w:rFonts w:hint="eastAsia"/>
              </w:rPr>
              <w:t>执行</w:t>
            </w:r>
            <w:r>
              <w:t>《大气污染物综合排放标准》</w:t>
            </w:r>
            <w:r>
              <w:rPr>
                <w:rFonts w:hint="eastAsia"/>
                <w:lang w:eastAsia="zh-CN"/>
              </w:rPr>
              <w:t>（</w:t>
            </w:r>
            <w:r>
              <w:t>DB32/4041-2021</w:t>
            </w:r>
            <w:r>
              <w:rPr>
                <w:rFonts w:hint="eastAsia"/>
                <w:lang w:eastAsia="zh-CN"/>
              </w:rPr>
              <w:t>）</w:t>
            </w:r>
            <w:r>
              <w:rPr>
                <w:rFonts w:hint="eastAsia"/>
              </w:rPr>
              <w:t>，</w:t>
            </w:r>
            <w:r>
              <w:t>臭气浓度排放执行《恶臭污染物排放标准》表1二级新改扩建标准及表2标准</w:t>
            </w:r>
          </w:p>
        </w:tc>
      </w:tr>
      <w:tr w14:paraId="373613D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889" w:type="dxa"/>
            <w:vMerge w:val="continue"/>
            <w:vAlign w:val="center"/>
          </w:tcPr>
          <w:p w14:paraId="6C679653">
            <w:pPr>
              <w:pStyle w:val="1111"/>
              <w:bidi w:val="0"/>
            </w:pPr>
          </w:p>
        </w:tc>
        <w:tc>
          <w:tcPr>
            <w:tcW w:w="661" w:type="dxa"/>
            <w:vMerge w:val="continue"/>
            <w:vAlign w:val="center"/>
          </w:tcPr>
          <w:p w14:paraId="5996E27D">
            <w:pPr>
              <w:pStyle w:val="1111"/>
              <w:bidi w:val="0"/>
            </w:pPr>
          </w:p>
        </w:tc>
        <w:tc>
          <w:tcPr>
            <w:tcW w:w="1559" w:type="dxa"/>
            <w:vAlign w:val="center"/>
          </w:tcPr>
          <w:p w14:paraId="040A4707">
            <w:pPr>
              <w:pStyle w:val="1111"/>
              <w:bidi w:val="0"/>
              <w:rPr>
                <w:rFonts w:hint="default"/>
                <w:lang w:val="en-US" w:eastAsia="zh-CN"/>
              </w:rPr>
            </w:pPr>
            <w:r>
              <w:rPr>
                <w:rFonts w:hint="eastAsia"/>
                <w:lang w:val="en-US" w:eastAsia="zh-CN"/>
              </w:rPr>
              <w:t>DA002</w:t>
            </w:r>
          </w:p>
        </w:tc>
        <w:tc>
          <w:tcPr>
            <w:tcW w:w="1701" w:type="dxa"/>
            <w:vMerge w:val="continue"/>
            <w:vAlign w:val="center"/>
          </w:tcPr>
          <w:p w14:paraId="2CA7C816">
            <w:pPr>
              <w:pStyle w:val="1111"/>
              <w:bidi w:val="0"/>
              <w:rPr>
                <w:rFonts w:hint="eastAsia"/>
                <w:lang w:val="en-US" w:eastAsia="zh-CN"/>
              </w:rPr>
            </w:pPr>
          </w:p>
        </w:tc>
        <w:tc>
          <w:tcPr>
            <w:tcW w:w="1600" w:type="dxa"/>
            <w:vMerge w:val="continue"/>
            <w:vAlign w:val="center"/>
          </w:tcPr>
          <w:p w14:paraId="0C652190">
            <w:pPr>
              <w:pStyle w:val="1111"/>
              <w:bidi w:val="0"/>
              <w:rPr>
                <w:rFonts w:hint="eastAsia"/>
                <w:lang w:val="en-US" w:eastAsia="zh-CN"/>
              </w:rPr>
            </w:pPr>
          </w:p>
        </w:tc>
        <w:tc>
          <w:tcPr>
            <w:tcW w:w="2640" w:type="dxa"/>
            <w:vMerge w:val="continue"/>
            <w:vAlign w:val="center"/>
          </w:tcPr>
          <w:p w14:paraId="692CA983">
            <w:pPr>
              <w:pStyle w:val="1111"/>
              <w:bidi w:val="0"/>
              <w:rPr>
                <w:rFonts w:hint="eastAsia"/>
                <w:lang w:val="en-US" w:eastAsia="zh-CN"/>
              </w:rPr>
            </w:pPr>
          </w:p>
        </w:tc>
      </w:tr>
      <w:tr w14:paraId="23890C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889" w:type="dxa"/>
            <w:vMerge w:val="continue"/>
            <w:vAlign w:val="center"/>
          </w:tcPr>
          <w:p w14:paraId="3C4BD8BD">
            <w:pPr>
              <w:pStyle w:val="1111"/>
              <w:bidi w:val="0"/>
              <w:rPr>
                <w:rFonts w:hint="eastAsia"/>
                <w:lang w:val="en-US" w:eastAsia="zh-CN"/>
              </w:rPr>
            </w:pPr>
          </w:p>
        </w:tc>
        <w:tc>
          <w:tcPr>
            <w:tcW w:w="661" w:type="dxa"/>
            <w:vMerge w:val="continue"/>
            <w:vAlign w:val="center"/>
          </w:tcPr>
          <w:p w14:paraId="1D7C2265">
            <w:pPr>
              <w:pStyle w:val="1111"/>
              <w:bidi w:val="0"/>
              <w:rPr>
                <w:rFonts w:hint="eastAsia"/>
                <w:lang w:val="en-US" w:eastAsia="zh-CN"/>
              </w:rPr>
            </w:pPr>
          </w:p>
        </w:tc>
        <w:tc>
          <w:tcPr>
            <w:tcW w:w="1559" w:type="dxa"/>
            <w:vAlign w:val="center"/>
          </w:tcPr>
          <w:p w14:paraId="0D68C0C1">
            <w:pPr>
              <w:pStyle w:val="1111"/>
              <w:bidi w:val="0"/>
              <w:rPr>
                <w:rFonts w:hint="default"/>
                <w:lang w:val="en-US" w:eastAsia="zh-CN"/>
              </w:rPr>
            </w:pPr>
            <w:r>
              <w:rPr>
                <w:rFonts w:hint="eastAsia"/>
                <w:lang w:val="en-US" w:eastAsia="zh-CN"/>
              </w:rPr>
              <w:t>DA003</w:t>
            </w:r>
          </w:p>
        </w:tc>
        <w:tc>
          <w:tcPr>
            <w:tcW w:w="1701" w:type="dxa"/>
            <w:vMerge w:val="continue"/>
            <w:vAlign w:val="center"/>
          </w:tcPr>
          <w:p w14:paraId="4B2736CE">
            <w:pPr>
              <w:pStyle w:val="1111"/>
              <w:bidi w:val="0"/>
              <w:rPr>
                <w:rFonts w:hint="eastAsia"/>
                <w:lang w:val="en-US" w:eastAsia="zh-CN"/>
              </w:rPr>
            </w:pPr>
          </w:p>
        </w:tc>
        <w:tc>
          <w:tcPr>
            <w:tcW w:w="1600" w:type="dxa"/>
            <w:vMerge w:val="continue"/>
            <w:vAlign w:val="center"/>
          </w:tcPr>
          <w:p w14:paraId="0C2DE780">
            <w:pPr>
              <w:pStyle w:val="1111"/>
              <w:bidi w:val="0"/>
              <w:rPr>
                <w:rFonts w:hint="eastAsia"/>
                <w:lang w:val="en-US" w:eastAsia="zh-CN"/>
              </w:rPr>
            </w:pPr>
          </w:p>
        </w:tc>
        <w:tc>
          <w:tcPr>
            <w:tcW w:w="2640" w:type="dxa"/>
            <w:vMerge w:val="continue"/>
            <w:vAlign w:val="center"/>
          </w:tcPr>
          <w:p w14:paraId="14DEF4D4">
            <w:pPr>
              <w:pStyle w:val="1111"/>
              <w:bidi w:val="0"/>
              <w:rPr>
                <w:rFonts w:hint="eastAsia"/>
                <w:lang w:val="en-US" w:eastAsia="zh-CN"/>
              </w:rPr>
            </w:pPr>
          </w:p>
        </w:tc>
      </w:tr>
      <w:tr w14:paraId="623118F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889" w:type="dxa"/>
            <w:vMerge w:val="continue"/>
            <w:vAlign w:val="center"/>
          </w:tcPr>
          <w:p w14:paraId="59A9C4DC">
            <w:pPr>
              <w:pStyle w:val="1111"/>
              <w:bidi w:val="0"/>
            </w:pPr>
          </w:p>
        </w:tc>
        <w:tc>
          <w:tcPr>
            <w:tcW w:w="661" w:type="dxa"/>
            <w:vMerge w:val="restart"/>
            <w:vAlign w:val="center"/>
          </w:tcPr>
          <w:p w14:paraId="3D81FDE2">
            <w:pPr>
              <w:pStyle w:val="1111"/>
              <w:bidi w:val="0"/>
            </w:pPr>
            <w:r>
              <w:t>无组织</w:t>
            </w:r>
          </w:p>
        </w:tc>
        <w:tc>
          <w:tcPr>
            <w:tcW w:w="1559" w:type="dxa"/>
            <w:vAlign w:val="center"/>
          </w:tcPr>
          <w:p w14:paraId="265ADDFC">
            <w:pPr>
              <w:pStyle w:val="1111"/>
              <w:bidi w:val="0"/>
              <w:rPr>
                <w:rFonts w:hint="default" w:eastAsia="宋体"/>
                <w:lang w:val="en-US" w:eastAsia="zh-CN"/>
              </w:rPr>
            </w:pPr>
            <w:r>
              <w:rPr>
                <w:rFonts w:hint="eastAsia"/>
                <w:lang w:val="en-US" w:eastAsia="zh-CN"/>
              </w:rPr>
              <w:t>1#存储间</w:t>
            </w:r>
          </w:p>
        </w:tc>
        <w:tc>
          <w:tcPr>
            <w:tcW w:w="1701" w:type="dxa"/>
            <w:vMerge w:val="restart"/>
            <w:vAlign w:val="center"/>
          </w:tcPr>
          <w:p w14:paraId="622D6B65">
            <w:pPr>
              <w:pStyle w:val="1111"/>
              <w:bidi w:val="0"/>
            </w:pPr>
            <w:r>
              <w:rPr>
                <w:rFonts w:hint="eastAsia"/>
              </w:rPr>
              <w:t>非甲烷总烃</w:t>
            </w:r>
            <w:r>
              <w:rPr>
                <w:rFonts w:hint="eastAsia"/>
                <w:lang w:eastAsia="zh-CN"/>
              </w:rPr>
              <w:t>、</w:t>
            </w:r>
            <w:r>
              <w:rPr>
                <w:rFonts w:hint="eastAsia"/>
                <w:lang w:val="en-US" w:eastAsia="zh-CN"/>
              </w:rPr>
              <w:t>臭气</w:t>
            </w:r>
          </w:p>
        </w:tc>
        <w:tc>
          <w:tcPr>
            <w:tcW w:w="1600" w:type="dxa"/>
            <w:vMerge w:val="restart"/>
            <w:vAlign w:val="center"/>
          </w:tcPr>
          <w:p w14:paraId="70208D81">
            <w:pPr>
              <w:pStyle w:val="1111"/>
              <w:bidi w:val="0"/>
            </w:pPr>
            <w:r>
              <w:rPr>
                <w:rFonts w:hint="eastAsia"/>
              </w:rPr>
              <w:t>-</w:t>
            </w:r>
          </w:p>
        </w:tc>
        <w:tc>
          <w:tcPr>
            <w:tcW w:w="2640" w:type="dxa"/>
            <w:vMerge w:val="continue"/>
            <w:vAlign w:val="center"/>
          </w:tcPr>
          <w:p w14:paraId="15B4EE43">
            <w:pPr>
              <w:pStyle w:val="1111"/>
              <w:bidi w:val="0"/>
            </w:pPr>
          </w:p>
        </w:tc>
      </w:tr>
      <w:tr w14:paraId="66DFE8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889" w:type="dxa"/>
            <w:vMerge w:val="continue"/>
            <w:vAlign w:val="center"/>
          </w:tcPr>
          <w:p w14:paraId="6763D0E8">
            <w:pPr>
              <w:pStyle w:val="1111"/>
              <w:bidi w:val="0"/>
            </w:pPr>
          </w:p>
        </w:tc>
        <w:tc>
          <w:tcPr>
            <w:tcW w:w="661" w:type="dxa"/>
            <w:vMerge w:val="continue"/>
            <w:vAlign w:val="center"/>
          </w:tcPr>
          <w:p w14:paraId="5CB0A1D0">
            <w:pPr>
              <w:pStyle w:val="1111"/>
              <w:bidi w:val="0"/>
            </w:pPr>
          </w:p>
        </w:tc>
        <w:tc>
          <w:tcPr>
            <w:tcW w:w="1559" w:type="dxa"/>
            <w:vAlign w:val="center"/>
          </w:tcPr>
          <w:p w14:paraId="49CD1454">
            <w:pPr>
              <w:pStyle w:val="1111"/>
              <w:bidi w:val="0"/>
              <w:rPr>
                <w:rFonts w:hint="eastAsia" w:eastAsia="宋体"/>
                <w:lang w:val="en-US" w:eastAsia="zh-CN"/>
              </w:rPr>
            </w:pPr>
            <w:r>
              <w:rPr>
                <w:rFonts w:hint="eastAsia"/>
                <w:lang w:val="en-US" w:eastAsia="zh-CN"/>
              </w:rPr>
              <w:t>2#存储间</w:t>
            </w:r>
          </w:p>
        </w:tc>
        <w:tc>
          <w:tcPr>
            <w:tcW w:w="1701" w:type="dxa"/>
            <w:vMerge w:val="continue"/>
            <w:vAlign w:val="center"/>
          </w:tcPr>
          <w:p w14:paraId="67CEA0A2">
            <w:pPr>
              <w:pStyle w:val="1111"/>
              <w:bidi w:val="0"/>
            </w:pPr>
          </w:p>
        </w:tc>
        <w:tc>
          <w:tcPr>
            <w:tcW w:w="1600" w:type="dxa"/>
            <w:vMerge w:val="continue"/>
            <w:vAlign w:val="center"/>
          </w:tcPr>
          <w:p w14:paraId="47D37068">
            <w:pPr>
              <w:pStyle w:val="1111"/>
              <w:bidi w:val="0"/>
            </w:pPr>
          </w:p>
        </w:tc>
        <w:tc>
          <w:tcPr>
            <w:tcW w:w="2640" w:type="dxa"/>
            <w:vMerge w:val="continue"/>
            <w:vAlign w:val="center"/>
          </w:tcPr>
          <w:p w14:paraId="7F8CCF6C">
            <w:pPr>
              <w:pStyle w:val="1111"/>
              <w:bidi w:val="0"/>
            </w:pPr>
          </w:p>
        </w:tc>
      </w:tr>
      <w:tr w14:paraId="55F04F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889" w:type="dxa"/>
            <w:vMerge w:val="continue"/>
            <w:vAlign w:val="center"/>
          </w:tcPr>
          <w:p w14:paraId="1AD9F599">
            <w:pPr>
              <w:pStyle w:val="1111"/>
              <w:bidi w:val="0"/>
            </w:pPr>
          </w:p>
        </w:tc>
        <w:tc>
          <w:tcPr>
            <w:tcW w:w="661" w:type="dxa"/>
            <w:vMerge w:val="continue"/>
            <w:vAlign w:val="center"/>
          </w:tcPr>
          <w:p w14:paraId="40333B08">
            <w:pPr>
              <w:pStyle w:val="1111"/>
              <w:bidi w:val="0"/>
            </w:pPr>
          </w:p>
        </w:tc>
        <w:tc>
          <w:tcPr>
            <w:tcW w:w="1559" w:type="dxa"/>
            <w:vAlign w:val="center"/>
          </w:tcPr>
          <w:p w14:paraId="08D17954">
            <w:pPr>
              <w:pStyle w:val="1111"/>
              <w:bidi w:val="0"/>
              <w:rPr>
                <w:rFonts w:hint="eastAsia" w:eastAsia="宋体"/>
                <w:lang w:val="en-US" w:eastAsia="zh-CN"/>
              </w:rPr>
            </w:pPr>
            <w:r>
              <w:rPr>
                <w:rFonts w:hint="eastAsia"/>
                <w:lang w:val="en-US" w:eastAsia="zh-CN"/>
              </w:rPr>
              <w:t>3#存储间</w:t>
            </w:r>
          </w:p>
        </w:tc>
        <w:tc>
          <w:tcPr>
            <w:tcW w:w="1701" w:type="dxa"/>
            <w:vMerge w:val="continue"/>
            <w:vAlign w:val="center"/>
          </w:tcPr>
          <w:p w14:paraId="742DB433">
            <w:pPr>
              <w:pStyle w:val="1111"/>
              <w:bidi w:val="0"/>
            </w:pPr>
          </w:p>
        </w:tc>
        <w:tc>
          <w:tcPr>
            <w:tcW w:w="1600" w:type="dxa"/>
            <w:vMerge w:val="continue"/>
            <w:vAlign w:val="center"/>
          </w:tcPr>
          <w:p w14:paraId="79F53CD4">
            <w:pPr>
              <w:pStyle w:val="1111"/>
              <w:bidi w:val="0"/>
            </w:pPr>
          </w:p>
        </w:tc>
        <w:tc>
          <w:tcPr>
            <w:tcW w:w="2640" w:type="dxa"/>
            <w:vMerge w:val="continue"/>
            <w:vAlign w:val="center"/>
          </w:tcPr>
          <w:p w14:paraId="192D9DE0">
            <w:pPr>
              <w:pStyle w:val="1111"/>
              <w:bidi w:val="0"/>
            </w:pPr>
          </w:p>
        </w:tc>
      </w:tr>
      <w:tr w14:paraId="7D9497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50" w:type="dxa"/>
            <w:gridSpan w:val="2"/>
            <w:vAlign w:val="center"/>
          </w:tcPr>
          <w:p w14:paraId="45C3D948">
            <w:pPr>
              <w:pStyle w:val="1111"/>
              <w:bidi w:val="0"/>
            </w:pPr>
            <w:r>
              <w:t>地表水环境</w:t>
            </w:r>
          </w:p>
        </w:tc>
        <w:tc>
          <w:tcPr>
            <w:tcW w:w="1559" w:type="dxa"/>
            <w:vAlign w:val="center"/>
          </w:tcPr>
          <w:p w14:paraId="62D9DB2C">
            <w:pPr>
              <w:pStyle w:val="1111"/>
              <w:bidi w:val="0"/>
            </w:pPr>
            <w:r>
              <w:rPr>
                <w:rFonts w:hint="eastAsia"/>
              </w:rPr>
              <w:t>污水排口</w:t>
            </w:r>
            <w:r>
              <w:t>DW001</w:t>
            </w:r>
          </w:p>
          <w:p w14:paraId="6F81EA92">
            <w:pPr>
              <w:pStyle w:val="1111"/>
              <w:bidi w:val="0"/>
            </w:pPr>
            <w:r>
              <w:t>（依托中华药港污水处理站）</w:t>
            </w:r>
          </w:p>
        </w:tc>
        <w:tc>
          <w:tcPr>
            <w:tcW w:w="1701" w:type="dxa"/>
            <w:vAlign w:val="center"/>
          </w:tcPr>
          <w:p w14:paraId="7A6DF834">
            <w:pPr>
              <w:pStyle w:val="1111"/>
              <w:bidi w:val="0"/>
            </w:pPr>
            <w:r>
              <w:t>COD</w:t>
            </w:r>
            <w:r>
              <w:rPr>
                <w:rFonts w:hint="eastAsia"/>
              </w:rPr>
              <w:t>、</w:t>
            </w:r>
            <w:r>
              <w:t>SS</w:t>
            </w:r>
            <w:r>
              <w:rPr>
                <w:rFonts w:hint="eastAsia"/>
              </w:rPr>
              <w:t>、</w:t>
            </w:r>
            <w:r>
              <w:t>氨氮</w:t>
            </w:r>
            <w:r>
              <w:rPr>
                <w:rFonts w:hint="eastAsia"/>
              </w:rPr>
              <w:t>、T</w:t>
            </w:r>
            <w:r>
              <w:t>N</w:t>
            </w:r>
            <w:r>
              <w:rPr>
                <w:rFonts w:hint="eastAsia"/>
              </w:rPr>
              <w:t>、</w:t>
            </w:r>
            <w:r>
              <w:t>TP</w:t>
            </w:r>
          </w:p>
        </w:tc>
        <w:tc>
          <w:tcPr>
            <w:tcW w:w="1600" w:type="dxa"/>
            <w:vAlign w:val="center"/>
          </w:tcPr>
          <w:p w14:paraId="3E20D1B5">
            <w:pPr>
              <w:pStyle w:val="1111"/>
              <w:bidi w:val="0"/>
            </w:pPr>
            <w:r>
              <w:rPr>
                <w:rFonts w:hint="eastAsia"/>
                <w:lang w:eastAsia="zh-CN"/>
              </w:rPr>
              <w:t>喷淋</w:t>
            </w:r>
            <w:r>
              <w:t>废水、生活废水经中华药港污水站处理后排入开发区临港污水厂处理</w:t>
            </w:r>
          </w:p>
        </w:tc>
        <w:tc>
          <w:tcPr>
            <w:tcW w:w="2640" w:type="dxa"/>
            <w:vAlign w:val="center"/>
          </w:tcPr>
          <w:p w14:paraId="0345BAE1">
            <w:pPr>
              <w:pStyle w:val="1111"/>
              <w:bidi w:val="0"/>
            </w:pPr>
            <w:r>
              <w:t>排放执行《生物制药行业水和大气污染物排放限值》</w:t>
            </w:r>
            <w:r>
              <w:rPr>
                <w:rFonts w:hint="eastAsia"/>
                <w:lang w:eastAsia="zh-CN"/>
              </w:rPr>
              <w:t>（</w:t>
            </w:r>
            <w:r>
              <w:t>DB32/3560-2019</w:t>
            </w:r>
            <w:r>
              <w:rPr>
                <w:rFonts w:hint="eastAsia"/>
                <w:lang w:eastAsia="zh-CN"/>
              </w:rPr>
              <w:t>）</w:t>
            </w:r>
            <w:r>
              <w:t>表2间接排放限值及《污水排入城镇下水道水质标准》</w:t>
            </w:r>
            <w:r>
              <w:rPr>
                <w:rFonts w:hint="eastAsia"/>
                <w:lang w:eastAsia="zh-CN"/>
              </w:rPr>
              <w:t>（</w:t>
            </w:r>
            <w:r>
              <w:t>GB/T31962-2015</w:t>
            </w:r>
            <w:r>
              <w:rPr>
                <w:rFonts w:hint="eastAsia"/>
                <w:lang w:eastAsia="zh-CN"/>
              </w:rPr>
              <w:t>）</w:t>
            </w:r>
            <w:r>
              <w:t>表1中A等级标准</w:t>
            </w:r>
          </w:p>
        </w:tc>
      </w:tr>
      <w:tr w14:paraId="7A01E37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05" w:hRule="atLeast"/>
          <w:jc w:val="center"/>
        </w:trPr>
        <w:tc>
          <w:tcPr>
            <w:tcW w:w="1550" w:type="dxa"/>
            <w:gridSpan w:val="2"/>
            <w:vAlign w:val="center"/>
          </w:tcPr>
          <w:p w14:paraId="31885DED">
            <w:pPr>
              <w:pStyle w:val="1111"/>
              <w:bidi w:val="0"/>
            </w:pPr>
            <w:r>
              <w:t>声环境</w:t>
            </w:r>
          </w:p>
        </w:tc>
        <w:tc>
          <w:tcPr>
            <w:tcW w:w="1559" w:type="dxa"/>
            <w:vAlign w:val="center"/>
          </w:tcPr>
          <w:p w14:paraId="2758CB80">
            <w:pPr>
              <w:pStyle w:val="1111"/>
              <w:bidi w:val="0"/>
            </w:pPr>
            <w:r>
              <w:t>设备噪声</w:t>
            </w:r>
          </w:p>
        </w:tc>
        <w:tc>
          <w:tcPr>
            <w:tcW w:w="1701" w:type="dxa"/>
            <w:vAlign w:val="center"/>
          </w:tcPr>
          <w:p w14:paraId="723E4624">
            <w:pPr>
              <w:pStyle w:val="1111"/>
              <w:bidi w:val="0"/>
            </w:pPr>
            <w:r>
              <w:t>等效A声级</w:t>
            </w:r>
          </w:p>
        </w:tc>
        <w:tc>
          <w:tcPr>
            <w:tcW w:w="1600" w:type="dxa"/>
            <w:vAlign w:val="center"/>
          </w:tcPr>
          <w:p w14:paraId="4D699B11">
            <w:pPr>
              <w:pStyle w:val="1111"/>
              <w:bidi w:val="0"/>
            </w:pPr>
            <w:r>
              <w:rPr>
                <w:rFonts w:hint="eastAsia"/>
              </w:rPr>
              <w:t>采用</w:t>
            </w:r>
            <w:r>
              <w:t>低噪声设备、减震、消声</w:t>
            </w:r>
            <w:r>
              <w:rPr>
                <w:rFonts w:hint="eastAsia"/>
              </w:rPr>
              <w:t>等措施。</w:t>
            </w:r>
          </w:p>
        </w:tc>
        <w:tc>
          <w:tcPr>
            <w:tcW w:w="2640" w:type="dxa"/>
            <w:vAlign w:val="center"/>
          </w:tcPr>
          <w:p w14:paraId="0BDE5484">
            <w:pPr>
              <w:pStyle w:val="1111"/>
              <w:bidi w:val="0"/>
            </w:pPr>
            <w:r>
              <w:rPr>
                <w:rFonts w:hint="eastAsia"/>
              </w:rPr>
              <w:t>《工业企业厂界环境噪声排放标准》（GB12348-2008）中的</w:t>
            </w:r>
            <w:r>
              <w:rPr>
                <w:rFonts w:hint="eastAsia"/>
                <w:lang w:val="en-US" w:eastAsia="zh-CN"/>
              </w:rPr>
              <w:t>2</w:t>
            </w:r>
            <w:r>
              <w:rPr>
                <w:rFonts w:hint="eastAsia"/>
              </w:rPr>
              <w:t>类标准</w:t>
            </w:r>
          </w:p>
        </w:tc>
      </w:tr>
      <w:tr w14:paraId="2A21E2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50" w:type="dxa"/>
            <w:gridSpan w:val="2"/>
            <w:vAlign w:val="center"/>
          </w:tcPr>
          <w:p w14:paraId="361F497A">
            <w:pPr>
              <w:pStyle w:val="1111"/>
              <w:bidi w:val="0"/>
            </w:pPr>
            <w:r>
              <w:t>电磁辐射</w:t>
            </w:r>
          </w:p>
        </w:tc>
        <w:tc>
          <w:tcPr>
            <w:tcW w:w="7500" w:type="dxa"/>
            <w:gridSpan w:val="4"/>
            <w:vAlign w:val="center"/>
          </w:tcPr>
          <w:p w14:paraId="54E7B0CD">
            <w:pPr>
              <w:pStyle w:val="1111"/>
              <w:bidi w:val="0"/>
            </w:pPr>
            <w:r>
              <w:t>无</w:t>
            </w:r>
          </w:p>
        </w:tc>
      </w:tr>
      <w:tr w14:paraId="702BB1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07" w:hRule="atLeast"/>
          <w:jc w:val="center"/>
        </w:trPr>
        <w:tc>
          <w:tcPr>
            <w:tcW w:w="1550" w:type="dxa"/>
            <w:gridSpan w:val="2"/>
            <w:vAlign w:val="center"/>
          </w:tcPr>
          <w:p w14:paraId="06E39A87">
            <w:pPr>
              <w:pStyle w:val="1111"/>
              <w:bidi w:val="0"/>
            </w:pPr>
            <w:r>
              <w:t>固体废物</w:t>
            </w:r>
          </w:p>
        </w:tc>
        <w:tc>
          <w:tcPr>
            <w:tcW w:w="7500" w:type="dxa"/>
            <w:gridSpan w:val="4"/>
            <w:vAlign w:val="center"/>
          </w:tcPr>
          <w:p w14:paraId="2518F05D">
            <w:pPr>
              <w:pStyle w:val="1111"/>
              <w:bidi w:val="0"/>
            </w:pPr>
            <w:r>
              <w:t>设危废库，面积</w:t>
            </w:r>
            <w:r>
              <w:rPr>
                <w:rFonts w:hint="eastAsia"/>
                <w:lang w:eastAsia="zh-CN"/>
              </w:rPr>
              <w:t>为</w:t>
            </w:r>
            <w:r>
              <w:rPr>
                <w:rFonts w:hint="eastAsia"/>
                <w:lang w:val="en-US" w:eastAsia="zh-CN"/>
              </w:rPr>
              <w:t>176.22</w:t>
            </w:r>
            <w:r>
              <w:t>m</w:t>
            </w:r>
            <w:r>
              <w:rPr>
                <w:vertAlign w:val="superscript"/>
              </w:rPr>
              <w:t>2</w:t>
            </w:r>
            <w:r>
              <w:t>；本项目产生的废活性炭、</w:t>
            </w:r>
            <w:r>
              <w:rPr>
                <w:rFonts w:hint="eastAsia"/>
                <w:lang w:eastAsia="zh-CN"/>
              </w:rPr>
              <w:t>废包装、废劳保用品</w:t>
            </w:r>
            <w:r>
              <w:t>暂存</w:t>
            </w:r>
            <w:r>
              <w:rPr>
                <w:rFonts w:hint="eastAsia"/>
                <w:lang w:eastAsia="zh-CN"/>
              </w:rPr>
              <w:t>于存储间</w:t>
            </w:r>
            <w:r>
              <w:t>委托有资质单位处置</w:t>
            </w:r>
            <w:r>
              <w:rPr>
                <w:rFonts w:hint="eastAsia"/>
                <w:lang w:eastAsia="zh-CN"/>
              </w:rPr>
              <w:t>，生活垃圾委托环卫部门处置</w:t>
            </w:r>
            <w:r>
              <w:t>。</w:t>
            </w:r>
          </w:p>
        </w:tc>
      </w:tr>
      <w:tr w14:paraId="354477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59" w:hRule="atLeast"/>
          <w:jc w:val="center"/>
        </w:trPr>
        <w:tc>
          <w:tcPr>
            <w:tcW w:w="1550" w:type="dxa"/>
            <w:gridSpan w:val="2"/>
            <w:vAlign w:val="center"/>
          </w:tcPr>
          <w:p w14:paraId="3D97F3CF">
            <w:pPr>
              <w:pStyle w:val="1111"/>
              <w:bidi w:val="0"/>
            </w:pPr>
            <w:r>
              <w:t>土壤及地下水</w:t>
            </w:r>
          </w:p>
          <w:p w14:paraId="469D5AE3">
            <w:pPr>
              <w:pStyle w:val="1111"/>
              <w:bidi w:val="0"/>
            </w:pPr>
            <w:r>
              <w:t>污染防治措施</w:t>
            </w:r>
          </w:p>
        </w:tc>
        <w:tc>
          <w:tcPr>
            <w:tcW w:w="7500" w:type="dxa"/>
            <w:gridSpan w:val="4"/>
            <w:vAlign w:val="center"/>
          </w:tcPr>
          <w:p w14:paraId="25B8B946">
            <w:pPr>
              <w:pStyle w:val="1111"/>
              <w:bidi w:val="0"/>
              <w:rPr>
                <w:rFonts w:hint="eastAsia"/>
                <w:lang w:eastAsia="zh-CN"/>
              </w:rPr>
            </w:pPr>
            <w:r>
              <w:t>采取“源头控制、分区防控”措施，将危废库作为重点防渗区</w:t>
            </w:r>
            <w:r>
              <w:rPr>
                <w:rFonts w:hint="eastAsia"/>
                <w:lang w:eastAsia="zh-CN"/>
              </w:rPr>
              <w:t>，采取</w:t>
            </w:r>
            <w:r>
              <w:t>水泥硬化，铺设环氧树脂防渗层等措施</w:t>
            </w:r>
            <w:r>
              <w:rPr>
                <w:rFonts w:hint="eastAsia"/>
                <w:lang w:eastAsia="zh-CN"/>
              </w:rPr>
              <w:t>。</w:t>
            </w:r>
          </w:p>
        </w:tc>
      </w:tr>
      <w:tr w14:paraId="101FABF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1" w:hRule="atLeast"/>
          <w:jc w:val="center"/>
        </w:trPr>
        <w:tc>
          <w:tcPr>
            <w:tcW w:w="1550" w:type="dxa"/>
            <w:gridSpan w:val="2"/>
            <w:vAlign w:val="center"/>
          </w:tcPr>
          <w:p w14:paraId="111AAF81">
            <w:pPr>
              <w:pStyle w:val="1111"/>
              <w:bidi w:val="0"/>
            </w:pPr>
            <w:r>
              <w:t>生态保护措施</w:t>
            </w:r>
          </w:p>
        </w:tc>
        <w:tc>
          <w:tcPr>
            <w:tcW w:w="7500" w:type="dxa"/>
            <w:gridSpan w:val="4"/>
            <w:vAlign w:val="center"/>
          </w:tcPr>
          <w:p w14:paraId="02319728">
            <w:pPr>
              <w:pStyle w:val="1111"/>
              <w:bidi w:val="0"/>
              <w:rPr>
                <w:rFonts w:hint="eastAsia"/>
                <w:lang w:eastAsia="zh-CN"/>
              </w:rPr>
            </w:pPr>
            <w:r>
              <w:rPr>
                <w:rFonts w:hint="eastAsia"/>
                <w:lang w:val="en-US" w:eastAsia="zh-CN"/>
              </w:rPr>
              <w:t>/</w:t>
            </w:r>
          </w:p>
        </w:tc>
      </w:tr>
      <w:tr w14:paraId="2C077C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550" w:type="dxa"/>
            <w:gridSpan w:val="2"/>
            <w:vAlign w:val="center"/>
          </w:tcPr>
          <w:p w14:paraId="445F9C94">
            <w:pPr>
              <w:pStyle w:val="1111"/>
              <w:bidi w:val="0"/>
            </w:pPr>
            <w:r>
              <w:rPr>
                <w:rFonts w:hint="eastAsia"/>
              </w:rPr>
              <w:t>环境风险</w:t>
            </w:r>
            <w:r>
              <w:t>防范措施</w:t>
            </w:r>
          </w:p>
        </w:tc>
        <w:tc>
          <w:tcPr>
            <w:tcW w:w="7500" w:type="dxa"/>
            <w:gridSpan w:val="4"/>
            <w:vAlign w:val="center"/>
          </w:tcPr>
          <w:p w14:paraId="7AA81006">
            <w:pPr>
              <w:pStyle w:val="1111"/>
              <w:bidi w:val="0"/>
            </w:pPr>
            <w:r>
              <w:t>（1）加强企业危险废物管理人员的培训，了解危险废物危害性、分类贮存要求以及简单的前期处理措施；</w:t>
            </w:r>
          </w:p>
          <w:p w14:paraId="72979C56">
            <w:pPr>
              <w:pStyle w:val="1111"/>
              <w:bidi w:val="0"/>
            </w:pPr>
            <w:r>
              <w:t>（2）危废贮存设施内地面必须采取</w:t>
            </w:r>
            <w:r>
              <w:rPr>
                <w:rFonts w:hint="eastAsia"/>
              </w:rPr>
              <w:t>重点</w:t>
            </w:r>
            <w:r>
              <w:t>防渗等防渗措施。</w:t>
            </w:r>
          </w:p>
          <w:p w14:paraId="2D09FF82">
            <w:pPr>
              <w:pStyle w:val="1111"/>
              <w:bidi w:val="0"/>
            </w:pPr>
            <w:r>
              <w:t>（3）加强对危废贮存设施的巡查，尤其是台风、暴雨等恶劣天气时期，发现问题及时处理。</w:t>
            </w:r>
          </w:p>
          <w:p w14:paraId="78A7D601">
            <w:pPr>
              <w:pStyle w:val="1111"/>
              <w:bidi w:val="0"/>
            </w:pPr>
            <w:r>
              <w:t>在采取上述风险防范措施后，项目产生的环境风险可控制在最低水平。</w:t>
            </w:r>
          </w:p>
        </w:tc>
      </w:tr>
      <w:tr w14:paraId="39E423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19" w:hRule="atLeast"/>
          <w:jc w:val="center"/>
        </w:trPr>
        <w:tc>
          <w:tcPr>
            <w:tcW w:w="1550" w:type="dxa"/>
            <w:gridSpan w:val="2"/>
            <w:vAlign w:val="center"/>
          </w:tcPr>
          <w:p w14:paraId="75FEF25A">
            <w:pPr>
              <w:pStyle w:val="1111"/>
              <w:bidi w:val="0"/>
            </w:pPr>
            <w:r>
              <w:rPr>
                <w:rFonts w:hint="eastAsia"/>
              </w:rPr>
              <w:t>其他环境</w:t>
            </w:r>
            <w:r>
              <w:t>管理要求</w:t>
            </w:r>
          </w:p>
        </w:tc>
        <w:tc>
          <w:tcPr>
            <w:tcW w:w="7500" w:type="dxa"/>
            <w:gridSpan w:val="4"/>
            <w:vAlign w:val="center"/>
          </w:tcPr>
          <w:p w14:paraId="0BE7D3E7">
            <w:pPr>
              <w:pStyle w:val="1111"/>
              <w:bidi w:val="0"/>
            </w:pPr>
            <w:r>
              <w:rPr>
                <w:rFonts w:hint="eastAsia"/>
              </w:rPr>
              <w:t>严格按照环境管理要求执行。</w:t>
            </w:r>
          </w:p>
        </w:tc>
      </w:tr>
    </w:tbl>
    <w:p w14:paraId="5EB08999">
      <w:pPr>
        <w:pStyle w:val="71"/>
        <w:outlineLvl w:val="0"/>
        <w:rPr>
          <w:rFonts w:ascii="Times New Roman" w:hAnsi="Times New Roman"/>
          <w:snapToGrid w:val="0"/>
          <w:sz w:val="30"/>
          <w:szCs w:val="30"/>
        </w:rPr>
      </w:pPr>
      <w:r>
        <w:rPr>
          <w:rFonts w:ascii="Times New Roman" w:hAnsi="Times New Roman"/>
          <w:snapToGrid w:val="0"/>
        </w:rPr>
        <w:br w:type="page"/>
      </w:r>
      <w:r>
        <w:rPr>
          <w:rFonts w:ascii="Times New Roman" w:hAnsi="Times New Roman"/>
          <w:snapToGrid w:val="0"/>
          <w:sz w:val="30"/>
          <w:szCs w:val="30"/>
        </w:rPr>
        <w:t>六</w:t>
      </w:r>
      <w:r>
        <w:rPr>
          <w:rFonts w:hint="eastAsia" w:ascii="Times New Roman" w:hAnsi="Times New Roman" w:eastAsia="微软雅黑"/>
          <w:snapToGrid w:val="0"/>
          <w:sz w:val="30"/>
          <w:szCs w:val="30"/>
          <w:lang w:eastAsia="zh-CN"/>
        </w:rPr>
        <w:t>、</w:t>
      </w:r>
      <w:r>
        <w:rPr>
          <w:rFonts w:ascii="Times New Roman" w:hAnsi="Times New Roman"/>
          <w:snapToGrid w:val="0"/>
          <w:sz w:val="30"/>
          <w:szCs w:val="30"/>
        </w:rPr>
        <w:t>结论</w:t>
      </w:r>
    </w:p>
    <w:tbl>
      <w:tblPr>
        <w:tblStyle w:val="77"/>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14:paraId="2397B2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257" w:hRule="atLeast"/>
          <w:jc w:val="center"/>
        </w:trPr>
        <w:tc>
          <w:tcPr>
            <w:tcW w:w="8865" w:type="dxa"/>
          </w:tcPr>
          <w:p w14:paraId="35CC1703">
            <w:pPr>
              <w:pStyle w:val="512"/>
              <w:bidi w:val="0"/>
            </w:pPr>
            <w:r>
              <w:rPr>
                <w:rFonts w:ascii="Times New Roman" w:eastAsia="宋体"/>
              </w:rPr>
              <w:t>本项目位于</w:t>
            </w:r>
            <w:r>
              <w:rPr>
                <w:rFonts w:ascii="Times New Roman" w:eastAsia="宋体"/>
                <w:szCs w:val="24"/>
              </w:rPr>
              <w:t>连云港经济技术开发区昌圩路北、金桥路西</w:t>
            </w:r>
            <w:r>
              <w:rPr>
                <w:rFonts w:ascii="Times New Roman" w:eastAsia="宋体"/>
                <w:bCs/>
              </w:rPr>
              <w:t>，项目的建设符合国家和地方产业政策，不违反《江苏省国家级生态保护红线规划》（苏政发</w:t>
            </w:r>
            <w:r>
              <w:rPr>
                <w:rFonts w:hint="eastAsia"/>
                <w:bCs/>
                <w:lang w:eastAsia="zh-CN"/>
              </w:rPr>
              <w:t>[</w:t>
            </w:r>
            <w:r>
              <w:rPr>
                <w:rFonts w:ascii="Times New Roman" w:eastAsia="宋体"/>
                <w:bCs/>
              </w:rPr>
              <w:t>2018</w:t>
            </w:r>
            <w:r>
              <w:rPr>
                <w:rFonts w:hint="eastAsia"/>
                <w:bCs/>
                <w:lang w:eastAsia="zh-CN"/>
              </w:rPr>
              <w:t>]</w:t>
            </w:r>
            <w:r>
              <w:rPr>
                <w:rFonts w:ascii="Times New Roman" w:eastAsia="宋体"/>
                <w:bCs/>
              </w:rPr>
              <w:t>74号）和《省政府关于印发江苏省生态空间管控区域规划的通知》（苏政发</w:t>
            </w:r>
            <w:r>
              <w:rPr>
                <w:rFonts w:hint="eastAsia"/>
                <w:bCs/>
                <w:lang w:eastAsia="zh-CN"/>
              </w:rPr>
              <w:t>[</w:t>
            </w:r>
            <w:r>
              <w:rPr>
                <w:rFonts w:ascii="Times New Roman" w:eastAsia="宋体"/>
                <w:bCs/>
              </w:rPr>
              <w:t>2020</w:t>
            </w:r>
            <w:r>
              <w:rPr>
                <w:rFonts w:hint="eastAsia"/>
                <w:bCs/>
                <w:lang w:eastAsia="zh-CN"/>
              </w:rPr>
              <w:t>]</w:t>
            </w:r>
            <w:r>
              <w:rPr>
                <w:rFonts w:ascii="Times New Roman" w:eastAsia="宋体"/>
                <w:bCs/>
              </w:rPr>
              <w:t>1号）规定和要求；拟采用的各项污染防治措施合理、有效；大气污染物、废水、噪声均可实现达标排放，固体废物可实现安全处置；项目潜在的风险水平可以接受，不会对周围环境及人员造成安全威胁。项目</w:t>
            </w:r>
            <w:r>
              <w:rPr>
                <w:rFonts w:hint="eastAsia"/>
                <w:bCs/>
                <w:lang w:eastAsia="zh-CN"/>
              </w:rPr>
              <w:t>运营</w:t>
            </w:r>
            <w:r>
              <w:rPr>
                <w:rFonts w:ascii="Times New Roman" w:eastAsia="宋体"/>
                <w:bCs/>
              </w:rPr>
              <w:t>后，对周边环境污染影响不明显；环保投资可基本满足污染控制需要，能实现经济效益和社会效益的统一。在严格</w:t>
            </w:r>
            <w:r>
              <w:t>落实</w:t>
            </w:r>
            <w:r>
              <w:rPr>
                <w:rFonts w:hint="eastAsia"/>
                <w:lang w:eastAsia="zh-CN"/>
              </w:rPr>
              <w:t>企业</w:t>
            </w:r>
            <w:r>
              <w:t>既定的污染防治措施和本报告中提出的各项环境保护对策的前提下，从环保角度看，本项目在拟建地建设是可行的。</w:t>
            </w:r>
          </w:p>
          <w:p w14:paraId="6AC01AF6">
            <w:pPr>
              <w:pStyle w:val="512"/>
              <w:bidi w:val="0"/>
            </w:pPr>
            <w:r>
              <w:t>说明：上述评价结果是在</w:t>
            </w:r>
            <w:r>
              <w:rPr>
                <w:rFonts w:hint="eastAsia"/>
                <w:lang w:eastAsia="zh-CN"/>
              </w:rPr>
              <w:t>企业</w:t>
            </w:r>
            <w:r>
              <w:t>提供的有关资料基础上得出的，</w:t>
            </w:r>
            <w:r>
              <w:rPr>
                <w:rFonts w:hint="eastAsia"/>
                <w:lang w:eastAsia="zh-CN"/>
              </w:rPr>
              <w:t>企业</w:t>
            </w:r>
            <w:r>
              <w:t>对所提供资料真实性负责。评价结论仅对本项目的建设地点、工程方案、建设规模和排污情况负责。若本项目的建设地点、工程方案、建设规模和排污情况发生大的变化时，</w:t>
            </w:r>
            <w:r>
              <w:rPr>
                <w:rFonts w:hint="eastAsia"/>
                <w:bCs/>
              </w:rPr>
              <w:t>应按审批部门的要求另行申报审批。</w:t>
            </w:r>
          </w:p>
        </w:tc>
      </w:tr>
    </w:tbl>
    <w:p w14:paraId="60B27301">
      <w:pPr>
        <w:sectPr>
          <w:pgSz w:w="11906" w:h="16838"/>
          <w:pgMar w:top="1440" w:right="1800" w:bottom="1440" w:left="1800" w:header="851" w:footer="851" w:gutter="0"/>
          <w:pgBorders>
            <w:top w:val="none" w:sz="0" w:space="0"/>
            <w:left w:val="none" w:sz="0" w:space="0"/>
            <w:bottom w:val="none" w:sz="0" w:space="0"/>
            <w:right w:val="none" w:sz="0" w:space="0"/>
          </w:pgBorders>
          <w:cols w:space="720" w:num="1"/>
          <w:docGrid w:linePitch="312" w:charSpace="0"/>
        </w:sectPr>
      </w:pPr>
    </w:p>
    <w:p w14:paraId="6DBDD8D8">
      <w:pPr>
        <w:pStyle w:val="71"/>
        <w:adjustRightInd w:val="0"/>
        <w:snapToGrid w:val="0"/>
        <w:spacing w:before="0" w:beforeAutospacing="0" w:after="0" w:afterAutospacing="0"/>
        <w:outlineLvl w:val="0"/>
        <w:rPr>
          <w:rFonts w:ascii="Times New Roman" w:hAnsi="Times New Roman"/>
          <w:snapToGrid w:val="0"/>
          <w:sz w:val="32"/>
          <w:szCs w:val="32"/>
        </w:rPr>
      </w:pPr>
      <w:bookmarkStart w:id="9" w:name="_Hlk61593254"/>
      <w:r>
        <w:rPr>
          <w:rFonts w:ascii="Times New Roman" w:hAnsi="Times New Roman"/>
          <w:snapToGrid w:val="0"/>
          <w:sz w:val="32"/>
          <w:szCs w:val="32"/>
        </w:rPr>
        <w:t>附表</w:t>
      </w:r>
    </w:p>
    <w:bookmarkEnd w:id="9"/>
    <w:p w14:paraId="2417036E">
      <w:pPr>
        <w:pStyle w:val="71"/>
        <w:adjustRightInd w:val="0"/>
        <w:snapToGrid w:val="0"/>
        <w:spacing w:before="0" w:beforeAutospacing="0" w:after="0" w:afterAutospacing="0" w:line="276" w:lineRule="auto"/>
        <w:jc w:val="center"/>
        <w:outlineLvl w:val="0"/>
        <w:rPr>
          <w:rFonts w:ascii="Times New Roman" w:hAnsi="Times New Roman"/>
          <w:snapToGrid w:val="0"/>
          <w:sz w:val="38"/>
          <w:szCs w:val="38"/>
        </w:rPr>
      </w:pPr>
      <w:r>
        <w:rPr>
          <w:rFonts w:ascii="Times New Roman" w:hAnsi="Times New Roman"/>
          <w:snapToGrid w:val="0"/>
          <w:sz w:val="38"/>
          <w:szCs w:val="38"/>
        </w:rPr>
        <w:t>建设项目污染物排放量汇总表</w:t>
      </w:r>
      <w:r>
        <w:rPr>
          <w:rFonts w:hint="eastAsia" w:ascii="Times New Roman" w:hAnsi="Times New Roman"/>
          <w:snapToGrid w:val="0"/>
          <w:sz w:val="38"/>
          <w:szCs w:val="38"/>
        </w:rPr>
        <w:t>（t/</w:t>
      </w:r>
      <w:r>
        <w:rPr>
          <w:rFonts w:ascii="Times New Roman" w:hAnsi="Times New Roman"/>
          <w:snapToGrid w:val="0"/>
          <w:sz w:val="38"/>
          <w:szCs w:val="38"/>
        </w:rPr>
        <w:t>a</w:t>
      </w:r>
      <w:r>
        <w:rPr>
          <w:rFonts w:hint="eastAsia" w:ascii="Times New Roman" w:hAnsi="Times New Roman"/>
          <w:snapToGrid w:val="0"/>
          <w:sz w:val="38"/>
          <w:szCs w:val="38"/>
        </w:rPr>
        <w:t>）</w:t>
      </w:r>
    </w:p>
    <w:tbl>
      <w:tblPr>
        <w:tblStyle w:val="77"/>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59"/>
        <w:gridCol w:w="1425"/>
        <w:gridCol w:w="1140"/>
        <w:gridCol w:w="1283"/>
        <w:gridCol w:w="1283"/>
        <w:gridCol w:w="1852"/>
        <w:gridCol w:w="1711"/>
        <w:gridCol w:w="1711"/>
        <w:gridCol w:w="1528"/>
      </w:tblGrid>
      <w:tr w14:paraId="0899A7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1559" w:type="dxa"/>
            <w:tcBorders>
              <w:top w:val="single" w:color="auto" w:sz="8" w:space="0"/>
              <w:bottom w:val="single" w:color="auto" w:sz="8" w:space="0"/>
              <w:right w:val="single" w:color="auto" w:sz="8" w:space="0"/>
              <w:tl2br w:val="single" w:color="auto" w:sz="4" w:space="0"/>
            </w:tcBorders>
            <w:tcMar>
              <w:left w:w="28" w:type="dxa"/>
              <w:right w:w="28" w:type="dxa"/>
            </w:tcMar>
            <w:vAlign w:val="center"/>
          </w:tcPr>
          <w:p w14:paraId="1315F1E8">
            <w:pPr>
              <w:pStyle w:val="1111"/>
              <w:rPr>
                <w:snapToGrid w:val="0"/>
              </w:rPr>
            </w:pPr>
            <w:r>
              <w:rPr>
                <w:snapToGrid w:val="0"/>
              </w:rPr>
              <w:t>项目</w:t>
            </w:r>
          </w:p>
          <w:p w14:paraId="24F2141A">
            <w:pPr>
              <w:pStyle w:val="1111"/>
              <w:rPr>
                <w:snapToGrid w:val="0"/>
              </w:rPr>
            </w:pPr>
            <w:r>
              <w:rPr>
                <w:snapToGrid w:val="0"/>
              </w:rPr>
              <w:t>分类</w:t>
            </w:r>
          </w:p>
        </w:tc>
        <w:tc>
          <w:tcPr>
            <w:tcW w:w="1425" w:type="dxa"/>
            <w:tcBorders>
              <w:top w:val="single" w:color="auto" w:sz="8" w:space="0"/>
              <w:left w:val="single" w:color="auto" w:sz="8" w:space="0"/>
              <w:bottom w:val="single" w:color="auto" w:sz="8" w:space="0"/>
              <w:right w:val="single" w:color="auto" w:sz="8" w:space="0"/>
            </w:tcBorders>
            <w:tcMar>
              <w:left w:w="28" w:type="dxa"/>
              <w:right w:w="28" w:type="dxa"/>
            </w:tcMar>
            <w:vAlign w:val="center"/>
          </w:tcPr>
          <w:p w14:paraId="3240EFE2">
            <w:pPr>
              <w:pStyle w:val="1111"/>
              <w:rPr>
                <w:snapToGrid w:val="0"/>
              </w:rPr>
            </w:pPr>
            <w:r>
              <w:rPr>
                <w:snapToGrid w:val="0"/>
              </w:rPr>
              <w:t>污染物名称</w:t>
            </w:r>
          </w:p>
        </w:tc>
        <w:tc>
          <w:tcPr>
            <w:tcW w:w="1140" w:type="dxa"/>
            <w:tcBorders>
              <w:top w:val="single" w:color="auto" w:sz="8" w:space="0"/>
              <w:left w:val="single" w:color="auto" w:sz="8" w:space="0"/>
              <w:bottom w:val="single" w:color="auto" w:sz="8" w:space="0"/>
              <w:right w:val="single" w:color="auto" w:sz="8" w:space="0"/>
            </w:tcBorders>
            <w:tcMar>
              <w:left w:w="28" w:type="dxa"/>
              <w:right w:w="28" w:type="dxa"/>
            </w:tcMar>
            <w:vAlign w:val="center"/>
          </w:tcPr>
          <w:p w14:paraId="7247AF8D">
            <w:pPr>
              <w:pStyle w:val="1111"/>
              <w:rPr>
                <w:snapToGrid w:val="0"/>
              </w:rPr>
            </w:pPr>
            <w:r>
              <w:rPr>
                <w:snapToGrid w:val="0"/>
              </w:rPr>
              <w:t>现有工程</w:t>
            </w:r>
          </w:p>
          <w:p w14:paraId="114041FA">
            <w:pPr>
              <w:pStyle w:val="1111"/>
              <w:rPr>
                <w:snapToGrid w:val="0"/>
              </w:rPr>
            </w:pPr>
            <w:r>
              <w:rPr>
                <w:snapToGrid w:val="0"/>
              </w:rPr>
              <w:t>排放量（固体废物产生量）</w:t>
            </w:r>
            <w:r>
              <w:rPr>
                <w:snapToGrid w:val="0"/>
              </w:rPr>
              <w:fldChar w:fldCharType="begin"/>
            </w:r>
            <w:r>
              <w:rPr>
                <w:snapToGrid w:val="0"/>
              </w:rPr>
              <w:instrText xml:space="preserve"> = 1 \* GB3 \* MERGEFORMAT </w:instrText>
            </w:r>
            <w:r>
              <w:rPr>
                <w:snapToGrid w:val="0"/>
              </w:rPr>
              <w:fldChar w:fldCharType="separate"/>
            </w:r>
            <w:r>
              <w:rPr>
                <w:rFonts w:hint="eastAsia" w:hAnsi="宋体" w:cs="宋体"/>
                <w:kern w:val="2"/>
              </w:rPr>
              <w:t>①</w:t>
            </w:r>
            <w:r>
              <w:rPr>
                <w:snapToGrid w:val="0"/>
              </w:rPr>
              <w:fldChar w:fldCharType="end"/>
            </w:r>
          </w:p>
        </w:tc>
        <w:tc>
          <w:tcPr>
            <w:tcW w:w="1283" w:type="dxa"/>
            <w:tcBorders>
              <w:top w:val="single" w:color="auto" w:sz="8" w:space="0"/>
              <w:left w:val="single" w:color="auto" w:sz="8" w:space="0"/>
              <w:bottom w:val="single" w:color="auto" w:sz="8" w:space="0"/>
              <w:right w:val="single" w:color="auto" w:sz="8" w:space="0"/>
            </w:tcBorders>
            <w:tcMar>
              <w:left w:w="28" w:type="dxa"/>
              <w:right w:w="28" w:type="dxa"/>
            </w:tcMar>
            <w:vAlign w:val="center"/>
          </w:tcPr>
          <w:p w14:paraId="34690510">
            <w:pPr>
              <w:pStyle w:val="1111"/>
              <w:rPr>
                <w:snapToGrid w:val="0"/>
              </w:rPr>
            </w:pPr>
            <w:r>
              <w:rPr>
                <w:snapToGrid w:val="0"/>
              </w:rPr>
              <w:t>现有工程</w:t>
            </w:r>
          </w:p>
          <w:p w14:paraId="3BCE400D">
            <w:pPr>
              <w:pStyle w:val="1111"/>
              <w:rPr>
                <w:snapToGrid w:val="0"/>
              </w:rPr>
            </w:pPr>
            <w:r>
              <w:rPr>
                <w:snapToGrid w:val="0"/>
              </w:rPr>
              <w:t>许可排放量</w:t>
            </w:r>
          </w:p>
          <w:p w14:paraId="33E4DD15">
            <w:pPr>
              <w:pStyle w:val="1111"/>
              <w:rPr>
                <w:snapToGrid w:val="0"/>
              </w:rPr>
            </w:pPr>
            <w:r>
              <w:rPr>
                <w:snapToGrid w:val="0"/>
              </w:rPr>
              <w:fldChar w:fldCharType="begin"/>
            </w:r>
            <w:r>
              <w:rPr>
                <w:snapToGrid w:val="0"/>
              </w:rPr>
              <w:instrText xml:space="preserve"> = 2 \* GB3 \* MERGEFORMAT </w:instrText>
            </w:r>
            <w:r>
              <w:rPr>
                <w:snapToGrid w:val="0"/>
              </w:rPr>
              <w:fldChar w:fldCharType="separate"/>
            </w:r>
            <w:r>
              <w:rPr>
                <w:rFonts w:hint="eastAsia" w:hAnsi="宋体" w:cs="宋体"/>
                <w:snapToGrid w:val="0"/>
              </w:rPr>
              <w:t>②</w:t>
            </w:r>
            <w:r>
              <w:rPr>
                <w:snapToGrid w:val="0"/>
              </w:rPr>
              <w:fldChar w:fldCharType="end"/>
            </w:r>
          </w:p>
        </w:tc>
        <w:tc>
          <w:tcPr>
            <w:tcW w:w="1283" w:type="dxa"/>
            <w:tcBorders>
              <w:top w:val="single" w:color="auto" w:sz="8" w:space="0"/>
              <w:left w:val="single" w:color="auto" w:sz="8" w:space="0"/>
              <w:bottom w:val="single" w:color="auto" w:sz="8" w:space="0"/>
              <w:right w:val="single" w:color="auto" w:sz="8" w:space="0"/>
            </w:tcBorders>
            <w:tcMar>
              <w:left w:w="28" w:type="dxa"/>
              <w:right w:w="28" w:type="dxa"/>
            </w:tcMar>
            <w:vAlign w:val="center"/>
          </w:tcPr>
          <w:p w14:paraId="764F18A9">
            <w:pPr>
              <w:pStyle w:val="1111"/>
              <w:rPr>
                <w:snapToGrid w:val="0"/>
              </w:rPr>
            </w:pPr>
            <w:r>
              <w:rPr>
                <w:snapToGrid w:val="0"/>
              </w:rPr>
              <w:t>在建工程</w:t>
            </w:r>
          </w:p>
          <w:p w14:paraId="371883ED">
            <w:pPr>
              <w:pStyle w:val="1111"/>
              <w:rPr>
                <w:snapToGrid w:val="0"/>
              </w:rPr>
            </w:pPr>
            <w:r>
              <w:rPr>
                <w:snapToGrid w:val="0"/>
              </w:rPr>
              <w:t>排放量（固体废物产生量）</w:t>
            </w:r>
            <w:r>
              <w:rPr>
                <w:snapToGrid w:val="0"/>
              </w:rPr>
              <w:fldChar w:fldCharType="begin"/>
            </w:r>
            <w:r>
              <w:rPr>
                <w:snapToGrid w:val="0"/>
              </w:rPr>
              <w:instrText xml:space="preserve"> = 3 \* GB3 \* MERGEFORMAT </w:instrText>
            </w:r>
            <w:r>
              <w:rPr>
                <w:snapToGrid w:val="0"/>
              </w:rPr>
              <w:fldChar w:fldCharType="separate"/>
            </w:r>
            <w:r>
              <w:rPr>
                <w:rFonts w:hint="eastAsia" w:hAnsi="宋体" w:cs="宋体"/>
                <w:kern w:val="2"/>
              </w:rPr>
              <w:t>③</w:t>
            </w:r>
            <w:r>
              <w:rPr>
                <w:snapToGrid w:val="0"/>
              </w:rPr>
              <w:fldChar w:fldCharType="end"/>
            </w:r>
          </w:p>
        </w:tc>
        <w:tc>
          <w:tcPr>
            <w:tcW w:w="1852" w:type="dxa"/>
            <w:tcBorders>
              <w:top w:val="single" w:color="auto" w:sz="8" w:space="0"/>
              <w:left w:val="single" w:color="auto" w:sz="8" w:space="0"/>
              <w:bottom w:val="single" w:color="auto" w:sz="8" w:space="0"/>
              <w:right w:val="single" w:color="auto" w:sz="8" w:space="0"/>
            </w:tcBorders>
            <w:tcMar>
              <w:left w:w="28" w:type="dxa"/>
              <w:right w:w="28" w:type="dxa"/>
            </w:tcMar>
            <w:vAlign w:val="center"/>
          </w:tcPr>
          <w:p w14:paraId="353EC48B">
            <w:pPr>
              <w:pStyle w:val="1111"/>
              <w:rPr>
                <w:snapToGrid w:val="0"/>
              </w:rPr>
            </w:pPr>
            <w:r>
              <w:rPr>
                <w:snapToGrid w:val="0"/>
              </w:rPr>
              <w:t>本项目</w:t>
            </w:r>
          </w:p>
          <w:p w14:paraId="7F37F7B9">
            <w:pPr>
              <w:pStyle w:val="1111"/>
              <w:rPr>
                <w:snapToGrid w:val="0"/>
              </w:rPr>
            </w:pPr>
            <w:r>
              <w:rPr>
                <w:snapToGrid w:val="0"/>
              </w:rPr>
              <w:t>排放量（固体废物产生量）</w:t>
            </w:r>
            <w:r>
              <w:rPr>
                <w:snapToGrid w:val="0"/>
              </w:rPr>
              <w:fldChar w:fldCharType="begin"/>
            </w:r>
            <w:r>
              <w:rPr>
                <w:snapToGrid w:val="0"/>
              </w:rPr>
              <w:instrText xml:space="preserve"> = 4 \* GB3 \* MERGEFORMAT </w:instrText>
            </w:r>
            <w:r>
              <w:rPr>
                <w:snapToGrid w:val="0"/>
              </w:rPr>
              <w:fldChar w:fldCharType="separate"/>
            </w:r>
            <w:r>
              <w:rPr>
                <w:rFonts w:hint="eastAsia" w:hAnsi="宋体" w:cs="宋体"/>
                <w:kern w:val="2"/>
              </w:rPr>
              <w:t>④</w:t>
            </w:r>
            <w:r>
              <w:rPr>
                <w:snapToGrid w:val="0"/>
              </w:rPr>
              <w:fldChar w:fldCharType="end"/>
            </w:r>
          </w:p>
        </w:tc>
        <w:tc>
          <w:tcPr>
            <w:tcW w:w="1711" w:type="dxa"/>
            <w:tcBorders>
              <w:top w:val="single" w:color="auto" w:sz="8" w:space="0"/>
              <w:left w:val="single" w:color="auto" w:sz="8" w:space="0"/>
              <w:bottom w:val="single" w:color="auto" w:sz="8" w:space="0"/>
              <w:right w:val="single" w:color="auto" w:sz="8" w:space="0"/>
            </w:tcBorders>
            <w:tcMar>
              <w:left w:w="28" w:type="dxa"/>
              <w:right w:w="28" w:type="dxa"/>
            </w:tcMar>
            <w:vAlign w:val="center"/>
          </w:tcPr>
          <w:p w14:paraId="1C3F0F89">
            <w:pPr>
              <w:pStyle w:val="1111"/>
              <w:rPr>
                <w:snapToGrid w:val="0"/>
              </w:rPr>
            </w:pPr>
            <w:r>
              <w:rPr>
                <w:snapToGrid w:val="0"/>
              </w:rPr>
              <w:t>以新带老削减量</w:t>
            </w:r>
          </w:p>
          <w:p w14:paraId="53B0113F">
            <w:pPr>
              <w:pStyle w:val="1111"/>
              <w:rPr>
                <w:snapToGrid w:val="0"/>
              </w:rPr>
            </w:pPr>
            <w:r>
              <w:rPr>
                <w:snapToGrid w:val="0"/>
              </w:rPr>
              <w:t>（新建项目不填）</w:t>
            </w:r>
            <w:r>
              <w:rPr>
                <w:snapToGrid w:val="0"/>
              </w:rPr>
              <w:fldChar w:fldCharType="begin"/>
            </w:r>
            <w:r>
              <w:rPr>
                <w:snapToGrid w:val="0"/>
              </w:rPr>
              <w:instrText xml:space="preserve"> = 5 \* GB3 \* MERGEFORMAT </w:instrText>
            </w:r>
            <w:r>
              <w:rPr>
                <w:snapToGrid w:val="0"/>
              </w:rPr>
              <w:fldChar w:fldCharType="separate"/>
            </w:r>
            <w:r>
              <w:rPr>
                <w:rFonts w:hint="eastAsia" w:hAnsi="宋体" w:cs="宋体"/>
                <w:kern w:val="2"/>
              </w:rPr>
              <w:t>⑤</w:t>
            </w:r>
            <w:r>
              <w:rPr>
                <w:snapToGrid w:val="0"/>
              </w:rPr>
              <w:fldChar w:fldCharType="end"/>
            </w:r>
          </w:p>
        </w:tc>
        <w:tc>
          <w:tcPr>
            <w:tcW w:w="1711" w:type="dxa"/>
            <w:tcBorders>
              <w:top w:val="single" w:color="auto" w:sz="8" w:space="0"/>
              <w:left w:val="single" w:color="auto" w:sz="8" w:space="0"/>
              <w:bottom w:val="single" w:color="auto" w:sz="8" w:space="0"/>
              <w:right w:val="single" w:color="auto" w:sz="8" w:space="0"/>
            </w:tcBorders>
            <w:tcMar>
              <w:left w:w="28" w:type="dxa"/>
              <w:right w:w="28" w:type="dxa"/>
            </w:tcMar>
            <w:vAlign w:val="center"/>
          </w:tcPr>
          <w:p w14:paraId="21899416">
            <w:pPr>
              <w:pStyle w:val="1111"/>
              <w:rPr>
                <w:snapToGrid w:val="0"/>
              </w:rPr>
            </w:pPr>
            <w:r>
              <w:rPr>
                <w:snapToGrid w:val="0"/>
              </w:rPr>
              <w:t>本项目建成后</w:t>
            </w:r>
          </w:p>
          <w:p w14:paraId="230861A4">
            <w:pPr>
              <w:pStyle w:val="1111"/>
              <w:rPr>
                <w:snapToGrid w:val="0"/>
              </w:rPr>
            </w:pPr>
            <w:r>
              <w:rPr>
                <w:snapToGrid w:val="0"/>
              </w:rPr>
              <w:t>全厂排放量（固体废物产生量）</w:t>
            </w:r>
            <w:r>
              <w:rPr>
                <w:snapToGrid w:val="0"/>
              </w:rPr>
              <w:fldChar w:fldCharType="begin"/>
            </w:r>
            <w:r>
              <w:rPr>
                <w:snapToGrid w:val="0"/>
              </w:rPr>
              <w:instrText xml:space="preserve"> = 6 \* GB3 \* MERGEFORMAT </w:instrText>
            </w:r>
            <w:r>
              <w:rPr>
                <w:snapToGrid w:val="0"/>
              </w:rPr>
              <w:fldChar w:fldCharType="separate"/>
            </w:r>
            <w:r>
              <w:rPr>
                <w:rFonts w:hint="eastAsia" w:hAnsi="宋体" w:cs="宋体"/>
                <w:kern w:val="2"/>
              </w:rPr>
              <w:t>⑥</w:t>
            </w:r>
            <w:r>
              <w:rPr>
                <w:snapToGrid w:val="0"/>
              </w:rPr>
              <w:fldChar w:fldCharType="end"/>
            </w:r>
          </w:p>
        </w:tc>
        <w:tc>
          <w:tcPr>
            <w:tcW w:w="1528" w:type="dxa"/>
            <w:tcBorders>
              <w:top w:val="single" w:color="auto" w:sz="8" w:space="0"/>
              <w:left w:val="single" w:color="auto" w:sz="8" w:space="0"/>
              <w:bottom w:val="single" w:color="auto" w:sz="8" w:space="0"/>
            </w:tcBorders>
            <w:tcMar>
              <w:left w:w="28" w:type="dxa"/>
              <w:right w:w="28" w:type="dxa"/>
            </w:tcMar>
            <w:vAlign w:val="center"/>
          </w:tcPr>
          <w:p w14:paraId="63C5EEE8">
            <w:pPr>
              <w:pStyle w:val="1111"/>
              <w:rPr>
                <w:snapToGrid w:val="0"/>
              </w:rPr>
            </w:pPr>
            <w:r>
              <w:rPr>
                <w:snapToGrid w:val="0"/>
              </w:rPr>
              <w:t>变化量</w:t>
            </w:r>
          </w:p>
          <w:p w14:paraId="47AE9EAB">
            <w:pPr>
              <w:pStyle w:val="1111"/>
              <w:rPr>
                <w:snapToGrid w:val="0"/>
              </w:rPr>
            </w:pPr>
            <w:r>
              <w:rPr>
                <w:snapToGrid w:val="0"/>
              </w:rPr>
              <w:fldChar w:fldCharType="begin"/>
            </w:r>
            <w:r>
              <w:rPr>
                <w:snapToGrid w:val="0"/>
              </w:rPr>
              <w:instrText xml:space="preserve"> = 7 \* GB3 \* MERGEFORMAT </w:instrText>
            </w:r>
            <w:r>
              <w:rPr>
                <w:snapToGrid w:val="0"/>
              </w:rPr>
              <w:fldChar w:fldCharType="separate"/>
            </w:r>
            <w:r>
              <w:rPr>
                <w:rFonts w:hint="eastAsia" w:hAnsi="宋体" w:cs="宋体"/>
                <w:kern w:val="2"/>
              </w:rPr>
              <w:t>⑦</w:t>
            </w:r>
            <w:r>
              <w:rPr>
                <w:snapToGrid w:val="0"/>
              </w:rPr>
              <w:fldChar w:fldCharType="end"/>
            </w:r>
          </w:p>
        </w:tc>
      </w:tr>
      <w:tr w14:paraId="6D3A9C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1559" w:type="dxa"/>
            <w:vMerge w:val="restart"/>
            <w:tcBorders>
              <w:top w:val="single" w:color="auto" w:sz="8" w:space="0"/>
              <w:right w:val="single" w:color="auto" w:sz="8" w:space="0"/>
            </w:tcBorders>
            <w:vAlign w:val="center"/>
          </w:tcPr>
          <w:p w14:paraId="68444CA3">
            <w:pPr>
              <w:pStyle w:val="1111"/>
              <w:rPr>
                <w:snapToGrid w:val="0"/>
              </w:rPr>
            </w:pPr>
            <w:r>
              <w:rPr>
                <w:snapToGrid w:val="0"/>
              </w:rPr>
              <w:t>大气污染物</w:t>
            </w:r>
          </w:p>
        </w:tc>
        <w:tc>
          <w:tcPr>
            <w:tcW w:w="1425" w:type="dxa"/>
            <w:tcBorders>
              <w:top w:val="single" w:color="auto" w:sz="8" w:space="0"/>
              <w:left w:val="single" w:color="auto" w:sz="8" w:space="0"/>
              <w:bottom w:val="single" w:color="auto" w:sz="8" w:space="0"/>
              <w:right w:val="single" w:color="auto" w:sz="8" w:space="0"/>
            </w:tcBorders>
            <w:vAlign w:val="center"/>
          </w:tcPr>
          <w:p w14:paraId="5C6D0EA8">
            <w:pPr>
              <w:pStyle w:val="1111"/>
              <w:rPr>
                <w:snapToGrid w:val="0"/>
              </w:rPr>
            </w:pPr>
            <w:r>
              <w:rPr>
                <w:rFonts w:hint="eastAsia"/>
                <w:snapToGrid w:val="0"/>
              </w:rPr>
              <w:t>非甲烷总烃</w:t>
            </w:r>
          </w:p>
        </w:tc>
        <w:tc>
          <w:tcPr>
            <w:tcW w:w="1140" w:type="dxa"/>
            <w:tcBorders>
              <w:top w:val="single" w:color="auto" w:sz="8" w:space="0"/>
              <w:left w:val="single" w:color="auto" w:sz="8" w:space="0"/>
              <w:bottom w:val="single" w:color="auto" w:sz="8" w:space="0"/>
              <w:right w:val="single" w:color="auto" w:sz="8" w:space="0"/>
            </w:tcBorders>
            <w:vAlign w:val="center"/>
          </w:tcPr>
          <w:p w14:paraId="142DFC7F">
            <w:pPr>
              <w:pStyle w:val="1111"/>
              <w:rPr>
                <w:rFonts w:hint="eastAsia" w:eastAsia="宋体"/>
                <w:snapToGrid w:val="0"/>
                <w:lang w:eastAsia="zh-CN"/>
              </w:rPr>
            </w:pPr>
            <w:r>
              <w:rPr>
                <w:rFonts w:hint="eastAsia"/>
                <w:sz w:val="21"/>
                <w:szCs w:val="21"/>
                <w:lang w:val="en-US" w:eastAsia="zh-CN" w:bidi="ar"/>
              </w:rPr>
              <w:t>-</w:t>
            </w:r>
          </w:p>
        </w:tc>
        <w:tc>
          <w:tcPr>
            <w:tcW w:w="1283" w:type="dxa"/>
            <w:tcBorders>
              <w:top w:val="single" w:color="auto" w:sz="8" w:space="0"/>
              <w:left w:val="single" w:color="auto" w:sz="8" w:space="0"/>
              <w:bottom w:val="single" w:color="auto" w:sz="8" w:space="0"/>
              <w:right w:val="single" w:color="auto" w:sz="8" w:space="0"/>
            </w:tcBorders>
            <w:vAlign w:val="center"/>
          </w:tcPr>
          <w:p w14:paraId="462334C4">
            <w:pPr>
              <w:pStyle w:val="1111"/>
              <w:rPr>
                <w:snapToGrid w:val="0"/>
              </w:rPr>
            </w:pPr>
            <w:r>
              <w:rPr>
                <w:snapToGrid w:val="0"/>
              </w:rPr>
              <w:t>-</w:t>
            </w:r>
          </w:p>
        </w:tc>
        <w:tc>
          <w:tcPr>
            <w:tcW w:w="1283" w:type="dxa"/>
            <w:tcBorders>
              <w:top w:val="single" w:color="auto" w:sz="8" w:space="0"/>
              <w:left w:val="single" w:color="auto" w:sz="8" w:space="0"/>
              <w:bottom w:val="single" w:color="auto" w:sz="8" w:space="0"/>
              <w:right w:val="single" w:color="auto" w:sz="8" w:space="0"/>
            </w:tcBorders>
            <w:vAlign w:val="center"/>
          </w:tcPr>
          <w:p w14:paraId="1AAA7291">
            <w:pPr>
              <w:pStyle w:val="1111"/>
              <w:rPr>
                <w:snapToGrid w:val="0"/>
              </w:rPr>
            </w:pPr>
            <w:r>
              <w:rPr>
                <w:snapToGrid w:val="0"/>
              </w:rPr>
              <w:t>-</w:t>
            </w:r>
          </w:p>
        </w:tc>
        <w:tc>
          <w:tcPr>
            <w:tcW w:w="1852" w:type="dxa"/>
            <w:tcBorders>
              <w:top w:val="single" w:color="auto" w:sz="8" w:space="0"/>
              <w:left w:val="single" w:color="auto" w:sz="8" w:space="0"/>
              <w:bottom w:val="single" w:color="auto" w:sz="8" w:space="0"/>
              <w:right w:val="single" w:color="auto" w:sz="8" w:space="0"/>
            </w:tcBorders>
            <w:vAlign w:val="center"/>
          </w:tcPr>
          <w:p w14:paraId="5C865428">
            <w:pPr>
              <w:pStyle w:val="1111"/>
              <w:rPr>
                <w:rFonts w:hint="eastAsia" w:eastAsia="宋体"/>
                <w:snapToGrid w:val="0"/>
                <w:lang w:val="en-US" w:eastAsia="zh-CN"/>
              </w:rPr>
            </w:pPr>
            <w:r>
              <w:rPr>
                <w:rFonts w:hint="eastAsia"/>
                <w:snapToGrid w:val="0"/>
                <w:lang w:eastAsia="zh-CN"/>
              </w:rPr>
              <w:t>0.197</w:t>
            </w:r>
          </w:p>
        </w:tc>
        <w:tc>
          <w:tcPr>
            <w:tcW w:w="1711" w:type="dxa"/>
            <w:tcBorders>
              <w:top w:val="single" w:color="auto" w:sz="8" w:space="0"/>
              <w:left w:val="single" w:color="auto" w:sz="8" w:space="0"/>
              <w:bottom w:val="single" w:color="auto" w:sz="8" w:space="0"/>
              <w:right w:val="single" w:color="auto" w:sz="8" w:space="0"/>
            </w:tcBorders>
            <w:vAlign w:val="center"/>
          </w:tcPr>
          <w:p w14:paraId="1B7A5561">
            <w:pPr>
              <w:pStyle w:val="1111"/>
              <w:rPr>
                <w:rFonts w:hint="eastAsia" w:eastAsia="宋体"/>
                <w:snapToGrid w:val="0"/>
                <w:lang w:eastAsia="zh-CN"/>
              </w:rPr>
            </w:pPr>
            <w:r>
              <w:rPr>
                <w:rFonts w:hint="eastAsia"/>
                <w:sz w:val="21"/>
                <w:szCs w:val="21"/>
                <w:lang w:val="en-US" w:eastAsia="zh-CN" w:bidi="ar"/>
              </w:rPr>
              <w:t>-</w:t>
            </w:r>
          </w:p>
        </w:tc>
        <w:tc>
          <w:tcPr>
            <w:tcW w:w="1711" w:type="dxa"/>
            <w:tcBorders>
              <w:top w:val="single" w:color="auto" w:sz="8" w:space="0"/>
              <w:left w:val="single" w:color="auto" w:sz="8" w:space="0"/>
              <w:bottom w:val="single" w:color="auto" w:sz="8" w:space="0"/>
              <w:right w:val="single" w:color="auto" w:sz="8" w:space="0"/>
            </w:tcBorders>
            <w:vAlign w:val="center"/>
          </w:tcPr>
          <w:p w14:paraId="565F457C">
            <w:pPr>
              <w:pStyle w:val="1111"/>
              <w:rPr>
                <w:rFonts w:hint="eastAsia" w:eastAsia="宋体"/>
                <w:snapToGrid w:val="0"/>
                <w:lang w:eastAsia="zh-CN"/>
              </w:rPr>
            </w:pPr>
            <w:r>
              <w:rPr>
                <w:rFonts w:hint="eastAsia"/>
                <w:snapToGrid w:val="0"/>
                <w:lang w:eastAsia="zh-CN"/>
              </w:rPr>
              <w:t>0.197</w:t>
            </w:r>
          </w:p>
        </w:tc>
        <w:tc>
          <w:tcPr>
            <w:tcW w:w="1528" w:type="dxa"/>
            <w:tcBorders>
              <w:top w:val="single" w:color="auto" w:sz="8" w:space="0"/>
              <w:left w:val="single" w:color="auto" w:sz="8" w:space="0"/>
              <w:bottom w:val="single" w:color="auto" w:sz="8" w:space="0"/>
              <w:right w:val="single" w:color="auto" w:sz="8" w:space="0"/>
            </w:tcBorders>
            <w:vAlign w:val="center"/>
          </w:tcPr>
          <w:p w14:paraId="5593C1EF">
            <w:pPr>
              <w:pStyle w:val="1111"/>
              <w:rPr>
                <w:rFonts w:hint="eastAsia" w:eastAsia="宋体"/>
                <w:snapToGrid w:val="0"/>
                <w:lang w:eastAsia="zh-CN"/>
              </w:rPr>
            </w:pPr>
            <w:r>
              <w:rPr>
                <w:rFonts w:hint="eastAsia"/>
                <w:snapToGrid w:val="0"/>
                <w:lang w:val="en-US" w:eastAsia="zh-CN"/>
              </w:rPr>
              <w:t>+</w:t>
            </w:r>
            <w:r>
              <w:rPr>
                <w:rFonts w:hint="eastAsia"/>
                <w:snapToGrid w:val="0"/>
                <w:lang w:eastAsia="zh-CN"/>
              </w:rPr>
              <w:t>0.197</w:t>
            </w:r>
          </w:p>
        </w:tc>
      </w:tr>
      <w:tr w14:paraId="2AC822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1559" w:type="dxa"/>
            <w:vMerge w:val="continue"/>
            <w:tcBorders>
              <w:bottom w:val="single" w:color="auto" w:sz="8" w:space="0"/>
              <w:right w:val="single" w:color="auto" w:sz="8" w:space="0"/>
            </w:tcBorders>
            <w:vAlign w:val="center"/>
          </w:tcPr>
          <w:p w14:paraId="4E8A2945">
            <w:pPr>
              <w:pStyle w:val="1111"/>
              <w:rPr>
                <w:snapToGrid w:val="0"/>
              </w:rPr>
            </w:pPr>
          </w:p>
        </w:tc>
        <w:tc>
          <w:tcPr>
            <w:tcW w:w="1425" w:type="dxa"/>
            <w:tcBorders>
              <w:top w:val="single" w:color="auto" w:sz="8" w:space="0"/>
              <w:left w:val="single" w:color="auto" w:sz="8" w:space="0"/>
              <w:bottom w:val="single" w:color="auto" w:sz="8" w:space="0"/>
              <w:right w:val="single" w:color="auto" w:sz="8" w:space="0"/>
            </w:tcBorders>
            <w:vAlign w:val="center"/>
          </w:tcPr>
          <w:p w14:paraId="7B858C32">
            <w:pPr>
              <w:pStyle w:val="1111"/>
              <w:rPr>
                <w:rFonts w:hint="eastAsia" w:eastAsia="宋体"/>
                <w:snapToGrid w:val="0"/>
                <w:lang w:eastAsia="zh-CN"/>
              </w:rPr>
            </w:pPr>
            <w:r>
              <w:rPr>
                <w:rFonts w:hint="eastAsia"/>
                <w:snapToGrid w:val="0"/>
                <w:lang w:eastAsia="zh-CN"/>
              </w:rPr>
              <w:t>臭气浓度（无量纲）</w:t>
            </w:r>
          </w:p>
        </w:tc>
        <w:tc>
          <w:tcPr>
            <w:tcW w:w="1140" w:type="dxa"/>
            <w:tcBorders>
              <w:top w:val="single" w:color="auto" w:sz="8" w:space="0"/>
              <w:left w:val="single" w:color="auto" w:sz="8" w:space="0"/>
              <w:bottom w:val="single" w:color="auto" w:sz="8" w:space="0"/>
              <w:right w:val="single" w:color="auto" w:sz="8" w:space="0"/>
            </w:tcBorders>
            <w:vAlign w:val="center"/>
          </w:tcPr>
          <w:p w14:paraId="48AD5902">
            <w:pPr>
              <w:pStyle w:val="1111"/>
              <w:rPr>
                <w:snapToGrid w:val="0"/>
              </w:rPr>
            </w:pPr>
            <w:r>
              <w:rPr>
                <w:snapToGrid w:val="0"/>
              </w:rPr>
              <w:t>-</w:t>
            </w:r>
          </w:p>
        </w:tc>
        <w:tc>
          <w:tcPr>
            <w:tcW w:w="1283" w:type="dxa"/>
            <w:tcBorders>
              <w:top w:val="single" w:color="auto" w:sz="8" w:space="0"/>
              <w:left w:val="single" w:color="auto" w:sz="8" w:space="0"/>
              <w:bottom w:val="single" w:color="auto" w:sz="8" w:space="0"/>
              <w:right w:val="single" w:color="auto" w:sz="8" w:space="0"/>
            </w:tcBorders>
            <w:vAlign w:val="center"/>
          </w:tcPr>
          <w:p w14:paraId="21CAAC1D">
            <w:pPr>
              <w:pStyle w:val="1111"/>
              <w:rPr>
                <w:snapToGrid w:val="0"/>
              </w:rPr>
            </w:pPr>
            <w:r>
              <w:rPr>
                <w:snapToGrid w:val="0"/>
              </w:rPr>
              <w:t>-</w:t>
            </w:r>
          </w:p>
        </w:tc>
        <w:tc>
          <w:tcPr>
            <w:tcW w:w="1283" w:type="dxa"/>
            <w:tcBorders>
              <w:top w:val="single" w:color="auto" w:sz="8" w:space="0"/>
              <w:left w:val="single" w:color="auto" w:sz="8" w:space="0"/>
              <w:bottom w:val="single" w:color="auto" w:sz="8" w:space="0"/>
              <w:right w:val="single" w:color="auto" w:sz="8" w:space="0"/>
            </w:tcBorders>
            <w:vAlign w:val="center"/>
          </w:tcPr>
          <w:p w14:paraId="30489E10">
            <w:pPr>
              <w:pStyle w:val="1111"/>
              <w:rPr>
                <w:snapToGrid w:val="0"/>
              </w:rPr>
            </w:pPr>
            <w:r>
              <w:rPr>
                <w:snapToGrid w:val="0"/>
              </w:rPr>
              <w:t>-</w:t>
            </w:r>
          </w:p>
        </w:tc>
        <w:tc>
          <w:tcPr>
            <w:tcW w:w="1852" w:type="dxa"/>
            <w:tcBorders>
              <w:top w:val="single" w:color="auto" w:sz="8" w:space="0"/>
              <w:left w:val="single" w:color="auto" w:sz="8" w:space="0"/>
              <w:bottom w:val="single" w:color="auto" w:sz="8" w:space="0"/>
              <w:right w:val="single" w:color="auto" w:sz="8" w:space="0"/>
            </w:tcBorders>
            <w:vAlign w:val="center"/>
          </w:tcPr>
          <w:p w14:paraId="6AC3A458">
            <w:pPr>
              <w:pStyle w:val="1111"/>
              <w:rPr>
                <w:rFonts w:hint="default" w:eastAsia="宋体"/>
                <w:snapToGrid w:val="0"/>
                <w:lang w:val="en-US" w:eastAsia="zh-CN"/>
              </w:rPr>
            </w:pPr>
            <w:r>
              <w:rPr>
                <w:rFonts w:hint="eastAsia"/>
                <w:snapToGrid w:val="0"/>
                <w:lang w:val="en-US" w:eastAsia="zh-CN"/>
              </w:rPr>
              <w:t>14.799</w:t>
            </w:r>
          </w:p>
        </w:tc>
        <w:tc>
          <w:tcPr>
            <w:tcW w:w="1711" w:type="dxa"/>
            <w:tcBorders>
              <w:top w:val="single" w:color="auto" w:sz="8" w:space="0"/>
              <w:left w:val="single" w:color="auto" w:sz="8" w:space="0"/>
              <w:bottom w:val="single" w:color="auto" w:sz="8" w:space="0"/>
              <w:right w:val="single" w:color="auto" w:sz="8" w:space="0"/>
            </w:tcBorders>
            <w:vAlign w:val="center"/>
          </w:tcPr>
          <w:p w14:paraId="742A77E5">
            <w:pPr>
              <w:pStyle w:val="1111"/>
              <w:rPr>
                <w:snapToGrid w:val="0"/>
              </w:rPr>
            </w:pPr>
            <w:r>
              <w:rPr>
                <w:snapToGrid w:val="0"/>
              </w:rPr>
              <w:t>-</w:t>
            </w:r>
          </w:p>
        </w:tc>
        <w:tc>
          <w:tcPr>
            <w:tcW w:w="1711" w:type="dxa"/>
            <w:tcBorders>
              <w:top w:val="single" w:color="auto" w:sz="8" w:space="0"/>
              <w:left w:val="single" w:color="auto" w:sz="8" w:space="0"/>
              <w:bottom w:val="single" w:color="auto" w:sz="8" w:space="0"/>
              <w:right w:val="single" w:color="auto" w:sz="8" w:space="0"/>
            </w:tcBorders>
            <w:vAlign w:val="center"/>
          </w:tcPr>
          <w:p w14:paraId="416235C1">
            <w:pPr>
              <w:jc w:val="center"/>
              <w:rPr>
                <w:snapToGrid w:val="0"/>
              </w:rPr>
            </w:pPr>
            <w:r>
              <w:rPr>
                <w:rFonts w:hint="eastAsia"/>
                <w:snapToGrid w:val="0"/>
                <w:lang w:val="en-US" w:eastAsia="zh-CN"/>
              </w:rPr>
              <w:t>14.799</w:t>
            </w:r>
          </w:p>
        </w:tc>
        <w:tc>
          <w:tcPr>
            <w:tcW w:w="1528" w:type="dxa"/>
            <w:tcBorders>
              <w:top w:val="single" w:color="auto" w:sz="8" w:space="0"/>
              <w:left w:val="single" w:color="auto" w:sz="8" w:space="0"/>
              <w:bottom w:val="single" w:color="auto" w:sz="8" w:space="0"/>
              <w:right w:val="single" w:color="auto" w:sz="8" w:space="0"/>
            </w:tcBorders>
            <w:vAlign w:val="center"/>
          </w:tcPr>
          <w:p w14:paraId="6D56EA9A">
            <w:pPr>
              <w:jc w:val="center"/>
              <w:rPr>
                <w:snapToGrid w:val="0"/>
              </w:rPr>
            </w:pPr>
            <w:r>
              <w:rPr>
                <w:rFonts w:hint="eastAsia"/>
                <w:snapToGrid w:val="0"/>
                <w:lang w:val="en-US" w:eastAsia="zh-CN"/>
              </w:rPr>
              <w:t>+14.799</w:t>
            </w:r>
          </w:p>
        </w:tc>
      </w:tr>
      <w:tr w14:paraId="5567DC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1559" w:type="dxa"/>
            <w:vMerge w:val="restart"/>
            <w:tcBorders>
              <w:top w:val="single" w:color="auto" w:sz="8" w:space="0"/>
              <w:right w:val="single" w:color="auto" w:sz="8" w:space="0"/>
            </w:tcBorders>
            <w:vAlign w:val="center"/>
          </w:tcPr>
          <w:p w14:paraId="1D11136E">
            <w:pPr>
              <w:pStyle w:val="1111"/>
              <w:rPr>
                <w:snapToGrid w:val="0"/>
              </w:rPr>
            </w:pPr>
            <w:r>
              <w:rPr>
                <w:snapToGrid w:val="0"/>
              </w:rPr>
              <w:t>水污染物</w:t>
            </w:r>
          </w:p>
        </w:tc>
        <w:tc>
          <w:tcPr>
            <w:tcW w:w="1425" w:type="dxa"/>
            <w:tcBorders>
              <w:top w:val="single" w:color="auto" w:sz="8" w:space="0"/>
              <w:left w:val="single" w:color="auto" w:sz="8" w:space="0"/>
              <w:bottom w:val="single" w:color="auto" w:sz="8" w:space="0"/>
              <w:right w:val="single" w:color="auto" w:sz="8" w:space="0"/>
            </w:tcBorders>
            <w:vAlign w:val="center"/>
          </w:tcPr>
          <w:p w14:paraId="5E8192AE">
            <w:pPr>
              <w:pStyle w:val="1111"/>
              <w:rPr>
                <w:snapToGrid w:val="0"/>
              </w:rPr>
            </w:pPr>
            <w:r>
              <w:rPr>
                <w:snapToGrid w:val="0"/>
              </w:rPr>
              <w:t>废水量</w:t>
            </w:r>
          </w:p>
        </w:tc>
        <w:tc>
          <w:tcPr>
            <w:tcW w:w="1140" w:type="dxa"/>
            <w:tcBorders>
              <w:top w:val="single" w:color="auto" w:sz="8" w:space="0"/>
              <w:left w:val="single" w:color="auto" w:sz="8" w:space="0"/>
              <w:bottom w:val="single" w:color="auto" w:sz="8" w:space="0"/>
              <w:right w:val="single" w:color="auto" w:sz="8" w:space="0"/>
            </w:tcBorders>
            <w:vAlign w:val="center"/>
          </w:tcPr>
          <w:p w14:paraId="72816508">
            <w:pPr>
              <w:pStyle w:val="1111"/>
              <w:rPr>
                <w:rFonts w:hint="default" w:eastAsia="宋体"/>
                <w:snapToGrid w:val="0"/>
                <w:lang w:val="en-US" w:eastAsia="zh-CN"/>
              </w:rPr>
            </w:pPr>
            <w:r>
              <w:rPr>
                <w:rFonts w:hint="eastAsia"/>
                <w:snapToGrid w:val="0"/>
                <w:lang w:val="en-US" w:eastAsia="zh-CN"/>
              </w:rPr>
              <w:t>-</w:t>
            </w:r>
          </w:p>
        </w:tc>
        <w:tc>
          <w:tcPr>
            <w:tcW w:w="1283" w:type="dxa"/>
            <w:tcBorders>
              <w:top w:val="single" w:color="auto" w:sz="8" w:space="0"/>
              <w:left w:val="single" w:color="auto" w:sz="8" w:space="0"/>
              <w:bottom w:val="single" w:color="auto" w:sz="8" w:space="0"/>
              <w:right w:val="single" w:color="auto" w:sz="8" w:space="0"/>
            </w:tcBorders>
            <w:vAlign w:val="center"/>
          </w:tcPr>
          <w:p w14:paraId="5E55A1B5">
            <w:pPr>
              <w:pStyle w:val="1111"/>
              <w:rPr>
                <w:snapToGrid w:val="0"/>
              </w:rPr>
            </w:pPr>
            <w:r>
              <w:rPr>
                <w:snapToGrid w:val="0"/>
              </w:rPr>
              <w:t>-</w:t>
            </w:r>
          </w:p>
        </w:tc>
        <w:tc>
          <w:tcPr>
            <w:tcW w:w="1283" w:type="dxa"/>
            <w:tcBorders>
              <w:top w:val="single" w:color="auto" w:sz="8" w:space="0"/>
              <w:left w:val="single" w:color="auto" w:sz="8" w:space="0"/>
              <w:bottom w:val="single" w:color="auto" w:sz="8" w:space="0"/>
              <w:right w:val="single" w:color="auto" w:sz="8" w:space="0"/>
            </w:tcBorders>
            <w:vAlign w:val="center"/>
          </w:tcPr>
          <w:p w14:paraId="64A6C916">
            <w:pPr>
              <w:pStyle w:val="1111"/>
              <w:rPr>
                <w:snapToGrid w:val="0"/>
              </w:rPr>
            </w:pPr>
            <w:r>
              <w:rPr>
                <w:snapToGrid w:val="0"/>
              </w:rPr>
              <w:t>-</w:t>
            </w:r>
          </w:p>
        </w:tc>
        <w:tc>
          <w:tcPr>
            <w:tcW w:w="1852" w:type="dxa"/>
            <w:tcBorders>
              <w:top w:val="single" w:color="auto" w:sz="8" w:space="0"/>
              <w:left w:val="single" w:color="auto" w:sz="8" w:space="0"/>
              <w:bottom w:val="single" w:color="auto" w:sz="8" w:space="0"/>
              <w:right w:val="single" w:color="auto" w:sz="8" w:space="0"/>
            </w:tcBorders>
            <w:vAlign w:val="center"/>
          </w:tcPr>
          <w:p w14:paraId="3DDB8455">
            <w:pPr>
              <w:pStyle w:val="1111"/>
            </w:pPr>
            <w:r>
              <w:rPr>
                <w:rFonts w:hint="eastAsia"/>
                <w:snapToGrid w:val="0"/>
                <w:lang w:val="en-US" w:eastAsia="zh-CN"/>
              </w:rPr>
              <w:t>192</w:t>
            </w:r>
          </w:p>
        </w:tc>
        <w:tc>
          <w:tcPr>
            <w:tcW w:w="1711" w:type="dxa"/>
            <w:tcBorders>
              <w:top w:val="single" w:color="auto" w:sz="8" w:space="0"/>
              <w:left w:val="single" w:color="auto" w:sz="8" w:space="0"/>
              <w:bottom w:val="single" w:color="auto" w:sz="8" w:space="0"/>
              <w:right w:val="single" w:color="auto" w:sz="8" w:space="0"/>
            </w:tcBorders>
            <w:vAlign w:val="center"/>
          </w:tcPr>
          <w:p w14:paraId="70144CDB">
            <w:pPr>
              <w:pStyle w:val="1111"/>
              <w:rPr>
                <w:snapToGrid w:val="0"/>
              </w:rPr>
            </w:pPr>
            <w:r>
              <w:rPr>
                <w:rFonts w:hint="eastAsia"/>
                <w:snapToGrid w:val="0"/>
                <w:lang w:val="en-US" w:eastAsia="zh-CN"/>
              </w:rPr>
              <w:t>-</w:t>
            </w:r>
          </w:p>
        </w:tc>
        <w:tc>
          <w:tcPr>
            <w:tcW w:w="1711" w:type="dxa"/>
            <w:tcBorders>
              <w:top w:val="single" w:color="auto" w:sz="8" w:space="0"/>
              <w:left w:val="single" w:color="auto" w:sz="8" w:space="0"/>
              <w:bottom w:val="single" w:color="auto" w:sz="8" w:space="0"/>
              <w:right w:val="single" w:color="auto" w:sz="8" w:space="0"/>
            </w:tcBorders>
            <w:vAlign w:val="center"/>
          </w:tcPr>
          <w:p w14:paraId="2A4B9E06">
            <w:pPr>
              <w:pStyle w:val="1111"/>
              <w:rPr>
                <w:snapToGrid w:val="0"/>
              </w:rPr>
            </w:pPr>
            <w:r>
              <w:rPr>
                <w:rFonts w:hint="eastAsia"/>
                <w:snapToGrid w:val="0"/>
                <w:lang w:val="en-US" w:eastAsia="zh-CN"/>
              </w:rPr>
              <w:t>192</w:t>
            </w:r>
          </w:p>
        </w:tc>
        <w:tc>
          <w:tcPr>
            <w:tcW w:w="1528" w:type="dxa"/>
            <w:tcBorders>
              <w:top w:val="single" w:color="auto" w:sz="8" w:space="0"/>
              <w:left w:val="single" w:color="auto" w:sz="8" w:space="0"/>
              <w:bottom w:val="single" w:color="auto" w:sz="8" w:space="0"/>
              <w:right w:val="single" w:color="auto" w:sz="8" w:space="0"/>
            </w:tcBorders>
            <w:vAlign w:val="center"/>
          </w:tcPr>
          <w:p w14:paraId="7441C403">
            <w:pPr>
              <w:pStyle w:val="1111"/>
            </w:pPr>
            <w:r>
              <w:rPr>
                <w:rFonts w:hint="eastAsia"/>
                <w:snapToGrid w:val="0"/>
                <w:lang w:val="en-US" w:eastAsia="zh-CN"/>
              </w:rPr>
              <w:t>+192</w:t>
            </w:r>
          </w:p>
        </w:tc>
      </w:tr>
      <w:tr w14:paraId="787AB3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1559" w:type="dxa"/>
            <w:vMerge w:val="continue"/>
            <w:tcBorders>
              <w:right w:val="single" w:color="auto" w:sz="8" w:space="0"/>
            </w:tcBorders>
            <w:vAlign w:val="center"/>
          </w:tcPr>
          <w:p w14:paraId="4B700679">
            <w:pPr>
              <w:pStyle w:val="1111"/>
              <w:rPr>
                <w:snapToGrid w:val="0"/>
              </w:rPr>
            </w:pPr>
          </w:p>
        </w:tc>
        <w:tc>
          <w:tcPr>
            <w:tcW w:w="1425" w:type="dxa"/>
            <w:tcBorders>
              <w:top w:val="single" w:color="auto" w:sz="8" w:space="0"/>
              <w:left w:val="single" w:color="auto" w:sz="8" w:space="0"/>
              <w:bottom w:val="single" w:color="auto" w:sz="8" w:space="0"/>
              <w:right w:val="single" w:color="auto" w:sz="8" w:space="0"/>
            </w:tcBorders>
            <w:vAlign w:val="center"/>
          </w:tcPr>
          <w:p w14:paraId="2CA3D305">
            <w:pPr>
              <w:pStyle w:val="1111"/>
              <w:rPr>
                <w:snapToGrid w:val="0"/>
              </w:rPr>
            </w:pPr>
            <w:r>
              <w:rPr>
                <w:snapToGrid w:val="0"/>
              </w:rPr>
              <w:t>COD</w:t>
            </w:r>
          </w:p>
        </w:tc>
        <w:tc>
          <w:tcPr>
            <w:tcW w:w="1140" w:type="dxa"/>
            <w:tcBorders>
              <w:top w:val="single" w:color="auto" w:sz="8" w:space="0"/>
              <w:left w:val="single" w:color="auto" w:sz="8" w:space="0"/>
              <w:bottom w:val="single" w:color="auto" w:sz="8" w:space="0"/>
              <w:right w:val="single" w:color="auto" w:sz="8" w:space="0"/>
            </w:tcBorders>
            <w:vAlign w:val="center"/>
          </w:tcPr>
          <w:p w14:paraId="146F2774">
            <w:pPr>
              <w:jc w:val="center"/>
              <w:rPr>
                <w:rFonts w:hint="eastAsia" w:eastAsia="宋体"/>
                <w:lang w:eastAsia="zh-CN"/>
              </w:rPr>
            </w:pPr>
            <w:r>
              <w:rPr>
                <w:rFonts w:hint="eastAsia"/>
                <w:sz w:val="21"/>
                <w:szCs w:val="21"/>
                <w:lang w:val="en-US" w:eastAsia="zh-CN"/>
              </w:rPr>
              <w:t>-</w:t>
            </w:r>
          </w:p>
        </w:tc>
        <w:tc>
          <w:tcPr>
            <w:tcW w:w="1283" w:type="dxa"/>
            <w:tcBorders>
              <w:top w:val="single" w:color="auto" w:sz="8" w:space="0"/>
              <w:left w:val="single" w:color="auto" w:sz="8" w:space="0"/>
              <w:bottom w:val="single" w:color="auto" w:sz="8" w:space="0"/>
              <w:right w:val="single" w:color="auto" w:sz="8" w:space="0"/>
            </w:tcBorders>
            <w:vAlign w:val="center"/>
          </w:tcPr>
          <w:p w14:paraId="098211C7">
            <w:pPr>
              <w:pStyle w:val="1111"/>
            </w:pPr>
            <w:r>
              <w:t>-</w:t>
            </w:r>
          </w:p>
        </w:tc>
        <w:tc>
          <w:tcPr>
            <w:tcW w:w="1283" w:type="dxa"/>
            <w:tcBorders>
              <w:top w:val="single" w:color="auto" w:sz="8" w:space="0"/>
              <w:left w:val="single" w:color="auto" w:sz="8" w:space="0"/>
              <w:bottom w:val="single" w:color="auto" w:sz="8" w:space="0"/>
              <w:right w:val="single" w:color="auto" w:sz="8" w:space="0"/>
            </w:tcBorders>
            <w:vAlign w:val="center"/>
          </w:tcPr>
          <w:p w14:paraId="4CF2F84D">
            <w:pPr>
              <w:pStyle w:val="1111"/>
            </w:pPr>
            <w:r>
              <w:t>-</w:t>
            </w:r>
          </w:p>
        </w:tc>
        <w:tc>
          <w:tcPr>
            <w:tcW w:w="1852" w:type="dxa"/>
            <w:tcBorders>
              <w:top w:val="single" w:color="auto" w:sz="8" w:space="0"/>
              <w:left w:val="single" w:color="auto" w:sz="8" w:space="0"/>
              <w:bottom w:val="single" w:color="auto" w:sz="8" w:space="0"/>
              <w:right w:val="single" w:color="auto" w:sz="8" w:space="0"/>
            </w:tcBorders>
            <w:vAlign w:val="center"/>
          </w:tcPr>
          <w:p w14:paraId="603EF33C">
            <w:pPr>
              <w:jc w:val="center"/>
            </w:pPr>
            <w:r>
              <w:rPr>
                <w:rFonts w:ascii="Times New Roman" w:eastAsia="宋体"/>
                <w:sz w:val="21"/>
                <w:szCs w:val="21"/>
              </w:rPr>
              <w:t>0.0888</w:t>
            </w:r>
          </w:p>
        </w:tc>
        <w:tc>
          <w:tcPr>
            <w:tcW w:w="1711" w:type="dxa"/>
            <w:tcBorders>
              <w:top w:val="single" w:color="auto" w:sz="8" w:space="0"/>
              <w:left w:val="single" w:color="auto" w:sz="8" w:space="0"/>
              <w:bottom w:val="single" w:color="auto" w:sz="8" w:space="0"/>
              <w:right w:val="single" w:color="auto" w:sz="8" w:space="0"/>
            </w:tcBorders>
            <w:vAlign w:val="center"/>
          </w:tcPr>
          <w:p w14:paraId="4C4F8393">
            <w:pPr>
              <w:jc w:val="center"/>
              <w:rPr>
                <w:rFonts w:hint="eastAsia" w:eastAsia="宋体"/>
                <w:lang w:eastAsia="zh-CN"/>
              </w:rPr>
            </w:pPr>
            <w:r>
              <w:rPr>
                <w:rFonts w:hint="eastAsia"/>
                <w:sz w:val="21"/>
                <w:szCs w:val="21"/>
                <w:lang w:val="en-US" w:eastAsia="zh-CN"/>
              </w:rPr>
              <w:t>-</w:t>
            </w:r>
          </w:p>
        </w:tc>
        <w:tc>
          <w:tcPr>
            <w:tcW w:w="1711" w:type="dxa"/>
            <w:tcBorders>
              <w:top w:val="single" w:color="auto" w:sz="8" w:space="0"/>
              <w:left w:val="single" w:color="auto" w:sz="8" w:space="0"/>
              <w:bottom w:val="single" w:color="auto" w:sz="8" w:space="0"/>
              <w:right w:val="single" w:color="auto" w:sz="8" w:space="0"/>
            </w:tcBorders>
            <w:vAlign w:val="center"/>
          </w:tcPr>
          <w:p w14:paraId="068BA94B">
            <w:pPr>
              <w:jc w:val="center"/>
            </w:pPr>
            <w:r>
              <w:rPr>
                <w:rFonts w:ascii="Times New Roman" w:eastAsia="宋体"/>
                <w:sz w:val="21"/>
                <w:szCs w:val="21"/>
              </w:rPr>
              <w:t>0.0888</w:t>
            </w:r>
          </w:p>
        </w:tc>
        <w:tc>
          <w:tcPr>
            <w:tcW w:w="1528" w:type="dxa"/>
            <w:tcBorders>
              <w:top w:val="single" w:color="auto" w:sz="8" w:space="0"/>
              <w:left w:val="single" w:color="auto" w:sz="8" w:space="0"/>
              <w:bottom w:val="single" w:color="auto" w:sz="8" w:space="0"/>
              <w:right w:val="single" w:color="auto" w:sz="8" w:space="0"/>
            </w:tcBorders>
            <w:vAlign w:val="center"/>
          </w:tcPr>
          <w:p w14:paraId="147CCA34">
            <w:pPr>
              <w:jc w:val="center"/>
            </w:pPr>
            <w:r>
              <w:rPr>
                <w:rFonts w:hint="eastAsia"/>
                <w:sz w:val="21"/>
                <w:szCs w:val="21"/>
                <w:lang w:val="en-US" w:eastAsia="zh-CN"/>
              </w:rPr>
              <w:t>+</w:t>
            </w:r>
            <w:r>
              <w:rPr>
                <w:rFonts w:ascii="Times New Roman" w:eastAsia="宋体"/>
                <w:sz w:val="21"/>
                <w:szCs w:val="21"/>
              </w:rPr>
              <w:t>0.0888</w:t>
            </w:r>
          </w:p>
        </w:tc>
      </w:tr>
      <w:tr w14:paraId="07E780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1559" w:type="dxa"/>
            <w:vMerge w:val="continue"/>
            <w:tcBorders>
              <w:right w:val="single" w:color="auto" w:sz="8" w:space="0"/>
            </w:tcBorders>
            <w:vAlign w:val="center"/>
          </w:tcPr>
          <w:p w14:paraId="4459492A">
            <w:pPr>
              <w:pStyle w:val="1111"/>
              <w:rPr>
                <w:snapToGrid w:val="0"/>
              </w:rPr>
            </w:pPr>
          </w:p>
        </w:tc>
        <w:tc>
          <w:tcPr>
            <w:tcW w:w="1425" w:type="dxa"/>
            <w:tcBorders>
              <w:top w:val="single" w:color="auto" w:sz="8" w:space="0"/>
              <w:left w:val="single" w:color="auto" w:sz="8" w:space="0"/>
              <w:bottom w:val="single" w:color="auto" w:sz="8" w:space="0"/>
              <w:right w:val="single" w:color="auto" w:sz="8" w:space="0"/>
            </w:tcBorders>
            <w:vAlign w:val="center"/>
          </w:tcPr>
          <w:p w14:paraId="63D6D88C">
            <w:pPr>
              <w:pStyle w:val="1111"/>
              <w:rPr>
                <w:snapToGrid w:val="0"/>
              </w:rPr>
            </w:pPr>
            <w:r>
              <w:rPr>
                <w:snapToGrid w:val="0"/>
              </w:rPr>
              <w:t>SS</w:t>
            </w:r>
          </w:p>
        </w:tc>
        <w:tc>
          <w:tcPr>
            <w:tcW w:w="1140" w:type="dxa"/>
            <w:tcBorders>
              <w:top w:val="single" w:color="auto" w:sz="8" w:space="0"/>
              <w:left w:val="single" w:color="auto" w:sz="8" w:space="0"/>
              <w:bottom w:val="single" w:color="auto" w:sz="8" w:space="0"/>
              <w:right w:val="single" w:color="auto" w:sz="8" w:space="0"/>
            </w:tcBorders>
            <w:vAlign w:val="center"/>
          </w:tcPr>
          <w:p w14:paraId="62C43312">
            <w:pPr>
              <w:jc w:val="center"/>
              <w:rPr>
                <w:rFonts w:hint="eastAsia" w:eastAsia="宋体"/>
                <w:lang w:eastAsia="zh-CN"/>
              </w:rPr>
            </w:pPr>
            <w:r>
              <w:rPr>
                <w:rFonts w:hint="eastAsia"/>
                <w:sz w:val="21"/>
                <w:szCs w:val="21"/>
                <w:lang w:val="en-US" w:eastAsia="zh-CN"/>
              </w:rPr>
              <w:t>-</w:t>
            </w:r>
          </w:p>
        </w:tc>
        <w:tc>
          <w:tcPr>
            <w:tcW w:w="1283" w:type="dxa"/>
            <w:tcBorders>
              <w:top w:val="single" w:color="auto" w:sz="8" w:space="0"/>
              <w:left w:val="single" w:color="auto" w:sz="8" w:space="0"/>
              <w:bottom w:val="single" w:color="auto" w:sz="8" w:space="0"/>
              <w:right w:val="single" w:color="auto" w:sz="8" w:space="0"/>
            </w:tcBorders>
            <w:vAlign w:val="center"/>
          </w:tcPr>
          <w:p w14:paraId="0BE9D453">
            <w:pPr>
              <w:pStyle w:val="1111"/>
            </w:pPr>
            <w:r>
              <w:t>-</w:t>
            </w:r>
          </w:p>
        </w:tc>
        <w:tc>
          <w:tcPr>
            <w:tcW w:w="1283" w:type="dxa"/>
            <w:tcBorders>
              <w:top w:val="single" w:color="auto" w:sz="8" w:space="0"/>
              <w:left w:val="single" w:color="auto" w:sz="8" w:space="0"/>
              <w:bottom w:val="single" w:color="auto" w:sz="8" w:space="0"/>
              <w:right w:val="single" w:color="auto" w:sz="8" w:space="0"/>
            </w:tcBorders>
            <w:vAlign w:val="center"/>
          </w:tcPr>
          <w:p w14:paraId="7AB74939">
            <w:pPr>
              <w:pStyle w:val="1111"/>
            </w:pPr>
            <w:r>
              <w:t>-</w:t>
            </w:r>
          </w:p>
        </w:tc>
        <w:tc>
          <w:tcPr>
            <w:tcW w:w="1852" w:type="dxa"/>
            <w:tcBorders>
              <w:top w:val="single" w:color="auto" w:sz="8" w:space="0"/>
              <w:left w:val="single" w:color="auto" w:sz="8" w:space="0"/>
              <w:bottom w:val="single" w:color="auto" w:sz="8" w:space="0"/>
              <w:right w:val="single" w:color="auto" w:sz="8" w:space="0"/>
            </w:tcBorders>
            <w:vAlign w:val="center"/>
          </w:tcPr>
          <w:p w14:paraId="6479E00D">
            <w:pPr>
              <w:jc w:val="center"/>
            </w:pPr>
            <w:r>
              <w:rPr>
                <w:rFonts w:ascii="Times New Roman" w:eastAsia="宋体"/>
                <w:sz w:val="21"/>
                <w:szCs w:val="21"/>
              </w:rPr>
              <w:t>0.0226</w:t>
            </w:r>
          </w:p>
        </w:tc>
        <w:tc>
          <w:tcPr>
            <w:tcW w:w="1711" w:type="dxa"/>
            <w:tcBorders>
              <w:top w:val="single" w:color="auto" w:sz="8" w:space="0"/>
              <w:left w:val="single" w:color="auto" w:sz="8" w:space="0"/>
              <w:bottom w:val="single" w:color="auto" w:sz="8" w:space="0"/>
              <w:right w:val="single" w:color="auto" w:sz="8" w:space="0"/>
            </w:tcBorders>
            <w:vAlign w:val="center"/>
          </w:tcPr>
          <w:p w14:paraId="593F854B">
            <w:pPr>
              <w:jc w:val="center"/>
              <w:rPr>
                <w:rFonts w:hint="eastAsia" w:eastAsia="宋体"/>
                <w:lang w:eastAsia="zh-CN"/>
              </w:rPr>
            </w:pPr>
            <w:r>
              <w:rPr>
                <w:rFonts w:hint="eastAsia"/>
                <w:sz w:val="21"/>
                <w:szCs w:val="21"/>
                <w:lang w:val="en-US" w:eastAsia="zh-CN"/>
              </w:rPr>
              <w:t>-</w:t>
            </w:r>
          </w:p>
        </w:tc>
        <w:tc>
          <w:tcPr>
            <w:tcW w:w="1711" w:type="dxa"/>
            <w:tcBorders>
              <w:top w:val="single" w:color="auto" w:sz="8" w:space="0"/>
              <w:left w:val="single" w:color="auto" w:sz="8" w:space="0"/>
              <w:bottom w:val="single" w:color="auto" w:sz="8" w:space="0"/>
              <w:right w:val="single" w:color="auto" w:sz="8" w:space="0"/>
            </w:tcBorders>
            <w:vAlign w:val="center"/>
          </w:tcPr>
          <w:p w14:paraId="2F254659">
            <w:pPr>
              <w:jc w:val="center"/>
            </w:pPr>
            <w:r>
              <w:rPr>
                <w:rFonts w:ascii="Times New Roman" w:eastAsia="宋体"/>
                <w:sz w:val="21"/>
                <w:szCs w:val="21"/>
              </w:rPr>
              <w:t>0.0226</w:t>
            </w:r>
          </w:p>
        </w:tc>
        <w:tc>
          <w:tcPr>
            <w:tcW w:w="1528" w:type="dxa"/>
            <w:tcBorders>
              <w:top w:val="single" w:color="auto" w:sz="8" w:space="0"/>
              <w:left w:val="single" w:color="auto" w:sz="8" w:space="0"/>
              <w:bottom w:val="single" w:color="auto" w:sz="8" w:space="0"/>
              <w:right w:val="single" w:color="auto" w:sz="8" w:space="0"/>
            </w:tcBorders>
            <w:vAlign w:val="center"/>
          </w:tcPr>
          <w:p w14:paraId="32996B3D">
            <w:pPr>
              <w:jc w:val="center"/>
            </w:pPr>
            <w:r>
              <w:rPr>
                <w:rFonts w:hint="eastAsia"/>
                <w:sz w:val="21"/>
                <w:szCs w:val="21"/>
                <w:lang w:val="en-US" w:eastAsia="zh-CN"/>
              </w:rPr>
              <w:t>+</w:t>
            </w:r>
            <w:r>
              <w:rPr>
                <w:rFonts w:ascii="Times New Roman" w:eastAsia="宋体"/>
                <w:sz w:val="21"/>
                <w:szCs w:val="21"/>
              </w:rPr>
              <w:t>0.0226</w:t>
            </w:r>
          </w:p>
        </w:tc>
      </w:tr>
      <w:tr w14:paraId="6EB57C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1559" w:type="dxa"/>
            <w:vMerge w:val="continue"/>
            <w:tcBorders>
              <w:right w:val="single" w:color="auto" w:sz="8" w:space="0"/>
            </w:tcBorders>
            <w:vAlign w:val="center"/>
          </w:tcPr>
          <w:p w14:paraId="7E7CA154">
            <w:pPr>
              <w:pStyle w:val="1111"/>
              <w:rPr>
                <w:snapToGrid w:val="0"/>
              </w:rPr>
            </w:pPr>
          </w:p>
        </w:tc>
        <w:tc>
          <w:tcPr>
            <w:tcW w:w="1425" w:type="dxa"/>
            <w:tcBorders>
              <w:top w:val="single" w:color="auto" w:sz="8" w:space="0"/>
              <w:left w:val="single" w:color="auto" w:sz="8" w:space="0"/>
              <w:bottom w:val="single" w:color="auto" w:sz="8" w:space="0"/>
              <w:right w:val="single" w:color="auto" w:sz="8" w:space="0"/>
            </w:tcBorders>
            <w:vAlign w:val="center"/>
          </w:tcPr>
          <w:p w14:paraId="2AD0C827">
            <w:pPr>
              <w:pStyle w:val="1111"/>
              <w:rPr>
                <w:snapToGrid w:val="0"/>
              </w:rPr>
            </w:pPr>
            <w:r>
              <w:rPr>
                <w:snapToGrid w:val="0"/>
              </w:rPr>
              <w:t>氨氮</w:t>
            </w:r>
          </w:p>
        </w:tc>
        <w:tc>
          <w:tcPr>
            <w:tcW w:w="1140" w:type="dxa"/>
            <w:tcBorders>
              <w:top w:val="single" w:color="auto" w:sz="8" w:space="0"/>
              <w:left w:val="single" w:color="auto" w:sz="8" w:space="0"/>
              <w:bottom w:val="single" w:color="auto" w:sz="8" w:space="0"/>
              <w:right w:val="single" w:color="auto" w:sz="8" w:space="0"/>
            </w:tcBorders>
            <w:vAlign w:val="center"/>
          </w:tcPr>
          <w:p w14:paraId="45E0C8E7">
            <w:pPr>
              <w:jc w:val="center"/>
              <w:rPr>
                <w:rFonts w:hint="eastAsia" w:eastAsia="宋体"/>
                <w:lang w:eastAsia="zh-CN"/>
              </w:rPr>
            </w:pPr>
            <w:r>
              <w:rPr>
                <w:rFonts w:hint="eastAsia"/>
                <w:sz w:val="21"/>
                <w:szCs w:val="21"/>
                <w:lang w:val="en-US" w:eastAsia="zh-CN"/>
              </w:rPr>
              <w:t>-</w:t>
            </w:r>
          </w:p>
        </w:tc>
        <w:tc>
          <w:tcPr>
            <w:tcW w:w="1283" w:type="dxa"/>
            <w:tcBorders>
              <w:top w:val="single" w:color="auto" w:sz="8" w:space="0"/>
              <w:left w:val="single" w:color="auto" w:sz="8" w:space="0"/>
              <w:bottom w:val="single" w:color="auto" w:sz="8" w:space="0"/>
              <w:right w:val="single" w:color="auto" w:sz="8" w:space="0"/>
            </w:tcBorders>
            <w:vAlign w:val="center"/>
          </w:tcPr>
          <w:p w14:paraId="0E184EAB">
            <w:pPr>
              <w:pStyle w:val="1111"/>
            </w:pPr>
            <w:r>
              <w:t>-</w:t>
            </w:r>
          </w:p>
        </w:tc>
        <w:tc>
          <w:tcPr>
            <w:tcW w:w="1283" w:type="dxa"/>
            <w:tcBorders>
              <w:top w:val="single" w:color="auto" w:sz="8" w:space="0"/>
              <w:left w:val="single" w:color="auto" w:sz="8" w:space="0"/>
              <w:bottom w:val="single" w:color="auto" w:sz="8" w:space="0"/>
              <w:right w:val="single" w:color="auto" w:sz="8" w:space="0"/>
            </w:tcBorders>
            <w:vAlign w:val="center"/>
          </w:tcPr>
          <w:p w14:paraId="5CBB21E2">
            <w:pPr>
              <w:pStyle w:val="1111"/>
            </w:pPr>
            <w:r>
              <w:t>-</w:t>
            </w:r>
          </w:p>
        </w:tc>
        <w:tc>
          <w:tcPr>
            <w:tcW w:w="1852" w:type="dxa"/>
            <w:tcBorders>
              <w:top w:val="single" w:color="auto" w:sz="8" w:space="0"/>
              <w:left w:val="single" w:color="auto" w:sz="8" w:space="0"/>
              <w:bottom w:val="single" w:color="auto" w:sz="8" w:space="0"/>
              <w:right w:val="single" w:color="auto" w:sz="8" w:space="0"/>
            </w:tcBorders>
            <w:vAlign w:val="center"/>
          </w:tcPr>
          <w:p w14:paraId="02049A89">
            <w:pPr>
              <w:jc w:val="center"/>
            </w:pPr>
            <w:r>
              <w:rPr>
                <w:rFonts w:ascii="Times New Roman" w:eastAsia="宋体"/>
                <w:sz w:val="21"/>
                <w:szCs w:val="21"/>
              </w:rPr>
              <w:t>0.0025</w:t>
            </w:r>
          </w:p>
        </w:tc>
        <w:tc>
          <w:tcPr>
            <w:tcW w:w="1711" w:type="dxa"/>
            <w:tcBorders>
              <w:top w:val="single" w:color="auto" w:sz="8" w:space="0"/>
              <w:left w:val="single" w:color="auto" w:sz="8" w:space="0"/>
              <w:bottom w:val="single" w:color="auto" w:sz="8" w:space="0"/>
              <w:right w:val="single" w:color="auto" w:sz="8" w:space="0"/>
            </w:tcBorders>
            <w:vAlign w:val="center"/>
          </w:tcPr>
          <w:p w14:paraId="4700792D">
            <w:pPr>
              <w:jc w:val="center"/>
              <w:rPr>
                <w:rFonts w:hint="eastAsia" w:eastAsia="宋体"/>
                <w:lang w:eastAsia="zh-CN"/>
              </w:rPr>
            </w:pPr>
            <w:r>
              <w:rPr>
                <w:rFonts w:hint="eastAsia"/>
                <w:sz w:val="21"/>
                <w:szCs w:val="21"/>
                <w:lang w:val="en-US" w:eastAsia="zh-CN"/>
              </w:rPr>
              <w:t>-</w:t>
            </w:r>
          </w:p>
        </w:tc>
        <w:tc>
          <w:tcPr>
            <w:tcW w:w="1711" w:type="dxa"/>
            <w:tcBorders>
              <w:top w:val="single" w:color="auto" w:sz="8" w:space="0"/>
              <w:left w:val="single" w:color="auto" w:sz="8" w:space="0"/>
              <w:bottom w:val="single" w:color="auto" w:sz="8" w:space="0"/>
              <w:right w:val="single" w:color="auto" w:sz="8" w:space="0"/>
            </w:tcBorders>
            <w:vAlign w:val="center"/>
          </w:tcPr>
          <w:p w14:paraId="253A81B3">
            <w:pPr>
              <w:jc w:val="center"/>
            </w:pPr>
            <w:r>
              <w:rPr>
                <w:rFonts w:ascii="Times New Roman" w:eastAsia="宋体"/>
                <w:sz w:val="21"/>
                <w:szCs w:val="21"/>
              </w:rPr>
              <w:t>0.0025</w:t>
            </w:r>
          </w:p>
        </w:tc>
        <w:tc>
          <w:tcPr>
            <w:tcW w:w="1528" w:type="dxa"/>
            <w:tcBorders>
              <w:top w:val="single" w:color="auto" w:sz="8" w:space="0"/>
              <w:left w:val="single" w:color="auto" w:sz="8" w:space="0"/>
              <w:bottom w:val="single" w:color="auto" w:sz="8" w:space="0"/>
              <w:right w:val="single" w:color="auto" w:sz="8" w:space="0"/>
            </w:tcBorders>
            <w:vAlign w:val="center"/>
          </w:tcPr>
          <w:p w14:paraId="437982B2">
            <w:pPr>
              <w:jc w:val="center"/>
            </w:pPr>
            <w:r>
              <w:rPr>
                <w:rFonts w:hint="eastAsia"/>
                <w:sz w:val="21"/>
                <w:szCs w:val="21"/>
                <w:lang w:val="en-US" w:eastAsia="zh-CN"/>
              </w:rPr>
              <w:t>+</w:t>
            </w:r>
            <w:r>
              <w:rPr>
                <w:rFonts w:ascii="Times New Roman" w:eastAsia="宋体"/>
                <w:sz w:val="21"/>
                <w:szCs w:val="21"/>
              </w:rPr>
              <w:t>0.0025</w:t>
            </w:r>
          </w:p>
        </w:tc>
      </w:tr>
      <w:tr w14:paraId="42C4BE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559" w:type="dxa"/>
            <w:vMerge w:val="continue"/>
            <w:tcBorders>
              <w:right w:val="single" w:color="auto" w:sz="8" w:space="0"/>
            </w:tcBorders>
            <w:vAlign w:val="center"/>
          </w:tcPr>
          <w:p w14:paraId="2727C08A">
            <w:pPr>
              <w:pStyle w:val="1111"/>
              <w:rPr>
                <w:snapToGrid w:val="0"/>
              </w:rPr>
            </w:pPr>
          </w:p>
        </w:tc>
        <w:tc>
          <w:tcPr>
            <w:tcW w:w="1425" w:type="dxa"/>
            <w:tcBorders>
              <w:top w:val="single" w:color="auto" w:sz="8" w:space="0"/>
              <w:left w:val="single" w:color="auto" w:sz="8" w:space="0"/>
              <w:bottom w:val="single" w:color="auto" w:sz="8" w:space="0"/>
              <w:right w:val="single" w:color="auto" w:sz="8" w:space="0"/>
            </w:tcBorders>
            <w:vAlign w:val="center"/>
          </w:tcPr>
          <w:p w14:paraId="26D2D98E">
            <w:pPr>
              <w:pStyle w:val="1111"/>
              <w:rPr>
                <w:snapToGrid w:val="0"/>
              </w:rPr>
            </w:pPr>
            <w:r>
              <w:rPr>
                <w:rFonts w:hint="eastAsia"/>
                <w:snapToGrid w:val="0"/>
              </w:rPr>
              <w:t>T</w:t>
            </w:r>
            <w:r>
              <w:rPr>
                <w:snapToGrid w:val="0"/>
              </w:rPr>
              <w:t>N</w:t>
            </w:r>
          </w:p>
        </w:tc>
        <w:tc>
          <w:tcPr>
            <w:tcW w:w="1140" w:type="dxa"/>
            <w:tcBorders>
              <w:top w:val="single" w:color="auto" w:sz="8" w:space="0"/>
              <w:left w:val="single" w:color="auto" w:sz="8" w:space="0"/>
              <w:bottom w:val="single" w:color="auto" w:sz="8" w:space="0"/>
              <w:right w:val="single" w:color="auto" w:sz="8" w:space="0"/>
            </w:tcBorders>
            <w:vAlign w:val="center"/>
          </w:tcPr>
          <w:p w14:paraId="7C27BF87">
            <w:pPr>
              <w:jc w:val="center"/>
              <w:rPr>
                <w:rFonts w:hint="eastAsia" w:eastAsia="宋体"/>
                <w:lang w:eastAsia="zh-CN"/>
              </w:rPr>
            </w:pPr>
            <w:r>
              <w:rPr>
                <w:rFonts w:hint="eastAsia"/>
                <w:sz w:val="21"/>
                <w:szCs w:val="21"/>
                <w:lang w:val="en-US" w:eastAsia="zh-CN"/>
              </w:rPr>
              <w:t>-</w:t>
            </w:r>
          </w:p>
        </w:tc>
        <w:tc>
          <w:tcPr>
            <w:tcW w:w="1283" w:type="dxa"/>
            <w:tcBorders>
              <w:top w:val="single" w:color="auto" w:sz="8" w:space="0"/>
              <w:left w:val="single" w:color="auto" w:sz="8" w:space="0"/>
              <w:bottom w:val="single" w:color="auto" w:sz="8" w:space="0"/>
              <w:right w:val="single" w:color="auto" w:sz="8" w:space="0"/>
            </w:tcBorders>
            <w:vAlign w:val="center"/>
          </w:tcPr>
          <w:p w14:paraId="3D3180AC">
            <w:pPr>
              <w:pStyle w:val="1111"/>
            </w:pPr>
            <w:r>
              <w:rPr>
                <w:rFonts w:hint="eastAsia"/>
              </w:rPr>
              <w:t>-</w:t>
            </w:r>
          </w:p>
        </w:tc>
        <w:tc>
          <w:tcPr>
            <w:tcW w:w="1283" w:type="dxa"/>
            <w:tcBorders>
              <w:top w:val="single" w:color="auto" w:sz="8" w:space="0"/>
              <w:left w:val="single" w:color="auto" w:sz="8" w:space="0"/>
              <w:bottom w:val="single" w:color="auto" w:sz="8" w:space="0"/>
              <w:right w:val="single" w:color="auto" w:sz="8" w:space="0"/>
            </w:tcBorders>
            <w:vAlign w:val="center"/>
          </w:tcPr>
          <w:p w14:paraId="49584525">
            <w:pPr>
              <w:pStyle w:val="1111"/>
            </w:pPr>
            <w:r>
              <w:rPr>
                <w:rFonts w:hint="eastAsia"/>
              </w:rPr>
              <w:t>-</w:t>
            </w:r>
          </w:p>
        </w:tc>
        <w:tc>
          <w:tcPr>
            <w:tcW w:w="1852" w:type="dxa"/>
            <w:tcBorders>
              <w:top w:val="single" w:color="auto" w:sz="8" w:space="0"/>
              <w:left w:val="single" w:color="auto" w:sz="8" w:space="0"/>
              <w:bottom w:val="single" w:color="auto" w:sz="8" w:space="0"/>
              <w:right w:val="single" w:color="auto" w:sz="8" w:space="0"/>
            </w:tcBorders>
            <w:vAlign w:val="center"/>
          </w:tcPr>
          <w:p w14:paraId="24EF71AB">
            <w:pPr>
              <w:jc w:val="center"/>
            </w:pPr>
            <w:r>
              <w:rPr>
                <w:rFonts w:ascii="Times New Roman" w:eastAsia="宋体"/>
                <w:sz w:val="21"/>
                <w:szCs w:val="21"/>
              </w:rPr>
              <w:t>0.0036</w:t>
            </w:r>
          </w:p>
        </w:tc>
        <w:tc>
          <w:tcPr>
            <w:tcW w:w="1711" w:type="dxa"/>
            <w:tcBorders>
              <w:top w:val="single" w:color="auto" w:sz="8" w:space="0"/>
              <w:left w:val="single" w:color="auto" w:sz="8" w:space="0"/>
              <w:bottom w:val="single" w:color="auto" w:sz="8" w:space="0"/>
              <w:right w:val="single" w:color="auto" w:sz="8" w:space="0"/>
            </w:tcBorders>
            <w:vAlign w:val="center"/>
          </w:tcPr>
          <w:p w14:paraId="558B3CAF">
            <w:pPr>
              <w:jc w:val="center"/>
              <w:rPr>
                <w:rFonts w:hint="eastAsia" w:eastAsia="宋体"/>
                <w:lang w:eastAsia="zh-CN"/>
              </w:rPr>
            </w:pPr>
            <w:r>
              <w:rPr>
                <w:rFonts w:hint="eastAsia"/>
                <w:sz w:val="21"/>
                <w:szCs w:val="21"/>
                <w:lang w:val="en-US" w:eastAsia="zh-CN"/>
              </w:rPr>
              <w:t>-</w:t>
            </w:r>
          </w:p>
        </w:tc>
        <w:tc>
          <w:tcPr>
            <w:tcW w:w="1711" w:type="dxa"/>
            <w:tcBorders>
              <w:top w:val="single" w:color="auto" w:sz="8" w:space="0"/>
              <w:left w:val="single" w:color="auto" w:sz="8" w:space="0"/>
              <w:bottom w:val="single" w:color="auto" w:sz="8" w:space="0"/>
              <w:right w:val="single" w:color="auto" w:sz="8" w:space="0"/>
            </w:tcBorders>
            <w:vAlign w:val="center"/>
          </w:tcPr>
          <w:p w14:paraId="0631CEB3">
            <w:pPr>
              <w:jc w:val="center"/>
            </w:pPr>
            <w:r>
              <w:rPr>
                <w:rFonts w:ascii="Times New Roman" w:eastAsia="宋体"/>
                <w:sz w:val="21"/>
                <w:szCs w:val="21"/>
              </w:rPr>
              <w:t>0.0036</w:t>
            </w:r>
          </w:p>
        </w:tc>
        <w:tc>
          <w:tcPr>
            <w:tcW w:w="1528" w:type="dxa"/>
            <w:tcBorders>
              <w:top w:val="single" w:color="auto" w:sz="8" w:space="0"/>
              <w:left w:val="single" w:color="auto" w:sz="8" w:space="0"/>
              <w:bottom w:val="single" w:color="auto" w:sz="8" w:space="0"/>
              <w:right w:val="single" w:color="auto" w:sz="8" w:space="0"/>
            </w:tcBorders>
            <w:vAlign w:val="center"/>
          </w:tcPr>
          <w:p w14:paraId="3520E608">
            <w:pPr>
              <w:jc w:val="center"/>
            </w:pPr>
            <w:r>
              <w:rPr>
                <w:rFonts w:hint="eastAsia"/>
                <w:sz w:val="21"/>
                <w:szCs w:val="21"/>
                <w:lang w:val="en-US" w:eastAsia="zh-CN"/>
              </w:rPr>
              <w:t>+</w:t>
            </w:r>
            <w:r>
              <w:rPr>
                <w:rFonts w:ascii="Times New Roman" w:eastAsia="宋体"/>
                <w:sz w:val="21"/>
                <w:szCs w:val="21"/>
              </w:rPr>
              <w:t>0.0036</w:t>
            </w:r>
          </w:p>
        </w:tc>
      </w:tr>
      <w:tr w14:paraId="086CF4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1559" w:type="dxa"/>
            <w:vMerge w:val="continue"/>
            <w:tcBorders>
              <w:right w:val="single" w:color="auto" w:sz="8" w:space="0"/>
            </w:tcBorders>
            <w:vAlign w:val="center"/>
          </w:tcPr>
          <w:p w14:paraId="25A263F3">
            <w:pPr>
              <w:pStyle w:val="1111"/>
              <w:rPr>
                <w:snapToGrid w:val="0"/>
              </w:rPr>
            </w:pPr>
          </w:p>
        </w:tc>
        <w:tc>
          <w:tcPr>
            <w:tcW w:w="1425" w:type="dxa"/>
            <w:tcBorders>
              <w:top w:val="single" w:color="auto" w:sz="8" w:space="0"/>
              <w:left w:val="single" w:color="auto" w:sz="8" w:space="0"/>
              <w:bottom w:val="single" w:color="auto" w:sz="8" w:space="0"/>
              <w:right w:val="single" w:color="auto" w:sz="8" w:space="0"/>
            </w:tcBorders>
            <w:vAlign w:val="center"/>
          </w:tcPr>
          <w:p w14:paraId="1A1668D4">
            <w:pPr>
              <w:pStyle w:val="1111"/>
              <w:rPr>
                <w:snapToGrid w:val="0"/>
              </w:rPr>
            </w:pPr>
            <w:r>
              <w:rPr>
                <w:snapToGrid w:val="0"/>
              </w:rPr>
              <w:t>TP</w:t>
            </w:r>
          </w:p>
        </w:tc>
        <w:tc>
          <w:tcPr>
            <w:tcW w:w="1140" w:type="dxa"/>
            <w:tcBorders>
              <w:top w:val="single" w:color="auto" w:sz="8" w:space="0"/>
              <w:left w:val="single" w:color="auto" w:sz="8" w:space="0"/>
              <w:bottom w:val="single" w:color="auto" w:sz="8" w:space="0"/>
              <w:right w:val="single" w:color="auto" w:sz="8" w:space="0"/>
            </w:tcBorders>
            <w:vAlign w:val="center"/>
          </w:tcPr>
          <w:p w14:paraId="4315517B">
            <w:pPr>
              <w:jc w:val="center"/>
              <w:rPr>
                <w:rFonts w:hint="eastAsia" w:eastAsia="宋体"/>
                <w:lang w:eastAsia="zh-CN"/>
              </w:rPr>
            </w:pPr>
            <w:r>
              <w:rPr>
                <w:rFonts w:hint="eastAsia"/>
                <w:sz w:val="21"/>
                <w:szCs w:val="21"/>
                <w:lang w:val="en-US" w:eastAsia="zh-CN"/>
              </w:rPr>
              <w:t>-</w:t>
            </w:r>
          </w:p>
        </w:tc>
        <w:tc>
          <w:tcPr>
            <w:tcW w:w="1283" w:type="dxa"/>
            <w:tcBorders>
              <w:top w:val="single" w:color="auto" w:sz="8" w:space="0"/>
              <w:left w:val="single" w:color="auto" w:sz="8" w:space="0"/>
              <w:bottom w:val="single" w:color="auto" w:sz="8" w:space="0"/>
              <w:right w:val="single" w:color="auto" w:sz="8" w:space="0"/>
            </w:tcBorders>
            <w:vAlign w:val="center"/>
          </w:tcPr>
          <w:p w14:paraId="0D03E33B">
            <w:pPr>
              <w:pStyle w:val="1111"/>
            </w:pPr>
            <w:r>
              <w:t>-</w:t>
            </w:r>
          </w:p>
        </w:tc>
        <w:tc>
          <w:tcPr>
            <w:tcW w:w="1283" w:type="dxa"/>
            <w:tcBorders>
              <w:top w:val="single" w:color="auto" w:sz="8" w:space="0"/>
              <w:left w:val="single" w:color="auto" w:sz="8" w:space="0"/>
              <w:bottom w:val="single" w:color="auto" w:sz="8" w:space="0"/>
              <w:right w:val="single" w:color="auto" w:sz="8" w:space="0"/>
            </w:tcBorders>
            <w:vAlign w:val="center"/>
          </w:tcPr>
          <w:p w14:paraId="6D64D155">
            <w:pPr>
              <w:pStyle w:val="1111"/>
            </w:pPr>
            <w:r>
              <w:t>-</w:t>
            </w:r>
          </w:p>
        </w:tc>
        <w:tc>
          <w:tcPr>
            <w:tcW w:w="1852" w:type="dxa"/>
            <w:tcBorders>
              <w:top w:val="single" w:color="auto" w:sz="8" w:space="0"/>
              <w:left w:val="single" w:color="auto" w:sz="8" w:space="0"/>
              <w:bottom w:val="single" w:color="auto" w:sz="8" w:space="0"/>
              <w:right w:val="single" w:color="auto" w:sz="8" w:space="0"/>
            </w:tcBorders>
            <w:vAlign w:val="center"/>
          </w:tcPr>
          <w:p w14:paraId="3A8CD9AC">
            <w:pPr>
              <w:jc w:val="center"/>
            </w:pPr>
            <w:r>
              <w:rPr>
                <w:rFonts w:ascii="Times New Roman" w:eastAsia="宋体"/>
                <w:sz w:val="21"/>
                <w:szCs w:val="21"/>
              </w:rPr>
              <w:t>0.0004</w:t>
            </w:r>
          </w:p>
        </w:tc>
        <w:tc>
          <w:tcPr>
            <w:tcW w:w="1711" w:type="dxa"/>
            <w:tcBorders>
              <w:top w:val="single" w:color="auto" w:sz="8" w:space="0"/>
              <w:left w:val="single" w:color="auto" w:sz="8" w:space="0"/>
              <w:bottom w:val="single" w:color="auto" w:sz="8" w:space="0"/>
              <w:right w:val="single" w:color="auto" w:sz="8" w:space="0"/>
            </w:tcBorders>
            <w:vAlign w:val="center"/>
          </w:tcPr>
          <w:p w14:paraId="691A1D03">
            <w:pPr>
              <w:jc w:val="center"/>
              <w:rPr>
                <w:rFonts w:hint="eastAsia" w:eastAsia="宋体"/>
                <w:lang w:eastAsia="zh-CN"/>
              </w:rPr>
            </w:pPr>
            <w:r>
              <w:rPr>
                <w:rFonts w:hint="eastAsia"/>
                <w:sz w:val="21"/>
                <w:szCs w:val="21"/>
                <w:lang w:val="en-US" w:eastAsia="zh-CN"/>
              </w:rPr>
              <w:t>-</w:t>
            </w:r>
          </w:p>
        </w:tc>
        <w:tc>
          <w:tcPr>
            <w:tcW w:w="1711" w:type="dxa"/>
            <w:tcBorders>
              <w:top w:val="single" w:color="auto" w:sz="8" w:space="0"/>
              <w:left w:val="single" w:color="auto" w:sz="8" w:space="0"/>
              <w:bottom w:val="single" w:color="auto" w:sz="8" w:space="0"/>
              <w:right w:val="single" w:color="auto" w:sz="8" w:space="0"/>
            </w:tcBorders>
            <w:vAlign w:val="center"/>
          </w:tcPr>
          <w:p w14:paraId="155543EF">
            <w:pPr>
              <w:jc w:val="center"/>
            </w:pPr>
            <w:r>
              <w:rPr>
                <w:rFonts w:ascii="Times New Roman" w:eastAsia="宋体"/>
                <w:sz w:val="21"/>
                <w:szCs w:val="21"/>
              </w:rPr>
              <w:t>0.0004</w:t>
            </w:r>
          </w:p>
        </w:tc>
        <w:tc>
          <w:tcPr>
            <w:tcW w:w="1528" w:type="dxa"/>
            <w:tcBorders>
              <w:top w:val="single" w:color="auto" w:sz="8" w:space="0"/>
              <w:left w:val="single" w:color="auto" w:sz="8" w:space="0"/>
              <w:bottom w:val="single" w:color="auto" w:sz="8" w:space="0"/>
              <w:right w:val="single" w:color="auto" w:sz="8" w:space="0"/>
            </w:tcBorders>
            <w:vAlign w:val="center"/>
          </w:tcPr>
          <w:p w14:paraId="1BB3EAD6">
            <w:pPr>
              <w:jc w:val="center"/>
            </w:pPr>
            <w:r>
              <w:rPr>
                <w:rFonts w:hint="eastAsia"/>
                <w:sz w:val="21"/>
                <w:szCs w:val="21"/>
                <w:lang w:val="en-US" w:eastAsia="zh-CN"/>
              </w:rPr>
              <w:t>+</w:t>
            </w:r>
            <w:r>
              <w:rPr>
                <w:rFonts w:ascii="Times New Roman" w:eastAsia="宋体"/>
                <w:sz w:val="21"/>
                <w:szCs w:val="21"/>
              </w:rPr>
              <w:t>0.0004</w:t>
            </w:r>
          </w:p>
        </w:tc>
      </w:tr>
      <w:tr w14:paraId="3F15D4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559" w:type="dxa"/>
            <w:tcBorders>
              <w:top w:val="single" w:color="auto" w:sz="8" w:space="0"/>
              <w:right w:val="single" w:color="auto" w:sz="8" w:space="0"/>
            </w:tcBorders>
            <w:vAlign w:val="center"/>
          </w:tcPr>
          <w:p w14:paraId="41DB1997">
            <w:pPr>
              <w:pStyle w:val="1111"/>
              <w:rPr>
                <w:snapToGrid w:val="0"/>
              </w:rPr>
            </w:pPr>
            <w:r>
              <w:rPr>
                <w:snapToGrid w:val="0"/>
              </w:rPr>
              <w:t>一般工业</w:t>
            </w:r>
          </w:p>
          <w:p w14:paraId="42E57904">
            <w:pPr>
              <w:pStyle w:val="1111"/>
              <w:rPr>
                <w:snapToGrid w:val="0"/>
              </w:rPr>
            </w:pPr>
            <w:r>
              <w:rPr>
                <w:snapToGrid w:val="0"/>
              </w:rPr>
              <w:t>固体废物</w:t>
            </w:r>
          </w:p>
        </w:tc>
        <w:tc>
          <w:tcPr>
            <w:tcW w:w="1425" w:type="dxa"/>
            <w:tcBorders>
              <w:top w:val="single" w:color="auto" w:sz="8" w:space="0"/>
              <w:left w:val="single" w:color="auto" w:sz="8" w:space="0"/>
              <w:bottom w:val="single" w:color="auto" w:sz="8" w:space="0"/>
              <w:right w:val="single" w:color="auto" w:sz="8" w:space="0"/>
            </w:tcBorders>
            <w:vAlign w:val="center"/>
          </w:tcPr>
          <w:p w14:paraId="67D1BE1C">
            <w:pPr>
              <w:pStyle w:val="1111"/>
              <w:rPr>
                <w:lang w:bidi="zh-TW"/>
              </w:rPr>
            </w:pPr>
            <w:r>
              <w:t>生活垃圾</w:t>
            </w:r>
          </w:p>
        </w:tc>
        <w:tc>
          <w:tcPr>
            <w:tcW w:w="1140" w:type="dxa"/>
            <w:tcBorders>
              <w:top w:val="single" w:color="auto" w:sz="8" w:space="0"/>
              <w:left w:val="single" w:color="auto" w:sz="8" w:space="0"/>
              <w:bottom w:val="single" w:color="auto" w:sz="8" w:space="0"/>
              <w:right w:val="single" w:color="auto" w:sz="8" w:space="0"/>
            </w:tcBorders>
            <w:vAlign w:val="center"/>
          </w:tcPr>
          <w:p w14:paraId="6C3BDAA4">
            <w:pPr>
              <w:pStyle w:val="1111"/>
              <w:rPr>
                <w:rFonts w:hint="default" w:eastAsia="宋体"/>
                <w:snapToGrid w:val="0"/>
                <w:lang w:val="en-US" w:eastAsia="zh-CN"/>
              </w:rPr>
            </w:pPr>
            <w:r>
              <w:rPr>
                <w:rFonts w:hint="eastAsia"/>
                <w:snapToGrid w:val="0"/>
                <w:lang w:val="en-US" w:eastAsia="zh-CN"/>
              </w:rPr>
              <w:t>-</w:t>
            </w:r>
          </w:p>
        </w:tc>
        <w:tc>
          <w:tcPr>
            <w:tcW w:w="1283" w:type="dxa"/>
            <w:tcBorders>
              <w:top w:val="single" w:color="auto" w:sz="8" w:space="0"/>
              <w:left w:val="single" w:color="auto" w:sz="8" w:space="0"/>
              <w:bottom w:val="single" w:color="auto" w:sz="8" w:space="0"/>
              <w:right w:val="single" w:color="auto" w:sz="8" w:space="0"/>
            </w:tcBorders>
            <w:vAlign w:val="center"/>
          </w:tcPr>
          <w:p w14:paraId="5F9CCC3A">
            <w:pPr>
              <w:pStyle w:val="1111"/>
              <w:rPr>
                <w:snapToGrid w:val="0"/>
              </w:rPr>
            </w:pPr>
            <w:r>
              <w:rPr>
                <w:snapToGrid w:val="0"/>
              </w:rPr>
              <w:t>-</w:t>
            </w:r>
          </w:p>
        </w:tc>
        <w:tc>
          <w:tcPr>
            <w:tcW w:w="1283" w:type="dxa"/>
            <w:tcBorders>
              <w:top w:val="single" w:color="auto" w:sz="8" w:space="0"/>
              <w:left w:val="single" w:color="auto" w:sz="8" w:space="0"/>
              <w:bottom w:val="single" w:color="auto" w:sz="8" w:space="0"/>
              <w:right w:val="single" w:color="auto" w:sz="8" w:space="0"/>
            </w:tcBorders>
            <w:vAlign w:val="center"/>
          </w:tcPr>
          <w:p w14:paraId="625FA067">
            <w:pPr>
              <w:pStyle w:val="1111"/>
              <w:rPr>
                <w:snapToGrid w:val="0"/>
              </w:rPr>
            </w:pPr>
            <w:r>
              <w:rPr>
                <w:snapToGrid w:val="0"/>
              </w:rPr>
              <w:t>-</w:t>
            </w:r>
          </w:p>
        </w:tc>
        <w:tc>
          <w:tcPr>
            <w:tcW w:w="1852" w:type="dxa"/>
            <w:tcBorders>
              <w:top w:val="single" w:color="auto" w:sz="8" w:space="0"/>
              <w:left w:val="single" w:color="auto" w:sz="8" w:space="0"/>
              <w:bottom w:val="single" w:color="auto" w:sz="8" w:space="0"/>
              <w:right w:val="single" w:color="auto" w:sz="8" w:space="0"/>
            </w:tcBorders>
            <w:vAlign w:val="center"/>
          </w:tcPr>
          <w:p w14:paraId="31A62EE5">
            <w:pPr>
              <w:pStyle w:val="1111"/>
              <w:rPr>
                <w:rFonts w:hint="default" w:eastAsia="宋体"/>
                <w:lang w:val="en-US" w:eastAsia="zh-CN"/>
              </w:rPr>
            </w:pPr>
            <w:r>
              <w:rPr>
                <w:rFonts w:hint="eastAsia"/>
                <w:lang w:val="en-US" w:eastAsia="zh-CN"/>
              </w:rPr>
              <w:t>0.9</w:t>
            </w:r>
          </w:p>
        </w:tc>
        <w:tc>
          <w:tcPr>
            <w:tcW w:w="1711" w:type="dxa"/>
            <w:tcBorders>
              <w:top w:val="single" w:color="auto" w:sz="8" w:space="0"/>
              <w:left w:val="single" w:color="auto" w:sz="8" w:space="0"/>
              <w:bottom w:val="single" w:color="auto" w:sz="8" w:space="0"/>
              <w:right w:val="single" w:color="auto" w:sz="8" w:space="0"/>
            </w:tcBorders>
            <w:vAlign w:val="center"/>
          </w:tcPr>
          <w:p w14:paraId="4214C00E">
            <w:pPr>
              <w:pStyle w:val="1111"/>
              <w:rPr>
                <w:snapToGrid w:val="0"/>
              </w:rPr>
            </w:pPr>
            <w:r>
              <w:rPr>
                <w:rFonts w:hint="eastAsia"/>
                <w:snapToGrid w:val="0"/>
                <w:lang w:val="en-US" w:eastAsia="zh-CN"/>
              </w:rPr>
              <w:t>-</w:t>
            </w:r>
          </w:p>
        </w:tc>
        <w:tc>
          <w:tcPr>
            <w:tcW w:w="1711" w:type="dxa"/>
            <w:tcBorders>
              <w:top w:val="single" w:color="auto" w:sz="8" w:space="0"/>
              <w:left w:val="single" w:color="auto" w:sz="8" w:space="0"/>
              <w:bottom w:val="single" w:color="auto" w:sz="8" w:space="0"/>
              <w:right w:val="single" w:color="auto" w:sz="8" w:space="0"/>
            </w:tcBorders>
            <w:vAlign w:val="center"/>
          </w:tcPr>
          <w:p w14:paraId="4453FE84">
            <w:pPr>
              <w:pStyle w:val="1111"/>
            </w:pPr>
            <w:r>
              <w:rPr>
                <w:rFonts w:hint="eastAsia"/>
                <w:lang w:val="en-US" w:eastAsia="zh-CN"/>
              </w:rPr>
              <w:t>0.9</w:t>
            </w:r>
          </w:p>
        </w:tc>
        <w:tc>
          <w:tcPr>
            <w:tcW w:w="1528" w:type="dxa"/>
            <w:tcBorders>
              <w:top w:val="single" w:color="auto" w:sz="8" w:space="0"/>
              <w:left w:val="single" w:color="auto" w:sz="8" w:space="0"/>
              <w:bottom w:val="single" w:color="auto" w:sz="8" w:space="0"/>
            </w:tcBorders>
            <w:vAlign w:val="center"/>
          </w:tcPr>
          <w:p w14:paraId="4DE6F787">
            <w:pPr>
              <w:pStyle w:val="1111"/>
            </w:pPr>
            <w:r>
              <w:rPr>
                <w:rFonts w:hint="eastAsia"/>
                <w:lang w:val="en-US" w:eastAsia="zh-CN"/>
              </w:rPr>
              <w:t>+0.9</w:t>
            </w:r>
          </w:p>
        </w:tc>
      </w:tr>
      <w:tr w14:paraId="1FB780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1559" w:type="dxa"/>
            <w:vMerge w:val="restart"/>
            <w:tcBorders>
              <w:top w:val="single" w:color="auto" w:sz="8" w:space="0"/>
              <w:right w:val="single" w:color="auto" w:sz="8" w:space="0"/>
            </w:tcBorders>
            <w:vAlign w:val="center"/>
          </w:tcPr>
          <w:p w14:paraId="0EC0F2D5">
            <w:pPr>
              <w:pStyle w:val="1111"/>
              <w:rPr>
                <w:snapToGrid w:val="0"/>
              </w:rPr>
            </w:pPr>
            <w:r>
              <w:rPr>
                <w:rFonts w:hint="eastAsia"/>
                <w:snapToGrid w:val="0"/>
              </w:rPr>
              <w:t>危险废物</w:t>
            </w:r>
          </w:p>
        </w:tc>
        <w:tc>
          <w:tcPr>
            <w:tcW w:w="1425" w:type="dxa"/>
            <w:tcBorders>
              <w:top w:val="single" w:color="auto" w:sz="8" w:space="0"/>
              <w:left w:val="single" w:color="auto" w:sz="8" w:space="0"/>
              <w:bottom w:val="single" w:color="auto" w:sz="8" w:space="0"/>
              <w:right w:val="single" w:color="auto" w:sz="8" w:space="0"/>
            </w:tcBorders>
            <w:vAlign w:val="center"/>
          </w:tcPr>
          <w:p w14:paraId="2CDBE699">
            <w:pPr>
              <w:pStyle w:val="1111"/>
            </w:pPr>
            <w:r>
              <w:rPr>
                <w:rFonts w:hint="eastAsia"/>
              </w:rPr>
              <w:t>废活性炭</w:t>
            </w:r>
          </w:p>
        </w:tc>
        <w:tc>
          <w:tcPr>
            <w:tcW w:w="1140" w:type="dxa"/>
            <w:tcBorders>
              <w:top w:val="single" w:color="auto" w:sz="8" w:space="0"/>
              <w:left w:val="single" w:color="auto" w:sz="8" w:space="0"/>
              <w:bottom w:val="single" w:color="auto" w:sz="8" w:space="0"/>
              <w:right w:val="single" w:color="auto" w:sz="8" w:space="0"/>
            </w:tcBorders>
            <w:vAlign w:val="center"/>
          </w:tcPr>
          <w:p w14:paraId="77B13649">
            <w:pPr>
              <w:pStyle w:val="1111"/>
              <w:rPr>
                <w:rFonts w:hint="default" w:eastAsia="宋体"/>
                <w:snapToGrid w:val="0"/>
                <w:lang w:val="en-US" w:eastAsia="zh-CN"/>
              </w:rPr>
            </w:pPr>
            <w:r>
              <w:rPr>
                <w:rFonts w:hint="eastAsia"/>
                <w:snapToGrid w:val="0"/>
                <w:lang w:val="en-US" w:eastAsia="zh-CN"/>
              </w:rPr>
              <w:t>-</w:t>
            </w:r>
          </w:p>
        </w:tc>
        <w:tc>
          <w:tcPr>
            <w:tcW w:w="1283" w:type="dxa"/>
            <w:tcBorders>
              <w:top w:val="single" w:color="auto" w:sz="8" w:space="0"/>
              <w:left w:val="single" w:color="auto" w:sz="8" w:space="0"/>
              <w:bottom w:val="single" w:color="auto" w:sz="8" w:space="0"/>
              <w:right w:val="single" w:color="auto" w:sz="8" w:space="0"/>
            </w:tcBorders>
            <w:vAlign w:val="center"/>
          </w:tcPr>
          <w:p w14:paraId="24EB55B2">
            <w:pPr>
              <w:pStyle w:val="1111"/>
              <w:rPr>
                <w:snapToGrid w:val="0"/>
              </w:rPr>
            </w:pPr>
            <w:r>
              <w:rPr>
                <w:rFonts w:hint="eastAsia"/>
                <w:snapToGrid w:val="0"/>
              </w:rPr>
              <w:t>-</w:t>
            </w:r>
          </w:p>
        </w:tc>
        <w:tc>
          <w:tcPr>
            <w:tcW w:w="1283" w:type="dxa"/>
            <w:tcBorders>
              <w:top w:val="single" w:color="auto" w:sz="8" w:space="0"/>
              <w:left w:val="single" w:color="auto" w:sz="8" w:space="0"/>
              <w:bottom w:val="single" w:color="auto" w:sz="8" w:space="0"/>
              <w:right w:val="single" w:color="auto" w:sz="8" w:space="0"/>
            </w:tcBorders>
            <w:vAlign w:val="center"/>
          </w:tcPr>
          <w:p w14:paraId="4A5DDCFB">
            <w:pPr>
              <w:pStyle w:val="1111"/>
              <w:rPr>
                <w:snapToGrid w:val="0"/>
              </w:rPr>
            </w:pPr>
            <w:r>
              <w:rPr>
                <w:rFonts w:hint="eastAsia"/>
                <w:snapToGrid w:val="0"/>
              </w:rPr>
              <w:t>-</w:t>
            </w:r>
          </w:p>
        </w:tc>
        <w:tc>
          <w:tcPr>
            <w:tcW w:w="1852" w:type="dxa"/>
            <w:tcBorders>
              <w:top w:val="single" w:color="auto" w:sz="8" w:space="0"/>
              <w:left w:val="single" w:color="auto" w:sz="8" w:space="0"/>
              <w:bottom w:val="single" w:color="auto" w:sz="8" w:space="0"/>
              <w:right w:val="single" w:color="auto" w:sz="8" w:space="0"/>
            </w:tcBorders>
            <w:vAlign w:val="center"/>
          </w:tcPr>
          <w:p w14:paraId="342FE123">
            <w:pPr>
              <w:pStyle w:val="1111"/>
              <w:rPr>
                <w:rFonts w:hint="default" w:eastAsia="宋体"/>
                <w:snapToGrid w:val="0"/>
                <w:lang w:val="en-US" w:eastAsia="zh-CN"/>
              </w:rPr>
            </w:pPr>
            <w:r>
              <w:rPr>
                <w:rFonts w:hint="eastAsia"/>
                <w:snapToGrid w:val="0"/>
                <w:lang w:val="en-US" w:eastAsia="zh-CN"/>
              </w:rPr>
              <w:t>26.169</w:t>
            </w:r>
          </w:p>
        </w:tc>
        <w:tc>
          <w:tcPr>
            <w:tcW w:w="1711" w:type="dxa"/>
            <w:tcBorders>
              <w:top w:val="single" w:color="auto" w:sz="8" w:space="0"/>
              <w:left w:val="single" w:color="auto" w:sz="8" w:space="0"/>
              <w:bottom w:val="single" w:color="auto" w:sz="8" w:space="0"/>
              <w:right w:val="single" w:color="auto" w:sz="8" w:space="0"/>
            </w:tcBorders>
            <w:vAlign w:val="center"/>
          </w:tcPr>
          <w:p w14:paraId="31EA9AB2">
            <w:pPr>
              <w:pStyle w:val="1111"/>
              <w:rPr>
                <w:snapToGrid w:val="0"/>
              </w:rPr>
            </w:pPr>
            <w:r>
              <w:rPr>
                <w:rFonts w:hint="eastAsia"/>
                <w:snapToGrid w:val="0"/>
                <w:lang w:val="en-US" w:eastAsia="zh-CN"/>
              </w:rPr>
              <w:t>-</w:t>
            </w:r>
          </w:p>
        </w:tc>
        <w:tc>
          <w:tcPr>
            <w:tcW w:w="1711" w:type="dxa"/>
            <w:tcBorders>
              <w:top w:val="single" w:color="auto" w:sz="8" w:space="0"/>
              <w:left w:val="single" w:color="auto" w:sz="8" w:space="0"/>
              <w:bottom w:val="single" w:color="auto" w:sz="8" w:space="0"/>
              <w:right w:val="single" w:color="auto" w:sz="8" w:space="0"/>
            </w:tcBorders>
            <w:vAlign w:val="center"/>
          </w:tcPr>
          <w:p w14:paraId="6F4A6A1D">
            <w:pPr>
              <w:pStyle w:val="1111"/>
              <w:rPr>
                <w:snapToGrid w:val="0"/>
              </w:rPr>
            </w:pPr>
            <w:r>
              <w:rPr>
                <w:rFonts w:hint="eastAsia"/>
                <w:snapToGrid w:val="0"/>
                <w:lang w:val="en-US" w:eastAsia="zh-CN"/>
              </w:rPr>
              <w:t>26.169</w:t>
            </w:r>
          </w:p>
        </w:tc>
        <w:tc>
          <w:tcPr>
            <w:tcW w:w="1528" w:type="dxa"/>
            <w:tcBorders>
              <w:top w:val="single" w:color="auto" w:sz="8" w:space="0"/>
              <w:left w:val="single" w:color="auto" w:sz="8" w:space="0"/>
              <w:bottom w:val="single" w:color="auto" w:sz="8" w:space="0"/>
            </w:tcBorders>
            <w:vAlign w:val="center"/>
          </w:tcPr>
          <w:p w14:paraId="28AB7D6F">
            <w:pPr>
              <w:pStyle w:val="1111"/>
              <w:rPr>
                <w:snapToGrid w:val="0"/>
              </w:rPr>
            </w:pPr>
            <w:r>
              <w:rPr>
                <w:rFonts w:hint="eastAsia"/>
                <w:snapToGrid w:val="0"/>
                <w:lang w:val="en-US" w:eastAsia="zh-CN"/>
              </w:rPr>
              <w:t>+26.169</w:t>
            </w:r>
          </w:p>
        </w:tc>
      </w:tr>
      <w:tr w14:paraId="3147BD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1559" w:type="dxa"/>
            <w:vMerge w:val="continue"/>
            <w:tcBorders>
              <w:right w:val="single" w:color="auto" w:sz="8" w:space="0"/>
            </w:tcBorders>
            <w:vAlign w:val="center"/>
          </w:tcPr>
          <w:p w14:paraId="72848F6C">
            <w:pPr>
              <w:pStyle w:val="1111"/>
              <w:rPr>
                <w:snapToGrid w:val="0"/>
              </w:rPr>
            </w:pPr>
          </w:p>
        </w:tc>
        <w:tc>
          <w:tcPr>
            <w:tcW w:w="1425" w:type="dxa"/>
            <w:tcBorders>
              <w:top w:val="single" w:color="auto" w:sz="8" w:space="0"/>
              <w:left w:val="single" w:color="auto" w:sz="8" w:space="0"/>
              <w:bottom w:val="single" w:color="auto" w:sz="8" w:space="0"/>
              <w:right w:val="single" w:color="auto" w:sz="8" w:space="0"/>
            </w:tcBorders>
            <w:vAlign w:val="center"/>
          </w:tcPr>
          <w:p w14:paraId="68F7138E">
            <w:pPr>
              <w:pStyle w:val="1111"/>
              <w:rPr>
                <w:rFonts w:hint="eastAsia" w:eastAsia="宋体"/>
                <w:lang w:eastAsia="zh-CN"/>
              </w:rPr>
            </w:pPr>
            <w:r>
              <w:rPr>
                <w:rFonts w:hint="eastAsia"/>
              </w:rPr>
              <w:t>废</w:t>
            </w:r>
            <w:r>
              <w:rPr>
                <w:rFonts w:hint="eastAsia"/>
                <w:lang w:eastAsia="zh-CN"/>
              </w:rPr>
              <w:t>劳保用品</w:t>
            </w:r>
          </w:p>
        </w:tc>
        <w:tc>
          <w:tcPr>
            <w:tcW w:w="1140" w:type="dxa"/>
            <w:tcBorders>
              <w:top w:val="single" w:color="auto" w:sz="8" w:space="0"/>
              <w:left w:val="single" w:color="auto" w:sz="8" w:space="0"/>
              <w:bottom w:val="single" w:color="auto" w:sz="8" w:space="0"/>
              <w:right w:val="single" w:color="auto" w:sz="8" w:space="0"/>
            </w:tcBorders>
            <w:vAlign w:val="center"/>
          </w:tcPr>
          <w:p w14:paraId="64C5B321">
            <w:pPr>
              <w:jc w:val="center"/>
              <w:rPr>
                <w:rFonts w:hint="default" w:eastAsia="宋体"/>
                <w:snapToGrid w:val="0"/>
                <w:lang w:val="en-US" w:eastAsia="zh-CN"/>
              </w:rPr>
            </w:pPr>
            <w:r>
              <w:rPr>
                <w:rFonts w:hint="eastAsia"/>
                <w:snapToGrid w:val="0"/>
              </w:rPr>
              <w:t>-</w:t>
            </w:r>
          </w:p>
        </w:tc>
        <w:tc>
          <w:tcPr>
            <w:tcW w:w="1283" w:type="dxa"/>
            <w:tcBorders>
              <w:top w:val="single" w:color="auto" w:sz="8" w:space="0"/>
              <w:left w:val="single" w:color="auto" w:sz="8" w:space="0"/>
              <w:bottom w:val="single" w:color="auto" w:sz="8" w:space="0"/>
              <w:right w:val="single" w:color="auto" w:sz="8" w:space="0"/>
            </w:tcBorders>
            <w:vAlign w:val="center"/>
          </w:tcPr>
          <w:p w14:paraId="506C0161">
            <w:pPr>
              <w:jc w:val="center"/>
              <w:rPr>
                <w:snapToGrid w:val="0"/>
              </w:rPr>
            </w:pPr>
            <w:r>
              <w:rPr>
                <w:rFonts w:hint="eastAsia"/>
                <w:snapToGrid w:val="0"/>
              </w:rPr>
              <w:t>-</w:t>
            </w:r>
          </w:p>
        </w:tc>
        <w:tc>
          <w:tcPr>
            <w:tcW w:w="1283" w:type="dxa"/>
            <w:tcBorders>
              <w:top w:val="single" w:color="auto" w:sz="8" w:space="0"/>
              <w:left w:val="single" w:color="auto" w:sz="8" w:space="0"/>
              <w:bottom w:val="single" w:color="auto" w:sz="8" w:space="0"/>
              <w:right w:val="single" w:color="auto" w:sz="8" w:space="0"/>
            </w:tcBorders>
            <w:vAlign w:val="center"/>
          </w:tcPr>
          <w:p w14:paraId="108B0512">
            <w:pPr>
              <w:jc w:val="center"/>
              <w:rPr>
                <w:snapToGrid w:val="0"/>
              </w:rPr>
            </w:pPr>
            <w:r>
              <w:rPr>
                <w:rFonts w:hint="eastAsia"/>
                <w:snapToGrid w:val="0"/>
              </w:rPr>
              <w:t>-</w:t>
            </w:r>
          </w:p>
        </w:tc>
        <w:tc>
          <w:tcPr>
            <w:tcW w:w="1852" w:type="dxa"/>
            <w:tcBorders>
              <w:top w:val="single" w:color="auto" w:sz="8" w:space="0"/>
              <w:left w:val="single" w:color="auto" w:sz="8" w:space="0"/>
              <w:bottom w:val="single" w:color="auto" w:sz="8" w:space="0"/>
              <w:right w:val="single" w:color="auto" w:sz="8" w:space="0"/>
            </w:tcBorders>
            <w:vAlign w:val="center"/>
          </w:tcPr>
          <w:p w14:paraId="76829665">
            <w:pPr>
              <w:pStyle w:val="1111"/>
              <w:rPr>
                <w:snapToGrid w:val="0"/>
              </w:rPr>
            </w:pPr>
            <w:r>
              <w:rPr>
                <w:rFonts w:hint="eastAsia"/>
                <w:snapToGrid w:val="0"/>
                <w:lang w:val="en-US" w:eastAsia="zh-CN"/>
              </w:rPr>
              <w:t>0.1</w:t>
            </w:r>
          </w:p>
        </w:tc>
        <w:tc>
          <w:tcPr>
            <w:tcW w:w="1711" w:type="dxa"/>
            <w:tcBorders>
              <w:top w:val="single" w:color="auto" w:sz="8" w:space="0"/>
              <w:left w:val="single" w:color="auto" w:sz="8" w:space="0"/>
              <w:bottom w:val="single" w:color="auto" w:sz="8" w:space="0"/>
              <w:right w:val="single" w:color="auto" w:sz="8" w:space="0"/>
            </w:tcBorders>
            <w:vAlign w:val="center"/>
          </w:tcPr>
          <w:p w14:paraId="58108416">
            <w:pPr>
              <w:jc w:val="center"/>
              <w:rPr>
                <w:snapToGrid w:val="0"/>
              </w:rPr>
            </w:pPr>
            <w:r>
              <w:rPr>
                <w:rFonts w:hint="eastAsia"/>
                <w:snapToGrid w:val="0"/>
              </w:rPr>
              <w:t>-</w:t>
            </w:r>
          </w:p>
        </w:tc>
        <w:tc>
          <w:tcPr>
            <w:tcW w:w="1711" w:type="dxa"/>
            <w:tcBorders>
              <w:top w:val="single" w:color="auto" w:sz="8" w:space="0"/>
              <w:left w:val="single" w:color="auto" w:sz="8" w:space="0"/>
              <w:bottom w:val="single" w:color="auto" w:sz="8" w:space="0"/>
              <w:right w:val="single" w:color="auto" w:sz="8" w:space="0"/>
            </w:tcBorders>
            <w:vAlign w:val="center"/>
          </w:tcPr>
          <w:p w14:paraId="32790E85">
            <w:pPr>
              <w:pStyle w:val="1111"/>
              <w:rPr>
                <w:snapToGrid w:val="0"/>
              </w:rPr>
            </w:pPr>
            <w:r>
              <w:rPr>
                <w:rFonts w:hint="eastAsia"/>
                <w:snapToGrid w:val="0"/>
                <w:lang w:val="en-US" w:eastAsia="zh-CN"/>
              </w:rPr>
              <w:t>0.1</w:t>
            </w:r>
          </w:p>
        </w:tc>
        <w:tc>
          <w:tcPr>
            <w:tcW w:w="1528" w:type="dxa"/>
            <w:tcBorders>
              <w:top w:val="single" w:color="auto" w:sz="8" w:space="0"/>
              <w:left w:val="single" w:color="auto" w:sz="8" w:space="0"/>
              <w:bottom w:val="single" w:color="auto" w:sz="8" w:space="0"/>
            </w:tcBorders>
            <w:vAlign w:val="center"/>
          </w:tcPr>
          <w:p w14:paraId="1AAD7E14">
            <w:pPr>
              <w:pStyle w:val="1111"/>
              <w:rPr>
                <w:snapToGrid w:val="0"/>
              </w:rPr>
            </w:pPr>
            <w:r>
              <w:rPr>
                <w:rFonts w:hint="eastAsia"/>
                <w:snapToGrid w:val="0"/>
                <w:lang w:val="en-US" w:eastAsia="zh-CN"/>
              </w:rPr>
              <w:t>+0.1</w:t>
            </w:r>
          </w:p>
        </w:tc>
      </w:tr>
      <w:tr w14:paraId="16AB43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1559" w:type="dxa"/>
            <w:vMerge w:val="continue"/>
            <w:tcBorders>
              <w:right w:val="single" w:color="auto" w:sz="8" w:space="0"/>
            </w:tcBorders>
            <w:vAlign w:val="center"/>
          </w:tcPr>
          <w:p w14:paraId="0A638CA2">
            <w:pPr>
              <w:pStyle w:val="1111"/>
              <w:rPr>
                <w:snapToGrid w:val="0"/>
              </w:rPr>
            </w:pPr>
          </w:p>
        </w:tc>
        <w:tc>
          <w:tcPr>
            <w:tcW w:w="1425" w:type="dxa"/>
            <w:tcBorders>
              <w:top w:val="single" w:color="auto" w:sz="8" w:space="0"/>
              <w:left w:val="single" w:color="auto" w:sz="8" w:space="0"/>
              <w:bottom w:val="single" w:color="auto" w:sz="8" w:space="0"/>
              <w:right w:val="single" w:color="auto" w:sz="8" w:space="0"/>
            </w:tcBorders>
            <w:vAlign w:val="center"/>
          </w:tcPr>
          <w:p w14:paraId="66831C45">
            <w:pPr>
              <w:pStyle w:val="1111"/>
              <w:rPr>
                <w:rFonts w:hint="eastAsia" w:eastAsia="宋体"/>
                <w:lang w:eastAsia="zh-CN"/>
              </w:rPr>
            </w:pPr>
            <w:r>
              <w:rPr>
                <w:rFonts w:hint="eastAsia"/>
                <w:lang w:eastAsia="zh-CN"/>
              </w:rPr>
              <w:t>废包装</w:t>
            </w:r>
          </w:p>
        </w:tc>
        <w:tc>
          <w:tcPr>
            <w:tcW w:w="1140" w:type="dxa"/>
            <w:tcBorders>
              <w:top w:val="single" w:color="auto" w:sz="8" w:space="0"/>
              <w:left w:val="single" w:color="auto" w:sz="8" w:space="0"/>
              <w:bottom w:val="single" w:color="auto" w:sz="8" w:space="0"/>
              <w:right w:val="single" w:color="auto" w:sz="8" w:space="0"/>
            </w:tcBorders>
            <w:vAlign w:val="center"/>
          </w:tcPr>
          <w:p w14:paraId="60028D9E">
            <w:pPr>
              <w:jc w:val="center"/>
              <w:rPr>
                <w:rFonts w:hint="default" w:eastAsia="宋体"/>
                <w:snapToGrid w:val="0"/>
                <w:lang w:val="en-US" w:eastAsia="zh-CN"/>
              </w:rPr>
            </w:pPr>
            <w:r>
              <w:rPr>
                <w:rFonts w:hint="eastAsia"/>
                <w:snapToGrid w:val="0"/>
              </w:rPr>
              <w:t>-</w:t>
            </w:r>
          </w:p>
        </w:tc>
        <w:tc>
          <w:tcPr>
            <w:tcW w:w="1283" w:type="dxa"/>
            <w:tcBorders>
              <w:top w:val="single" w:color="auto" w:sz="8" w:space="0"/>
              <w:left w:val="single" w:color="auto" w:sz="8" w:space="0"/>
              <w:bottom w:val="single" w:color="auto" w:sz="8" w:space="0"/>
              <w:right w:val="single" w:color="auto" w:sz="8" w:space="0"/>
            </w:tcBorders>
            <w:vAlign w:val="center"/>
          </w:tcPr>
          <w:p w14:paraId="2D2D6348">
            <w:pPr>
              <w:jc w:val="center"/>
              <w:rPr>
                <w:rFonts w:hint="eastAsia"/>
                <w:snapToGrid w:val="0"/>
              </w:rPr>
            </w:pPr>
            <w:r>
              <w:rPr>
                <w:rFonts w:hint="eastAsia"/>
                <w:snapToGrid w:val="0"/>
              </w:rPr>
              <w:t>-</w:t>
            </w:r>
          </w:p>
        </w:tc>
        <w:tc>
          <w:tcPr>
            <w:tcW w:w="1283" w:type="dxa"/>
            <w:tcBorders>
              <w:top w:val="single" w:color="auto" w:sz="8" w:space="0"/>
              <w:left w:val="single" w:color="auto" w:sz="8" w:space="0"/>
              <w:bottom w:val="single" w:color="auto" w:sz="8" w:space="0"/>
              <w:right w:val="single" w:color="auto" w:sz="8" w:space="0"/>
            </w:tcBorders>
            <w:vAlign w:val="center"/>
          </w:tcPr>
          <w:p w14:paraId="1ABAC532">
            <w:pPr>
              <w:jc w:val="center"/>
              <w:rPr>
                <w:rFonts w:hint="eastAsia"/>
                <w:snapToGrid w:val="0"/>
              </w:rPr>
            </w:pPr>
            <w:r>
              <w:rPr>
                <w:rFonts w:hint="eastAsia"/>
                <w:snapToGrid w:val="0"/>
              </w:rPr>
              <w:t>-</w:t>
            </w:r>
          </w:p>
        </w:tc>
        <w:tc>
          <w:tcPr>
            <w:tcW w:w="1852" w:type="dxa"/>
            <w:tcBorders>
              <w:top w:val="single" w:color="auto" w:sz="8" w:space="0"/>
              <w:left w:val="single" w:color="auto" w:sz="8" w:space="0"/>
              <w:bottom w:val="single" w:color="auto" w:sz="8" w:space="0"/>
              <w:right w:val="single" w:color="auto" w:sz="8" w:space="0"/>
            </w:tcBorders>
            <w:vAlign w:val="center"/>
          </w:tcPr>
          <w:p w14:paraId="27AC32C0">
            <w:pPr>
              <w:pStyle w:val="1111"/>
              <w:rPr>
                <w:snapToGrid w:val="0"/>
              </w:rPr>
            </w:pPr>
            <w:r>
              <w:rPr>
                <w:rFonts w:hint="eastAsia"/>
                <w:snapToGrid w:val="0"/>
                <w:lang w:val="en-US" w:eastAsia="zh-CN"/>
              </w:rPr>
              <w:t>0.2</w:t>
            </w:r>
          </w:p>
        </w:tc>
        <w:tc>
          <w:tcPr>
            <w:tcW w:w="1711" w:type="dxa"/>
            <w:tcBorders>
              <w:top w:val="single" w:color="auto" w:sz="8" w:space="0"/>
              <w:left w:val="single" w:color="auto" w:sz="8" w:space="0"/>
              <w:bottom w:val="single" w:color="auto" w:sz="8" w:space="0"/>
              <w:right w:val="single" w:color="auto" w:sz="8" w:space="0"/>
            </w:tcBorders>
            <w:vAlign w:val="center"/>
          </w:tcPr>
          <w:p w14:paraId="38CFAFA3">
            <w:pPr>
              <w:jc w:val="center"/>
              <w:rPr>
                <w:snapToGrid w:val="0"/>
              </w:rPr>
            </w:pPr>
            <w:r>
              <w:rPr>
                <w:rFonts w:hint="eastAsia"/>
                <w:snapToGrid w:val="0"/>
              </w:rPr>
              <w:t>-</w:t>
            </w:r>
          </w:p>
        </w:tc>
        <w:tc>
          <w:tcPr>
            <w:tcW w:w="1711" w:type="dxa"/>
            <w:tcBorders>
              <w:top w:val="single" w:color="auto" w:sz="8" w:space="0"/>
              <w:left w:val="single" w:color="auto" w:sz="8" w:space="0"/>
              <w:bottom w:val="single" w:color="auto" w:sz="8" w:space="0"/>
              <w:right w:val="single" w:color="auto" w:sz="8" w:space="0"/>
            </w:tcBorders>
            <w:vAlign w:val="center"/>
          </w:tcPr>
          <w:p w14:paraId="39EC61FD">
            <w:pPr>
              <w:pStyle w:val="1111"/>
              <w:rPr>
                <w:snapToGrid w:val="0"/>
              </w:rPr>
            </w:pPr>
            <w:r>
              <w:rPr>
                <w:rFonts w:hint="eastAsia"/>
                <w:snapToGrid w:val="0"/>
                <w:lang w:val="en-US" w:eastAsia="zh-CN"/>
              </w:rPr>
              <w:t>0.2</w:t>
            </w:r>
          </w:p>
        </w:tc>
        <w:tc>
          <w:tcPr>
            <w:tcW w:w="1528" w:type="dxa"/>
            <w:tcBorders>
              <w:top w:val="single" w:color="auto" w:sz="8" w:space="0"/>
              <w:left w:val="single" w:color="auto" w:sz="8" w:space="0"/>
              <w:bottom w:val="single" w:color="auto" w:sz="8" w:space="0"/>
            </w:tcBorders>
            <w:vAlign w:val="center"/>
          </w:tcPr>
          <w:p w14:paraId="08220AB2">
            <w:pPr>
              <w:pStyle w:val="1111"/>
              <w:rPr>
                <w:snapToGrid w:val="0"/>
              </w:rPr>
            </w:pPr>
            <w:r>
              <w:rPr>
                <w:rFonts w:hint="eastAsia"/>
                <w:snapToGrid w:val="0"/>
                <w:lang w:val="en-US" w:eastAsia="zh-CN"/>
              </w:rPr>
              <w:t>+0.2</w:t>
            </w:r>
          </w:p>
        </w:tc>
      </w:tr>
    </w:tbl>
    <w:p w14:paraId="3D636042">
      <w:pPr>
        <w:pStyle w:val="131"/>
        <w:spacing w:before="192" w:beforeLines="80" w:after="24"/>
        <w:jc w:val="left"/>
        <w:rPr>
          <w:rFonts w:ascii="Times New Roman"/>
          <w:snapToGrid w:val="0"/>
          <w:spacing w:val="-6"/>
          <w:kern w:val="21"/>
          <w:szCs w:val="21"/>
        </w:rPr>
      </w:pPr>
      <w:r>
        <w:rPr>
          <w:rFonts w:ascii="Times New Roman"/>
          <w:snapToGrid w:val="0"/>
          <w:kern w:val="21"/>
          <w:szCs w:val="21"/>
        </w:rPr>
        <w:t>注：</w:t>
      </w:r>
      <w:r>
        <w:rPr>
          <w:rFonts w:ascii="Times New Roman"/>
          <w:snapToGrid w:val="0"/>
          <w:spacing w:val="-16"/>
          <w:kern w:val="21"/>
          <w:szCs w:val="21"/>
        </w:rPr>
        <w:fldChar w:fldCharType="begin"/>
      </w:r>
      <w:r>
        <w:rPr>
          <w:rFonts w:ascii="Times New Roman"/>
          <w:snapToGrid w:val="0"/>
          <w:spacing w:val="-16"/>
          <w:kern w:val="21"/>
          <w:szCs w:val="21"/>
        </w:rPr>
        <w:instrText xml:space="preserve"> = 6 \* GB3 \* MERGEFORMAT </w:instrText>
      </w:r>
      <w:r>
        <w:rPr>
          <w:rFonts w:ascii="Times New Roman"/>
          <w:snapToGrid w:val="0"/>
          <w:spacing w:val="-16"/>
          <w:kern w:val="21"/>
          <w:szCs w:val="21"/>
        </w:rPr>
        <w:fldChar w:fldCharType="separate"/>
      </w:r>
      <w:r>
        <w:rPr>
          <w:rFonts w:hint="eastAsia" w:hAnsi="宋体" w:cs="宋体"/>
          <w:szCs w:val="21"/>
        </w:rPr>
        <w:t>⑥</w:t>
      </w:r>
      <w:r>
        <w:rPr>
          <w:rFonts w:ascii="Times New Roman"/>
          <w:snapToGrid w:val="0"/>
          <w:spacing w:val="-16"/>
          <w:kern w:val="21"/>
          <w:szCs w:val="21"/>
        </w:rPr>
        <w:fldChar w:fldCharType="end"/>
      </w:r>
      <w:r>
        <w:rPr>
          <w:rFonts w:ascii="Times New Roman"/>
          <w:snapToGrid w:val="0"/>
          <w:spacing w:val="-1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1 \* GB3 \* MERGEFORMAT </w:instrText>
      </w:r>
      <w:r>
        <w:rPr>
          <w:rFonts w:ascii="Times New Roman"/>
          <w:snapToGrid w:val="0"/>
          <w:spacing w:val="-6"/>
          <w:kern w:val="21"/>
          <w:szCs w:val="21"/>
        </w:rPr>
        <w:fldChar w:fldCharType="separate"/>
      </w:r>
      <w:r>
        <w:rPr>
          <w:rFonts w:hint="eastAsia" w:hAnsi="宋体" w:cs="宋体"/>
          <w:szCs w:val="21"/>
        </w:rPr>
        <w:t>①</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3 \* GB3 \* MERGEFORMAT </w:instrText>
      </w:r>
      <w:r>
        <w:rPr>
          <w:rFonts w:ascii="Times New Roman"/>
          <w:snapToGrid w:val="0"/>
          <w:spacing w:val="-6"/>
          <w:kern w:val="21"/>
          <w:szCs w:val="21"/>
        </w:rPr>
        <w:fldChar w:fldCharType="separate"/>
      </w:r>
      <w:r>
        <w:rPr>
          <w:rFonts w:hint="eastAsia" w:hAnsi="宋体" w:cs="宋体"/>
          <w:szCs w:val="21"/>
        </w:rPr>
        <w:t>③</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4 \* GB3 \* MERGEFORMAT </w:instrText>
      </w:r>
      <w:r>
        <w:rPr>
          <w:rFonts w:ascii="Times New Roman"/>
          <w:snapToGrid w:val="0"/>
          <w:spacing w:val="-6"/>
          <w:kern w:val="21"/>
          <w:szCs w:val="21"/>
        </w:rPr>
        <w:fldChar w:fldCharType="separate"/>
      </w:r>
      <w:r>
        <w:rPr>
          <w:rFonts w:hint="eastAsia" w:hAnsi="宋体" w:cs="宋体"/>
          <w:szCs w:val="21"/>
        </w:rPr>
        <w:t>④</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16"/>
          <w:kern w:val="21"/>
          <w:szCs w:val="21"/>
        </w:rPr>
        <w:fldChar w:fldCharType="begin"/>
      </w:r>
      <w:r>
        <w:rPr>
          <w:rFonts w:ascii="Times New Roman"/>
          <w:snapToGrid w:val="0"/>
          <w:spacing w:val="-16"/>
          <w:kern w:val="21"/>
          <w:szCs w:val="21"/>
        </w:rPr>
        <w:instrText xml:space="preserve"> = 5 \* GB3 \* MERGEFORMAT </w:instrText>
      </w:r>
      <w:r>
        <w:rPr>
          <w:rFonts w:ascii="Times New Roman"/>
          <w:snapToGrid w:val="0"/>
          <w:spacing w:val="-16"/>
          <w:kern w:val="21"/>
          <w:szCs w:val="21"/>
        </w:rPr>
        <w:fldChar w:fldCharType="separate"/>
      </w:r>
      <w:r>
        <w:rPr>
          <w:rFonts w:hint="eastAsia" w:hAnsi="宋体" w:cs="宋体"/>
          <w:szCs w:val="21"/>
        </w:rPr>
        <w:t>⑤</w:t>
      </w:r>
      <w:r>
        <w:rPr>
          <w:rFonts w:ascii="Times New Roman"/>
          <w:snapToGrid w:val="0"/>
          <w:spacing w:val="-16"/>
          <w:kern w:val="21"/>
          <w:szCs w:val="21"/>
        </w:rPr>
        <w:fldChar w:fldCharType="end"/>
      </w:r>
      <w:r>
        <w:rPr>
          <w:rFonts w:ascii="Times New Roman"/>
          <w:snapToGrid w:val="0"/>
          <w:spacing w:val="-1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7 \* GB3 \* MERGEFORMAT </w:instrText>
      </w:r>
      <w:r>
        <w:rPr>
          <w:rFonts w:ascii="Times New Roman"/>
          <w:snapToGrid w:val="0"/>
          <w:spacing w:val="-6"/>
          <w:kern w:val="21"/>
          <w:szCs w:val="21"/>
        </w:rPr>
        <w:fldChar w:fldCharType="separate"/>
      </w:r>
      <w:r>
        <w:rPr>
          <w:rFonts w:hint="eastAsia" w:hAnsi="宋体" w:cs="宋体"/>
          <w:szCs w:val="21"/>
        </w:rPr>
        <w:t>⑦</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16"/>
          <w:kern w:val="21"/>
          <w:szCs w:val="21"/>
        </w:rPr>
        <w:fldChar w:fldCharType="begin"/>
      </w:r>
      <w:r>
        <w:rPr>
          <w:rFonts w:ascii="Times New Roman"/>
          <w:snapToGrid w:val="0"/>
          <w:spacing w:val="-16"/>
          <w:kern w:val="21"/>
          <w:szCs w:val="21"/>
        </w:rPr>
        <w:instrText xml:space="preserve"> = 6 \* GB3 \* MERGEFORMAT </w:instrText>
      </w:r>
      <w:r>
        <w:rPr>
          <w:rFonts w:ascii="Times New Roman"/>
          <w:snapToGrid w:val="0"/>
          <w:spacing w:val="-16"/>
          <w:kern w:val="21"/>
          <w:szCs w:val="21"/>
        </w:rPr>
        <w:fldChar w:fldCharType="separate"/>
      </w:r>
      <w:r>
        <w:rPr>
          <w:rFonts w:hint="eastAsia" w:hAnsi="宋体" w:cs="宋体"/>
          <w:szCs w:val="21"/>
        </w:rPr>
        <w:t>⑥</w:t>
      </w:r>
      <w:r>
        <w:rPr>
          <w:rFonts w:ascii="Times New Roman"/>
          <w:snapToGrid w:val="0"/>
          <w:spacing w:val="-16"/>
          <w:kern w:val="21"/>
          <w:szCs w:val="21"/>
        </w:rPr>
        <w:fldChar w:fldCharType="end"/>
      </w:r>
      <w:r>
        <w:rPr>
          <w:rFonts w:ascii="Times New Roman"/>
          <w:snapToGrid w:val="0"/>
          <w:spacing w:val="-1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1 \* GB3 \* MERGEFORMAT </w:instrText>
      </w:r>
      <w:r>
        <w:rPr>
          <w:rFonts w:ascii="Times New Roman"/>
          <w:snapToGrid w:val="0"/>
          <w:spacing w:val="-6"/>
          <w:kern w:val="21"/>
          <w:szCs w:val="21"/>
        </w:rPr>
        <w:fldChar w:fldCharType="separate"/>
      </w:r>
      <w:r>
        <w:rPr>
          <w:rFonts w:hint="eastAsia" w:hAnsi="宋体" w:cs="宋体"/>
          <w:szCs w:val="21"/>
        </w:rPr>
        <w:t>①</w:t>
      </w:r>
      <w:r>
        <w:rPr>
          <w:rFonts w:ascii="Times New Roman"/>
          <w:snapToGrid w:val="0"/>
          <w:spacing w:val="-6"/>
          <w:kern w:val="21"/>
          <w:szCs w:val="21"/>
        </w:rPr>
        <w:fldChar w:fldCharType="end"/>
      </w:r>
    </w:p>
    <w:p w14:paraId="65D335AF">
      <w:pPr>
        <w:widowControl/>
        <w:jc w:val="left"/>
      </w:pPr>
    </w:p>
    <w:p w14:paraId="1B5D1F44">
      <w:pPr>
        <w:pStyle w:val="56"/>
        <w:sectPr>
          <w:footerReference r:id="rId8" w:type="default"/>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14:paraId="756550C6">
      <w:pPr>
        <w:pStyle w:val="512"/>
        <w:rPr>
          <w:rFonts w:hint="eastAsia"/>
        </w:rPr>
      </w:pPr>
      <w:r>
        <w:rPr>
          <w:rFonts w:hint="eastAsia"/>
        </w:rPr>
        <w:t>附件一：项目备案证</w:t>
      </w:r>
    </w:p>
    <w:p w14:paraId="016E2520">
      <w:pPr>
        <w:pStyle w:val="51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pPr>
      <w:r>
        <w:drawing>
          <wp:inline distT="0" distB="0" distL="114300" distR="114300">
            <wp:extent cx="7566660" cy="5332095"/>
            <wp:effectExtent l="0" t="0" r="15240" b="1905"/>
            <wp:docPr id="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
                    <pic:cNvPicPr>
                      <a:picLocks noChangeAspect="1"/>
                    </pic:cNvPicPr>
                  </pic:nvPicPr>
                  <pic:blipFill>
                    <a:blip r:embed="rId22"/>
                    <a:stretch>
                      <a:fillRect/>
                    </a:stretch>
                  </pic:blipFill>
                  <pic:spPr>
                    <a:xfrm>
                      <a:off x="0" y="0"/>
                      <a:ext cx="7566660" cy="5332095"/>
                    </a:xfrm>
                    <a:prstGeom prst="rect">
                      <a:avLst/>
                    </a:prstGeom>
                    <a:noFill/>
                    <a:ln>
                      <a:noFill/>
                    </a:ln>
                  </pic:spPr>
                </pic:pic>
              </a:graphicData>
            </a:graphic>
          </wp:inline>
        </w:drawing>
      </w:r>
    </w:p>
    <w:p w14:paraId="0831A798">
      <w:pPr>
        <w:pStyle w:val="512"/>
        <w:rPr>
          <w:rFonts w:hint="eastAsia"/>
          <w:lang w:eastAsia="zh-CN"/>
        </w:rPr>
      </w:pPr>
      <w:r>
        <w:rPr>
          <w:rFonts w:hint="eastAsia"/>
          <w:lang w:eastAsia="zh-CN"/>
        </w:rPr>
        <w:t>附件二：营业执照</w:t>
      </w:r>
    </w:p>
    <w:p w14:paraId="36B7FA95">
      <w:pPr>
        <w:pStyle w:val="1111"/>
        <w:bidi w:val="0"/>
        <w:rPr>
          <w:rFonts w:hint="eastAsia"/>
          <w:lang w:eastAsia="zh-CN"/>
        </w:rPr>
      </w:pPr>
      <w:r>
        <w:rPr>
          <w:rFonts w:hint="eastAsia"/>
          <w:lang w:eastAsia="zh-CN"/>
        </w:rPr>
        <w:drawing>
          <wp:inline distT="0" distB="0" distL="114300" distR="114300">
            <wp:extent cx="5120640" cy="6838950"/>
            <wp:effectExtent l="0" t="0" r="0" b="3810"/>
            <wp:docPr id="32" name="图片 32" descr="208b12eae25c68a998c212d57be54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208b12eae25c68a998c212d57be546a"/>
                    <pic:cNvPicPr>
                      <a:picLocks noChangeAspect="1"/>
                    </pic:cNvPicPr>
                  </pic:nvPicPr>
                  <pic:blipFill>
                    <a:blip r:embed="rId23"/>
                    <a:stretch>
                      <a:fillRect/>
                    </a:stretch>
                  </pic:blipFill>
                  <pic:spPr>
                    <a:xfrm rot="16200000">
                      <a:off x="0" y="0"/>
                      <a:ext cx="5120640" cy="6838950"/>
                    </a:xfrm>
                    <a:prstGeom prst="rect">
                      <a:avLst/>
                    </a:prstGeom>
                  </pic:spPr>
                </pic:pic>
              </a:graphicData>
            </a:graphic>
          </wp:inline>
        </w:drawing>
      </w:r>
    </w:p>
    <w:p w14:paraId="29806D1B">
      <w:pPr>
        <w:pStyle w:val="51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14:paraId="40C1BAC1">
      <w:pPr>
        <w:pStyle w:val="512"/>
        <w:rPr>
          <w:rFonts w:hint="eastAsia"/>
          <w:lang w:eastAsia="zh-CN"/>
        </w:rPr>
      </w:pPr>
      <w:r>
        <w:rPr>
          <w:rFonts w:hint="eastAsia"/>
          <w:lang w:eastAsia="zh-CN"/>
        </w:rPr>
        <w:t>附件三：中华药港危废库危险化学品库运营外包合同</w:t>
      </w:r>
    </w:p>
    <w:p w14:paraId="317B07E0">
      <w:pPr>
        <w:pStyle w:val="1111"/>
        <w:bidi w:val="0"/>
        <w:rPr>
          <w:rFonts w:hint="eastAsia"/>
          <w:lang w:eastAsia="zh-CN"/>
        </w:rPr>
      </w:pPr>
      <w:r>
        <w:rPr>
          <w:rFonts w:hint="eastAsia"/>
          <w:lang w:eastAsia="zh-CN"/>
        </w:rPr>
        <w:drawing>
          <wp:inline distT="0" distB="0" distL="114300" distR="114300">
            <wp:extent cx="5613400" cy="7933690"/>
            <wp:effectExtent l="0" t="0" r="6350" b="10160"/>
            <wp:docPr id="4" name="图片 4" descr="中华药港危废库危险品库运营合同_页面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中华药港危废库危险品库运营合同_页面_01"/>
                    <pic:cNvPicPr>
                      <a:picLocks noChangeAspect="1"/>
                    </pic:cNvPicPr>
                  </pic:nvPicPr>
                  <pic:blipFill>
                    <a:blip r:embed="rId24"/>
                    <a:stretch>
                      <a:fillRect/>
                    </a:stretch>
                  </pic:blipFill>
                  <pic:spPr>
                    <a:xfrm>
                      <a:off x="0" y="0"/>
                      <a:ext cx="5613400" cy="7933690"/>
                    </a:xfrm>
                    <a:prstGeom prst="rect">
                      <a:avLst/>
                    </a:prstGeom>
                  </pic:spPr>
                </pic:pic>
              </a:graphicData>
            </a:graphic>
          </wp:inline>
        </w:drawing>
      </w:r>
      <w:r>
        <w:rPr>
          <w:rFonts w:hint="eastAsia"/>
          <w:lang w:eastAsia="zh-CN"/>
        </w:rPr>
        <w:drawing>
          <wp:inline distT="0" distB="0" distL="114300" distR="114300">
            <wp:extent cx="5608955" cy="7930515"/>
            <wp:effectExtent l="0" t="0" r="10795" b="13335"/>
            <wp:docPr id="5" name="图片 5" descr="中华药港危废库危险品库运营合同_页面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中华药港危废库危险品库运营合同_页面_02"/>
                    <pic:cNvPicPr>
                      <a:picLocks noChangeAspect="1"/>
                    </pic:cNvPicPr>
                  </pic:nvPicPr>
                  <pic:blipFill>
                    <a:blip r:embed="rId25"/>
                    <a:stretch>
                      <a:fillRect/>
                    </a:stretch>
                  </pic:blipFill>
                  <pic:spPr>
                    <a:xfrm>
                      <a:off x="0" y="0"/>
                      <a:ext cx="5608955" cy="7930515"/>
                    </a:xfrm>
                    <a:prstGeom prst="rect">
                      <a:avLst/>
                    </a:prstGeom>
                  </pic:spPr>
                </pic:pic>
              </a:graphicData>
            </a:graphic>
          </wp:inline>
        </w:drawing>
      </w:r>
      <w:r>
        <w:rPr>
          <w:rFonts w:hint="eastAsia"/>
          <w:lang w:eastAsia="zh-CN"/>
        </w:rPr>
        <w:drawing>
          <wp:inline distT="0" distB="0" distL="114300" distR="114300">
            <wp:extent cx="5611495" cy="7903210"/>
            <wp:effectExtent l="0" t="0" r="8255" b="2540"/>
            <wp:docPr id="12" name="图片 12" descr="中华药港危废库危险品库运营合同_页面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中华药港危废库危险品库运营合同_页面_03"/>
                    <pic:cNvPicPr>
                      <a:picLocks noChangeAspect="1"/>
                    </pic:cNvPicPr>
                  </pic:nvPicPr>
                  <pic:blipFill>
                    <a:blip r:embed="rId26"/>
                    <a:stretch>
                      <a:fillRect/>
                    </a:stretch>
                  </pic:blipFill>
                  <pic:spPr>
                    <a:xfrm>
                      <a:off x="0" y="0"/>
                      <a:ext cx="5611495" cy="7903210"/>
                    </a:xfrm>
                    <a:prstGeom prst="rect">
                      <a:avLst/>
                    </a:prstGeom>
                  </pic:spPr>
                </pic:pic>
              </a:graphicData>
            </a:graphic>
          </wp:inline>
        </w:drawing>
      </w:r>
      <w:r>
        <w:rPr>
          <w:rFonts w:hint="eastAsia"/>
          <w:lang w:eastAsia="zh-CN"/>
        </w:rPr>
        <w:drawing>
          <wp:inline distT="0" distB="0" distL="114300" distR="114300">
            <wp:extent cx="5614670" cy="7949565"/>
            <wp:effectExtent l="0" t="0" r="5080" b="13335"/>
            <wp:docPr id="13" name="图片 13" descr="中华药港危废库危险品库运营合同_页面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中华药港危废库危险品库运营合同_页面_04"/>
                    <pic:cNvPicPr>
                      <a:picLocks noChangeAspect="1"/>
                    </pic:cNvPicPr>
                  </pic:nvPicPr>
                  <pic:blipFill>
                    <a:blip r:embed="rId27"/>
                    <a:stretch>
                      <a:fillRect/>
                    </a:stretch>
                  </pic:blipFill>
                  <pic:spPr>
                    <a:xfrm>
                      <a:off x="0" y="0"/>
                      <a:ext cx="5614670" cy="7949565"/>
                    </a:xfrm>
                    <a:prstGeom prst="rect">
                      <a:avLst/>
                    </a:prstGeom>
                  </pic:spPr>
                </pic:pic>
              </a:graphicData>
            </a:graphic>
          </wp:inline>
        </w:drawing>
      </w:r>
      <w:r>
        <w:rPr>
          <w:rFonts w:hint="eastAsia"/>
          <w:lang w:eastAsia="zh-CN"/>
        </w:rPr>
        <w:drawing>
          <wp:inline distT="0" distB="0" distL="114300" distR="114300">
            <wp:extent cx="5611495" cy="7919720"/>
            <wp:effectExtent l="0" t="0" r="8255" b="5080"/>
            <wp:docPr id="14" name="图片 14" descr="中华药港危废库危险品库运营合同_页面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中华药港危废库危险品库运营合同_页面_05"/>
                    <pic:cNvPicPr>
                      <a:picLocks noChangeAspect="1"/>
                    </pic:cNvPicPr>
                  </pic:nvPicPr>
                  <pic:blipFill>
                    <a:blip r:embed="rId28"/>
                    <a:stretch>
                      <a:fillRect/>
                    </a:stretch>
                  </pic:blipFill>
                  <pic:spPr>
                    <a:xfrm>
                      <a:off x="0" y="0"/>
                      <a:ext cx="5611495" cy="7919720"/>
                    </a:xfrm>
                    <a:prstGeom prst="rect">
                      <a:avLst/>
                    </a:prstGeom>
                  </pic:spPr>
                </pic:pic>
              </a:graphicData>
            </a:graphic>
          </wp:inline>
        </w:drawing>
      </w:r>
      <w:r>
        <w:rPr>
          <w:rFonts w:hint="eastAsia"/>
          <w:lang w:eastAsia="zh-CN"/>
        </w:rPr>
        <w:drawing>
          <wp:inline distT="0" distB="0" distL="114300" distR="114300">
            <wp:extent cx="5615305" cy="7960360"/>
            <wp:effectExtent l="0" t="0" r="4445" b="2540"/>
            <wp:docPr id="22" name="图片 22" descr="中华药港危废库危险品库运营合同_页面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中华药港危废库危险品库运营合同_页面_06"/>
                    <pic:cNvPicPr>
                      <a:picLocks noChangeAspect="1"/>
                    </pic:cNvPicPr>
                  </pic:nvPicPr>
                  <pic:blipFill>
                    <a:blip r:embed="rId29"/>
                    <a:stretch>
                      <a:fillRect/>
                    </a:stretch>
                  </pic:blipFill>
                  <pic:spPr>
                    <a:xfrm>
                      <a:off x="0" y="0"/>
                      <a:ext cx="5615305" cy="7960360"/>
                    </a:xfrm>
                    <a:prstGeom prst="rect">
                      <a:avLst/>
                    </a:prstGeom>
                  </pic:spPr>
                </pic:pic>
              </a:graphicData>
            </a:graphic>
          </wp:inline>
        </w:drawing>
      </w:r>
      <w:r>
        <w:rPr>
          <w:rFonts w:hint="eastAsia"/>
          <w:lang w:eastAsia="zh-CN"/>
        </w:rPr>
        <w:drawing>
          <wp:inline distT="0" distB="0" distL="114300" distR="114300">
            <wp:extent cx="5612765" cy="7962265"/>
            <wp:effectExtent l="0" t="0" r="6985" b="635"/>
            <wp:docPr id="23" name="图片 23" descr="中华药港危废库危险品库运营合同_页面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中华药港危废库危险品库运营合同_页面_07"/>
                    <pic:cNvPicPr>
                      <a:picLocks noChangeAspect="1"/>
                    </pic:cNvPicPr>
                  </pic:nvPicPr>
                  <pic:blipFill>
                    <a:blip r:embed="rId30"/>
                    <a:stretch>
                      <a:fillRect/>
                    </a:stretch>
                  </pic:blipFill>
                  <pic:spPr>
                    <a:xfrm>
                      <a:off x="0" y="0"/>
                      <a:ext cx="5612765" cy="7962265"/>
                    </a:xfrm>
                    <a:prstGeom prst="rect">
                      <a:avLst/>
                    </a:prstGeom>
                  </pic:spPr>
                </pic:pic>
              </a:graphicData>
            </a:graphic>
          </wp:inline>
        </w:drawing>
      </w:r>
      <w:r>
        <w:rPr>
          <w:rFonts w:hint="eastAsia"/>
          <w:lang w:eastAsia="zh-CN"/>
        </w:rPr>
        <w:drawing>
          <wp:inline distT="0" distB="0" distL="114300" distR="114300">
            <wp:extent cx="5611495" cy="7910195"/>
            <wp:effectExtent l="0" t="0" r="8255" b="14605"/>
            <wp:docPr id="27" name="图片 27" descr="中华药港危废库危险品库运营合同_页面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中华药港危废库危险品库运营合同_页面_08"/>
                    <pic:cNvPicPr>
                      <a:picLocks noChangeAspect="1"/>
                    </pic:cNvPicPr>
                  </pic:nvPicPr>
                  <pic:blipFill>
                    <a:blip r:embed="rId31"/>
                    <a:stretch>
                      <a:fillRect/>
                    </a:stretch>
                  </pic:blipFill>
                  <pic:spPr>
                    <a:xfrm>
                      <a:off x="0" y="0"/>
                      <a:ext cx="5611495" cy="7910195"/>
                    </a:xfrm>
                    <a:prstGeom prst="rect">
                      <a:avLst/>
                    </a:prstGeom>
                  </pic:spPr>
                </pic:pic>
              </a:graphicData>
            </a:graphic>
          </wp:inline>
        </w:drawing>
      </w:r>
      <w:r>
        <w:rPr>
          <w:rFonts w:hint="eastAsia"/>
          <w:lang w:eastAsia="zh-CN"/>
        </w:rPr>
        <w:drawing>
          <wp:inline distT="0" distB="0" distL="114300" distR="114300">
            <wp:extent cx="5612765" cy="7934960"/>
            <wp:effectExtent l="0" t="0" r="6985" b="8890"/>
            <wp:docPr id="29" name="图片 29" descr="中华药港危废库危险品库运营合同_页面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中华药港危废库危险品库运营合同_页面_09"/>
                    <pic:cNvPicPr>
                      <a:picLocks noChangeAspect="1"/>
                    </pic:cNvPicPr>
                  </pic:nvPicPr>
                  <pic:blipFill>
                    <a:blip r:embed="rId32"/>
                    <a:stretch>
                      <a:fillRect/>
                    </a:stretch>
                  </pic:blipFill>
                  <pic:spPr>
                    <a:xfrm>
                      <a:off x="0" y="0"/>
                      <a:ext cx="5612765" cy="7934960"/>
                    </a:xfrm>
                    <a:prstGeom prst="rect">
                      <a:avLst/>
                    </a:prstGeom>
                  </pic:spPr>
                </pic:pic>
              </a:graphicData>
            </a:graphic>
          </wp:inline>
        </w:drawing>
      </w:r>
      <w:r>
        <w:rPr>
          <w:rFonts w:hint="eastAsia"/>
          <w:lang w:eastAsia="zh-CN"/>
        </w:rPr>
        <w:drawing>
          <wp:inline distT="0" distB="0" distL="114300" distR="114300">
            <wp:extent cx="5608955" cy="7920990"/>
            <wp:effectExtent l="0" t="0" r="10795" b="3810"/>
            <wp:docPr id="30" name="图片 30" descr="中华药港危废库危险品库运营合同_页面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中华药港危废库危险品库运营合同_页面_10"/>
                    <pic:cNvPicPr>
                      <a:picLocks noChangeAspect="1"/>
                    </pic:cNvPicPr>
                  </pic:nvPicPr>
                  <pic:blipFill>
                    <a:blip r:embed="rId33"/>
                    <a:stretch>
                      <a:fillRect/>
                    </a:stretch>
                  </pic:blipFill>
                  <pic:spPr>
                    <a:xfrm>
                      <a:off x="0" y="0"/>
                      <a:ext cx="5608955" cy="7920990"/>
                    </a:xfrm>
                    <a:prstGeom prst="rect">
                      <a:avLst/>
                    </a:prstGeom>
                  </pic:spPr>
                </pic:pic>
              </a:graphicData>
            </a:graphic>
          </wp:inline>
        </w:drawing>
      </w:r>
      <w:r>
        <w:rPr>
          <w:rFonts w:hint="eastAsia"/>
          <w:lang w:eastAsia="zh-CN"/>
        </w:rPr>
        <w:drawing>
          <wp:inline distT="0" distB="0" distL="114300" distR="114300">
            <wp:extent cx="5612765" cy="7962265"/>
            <wp:effectExtent l="0" t="0" r="6985" b="635"/>
            <wp:docPr id="31" name="图片 31" descr="中华药港危废库危险品库运营合同_页面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中华药港危废库危险品库运营合同_页面_11"/>
                    <pic:cNvPicPr>
                      <a:picLocks noChangeAspect="1"/>
                    </pic:cNvPicPr>
                  </pic:nvPicPr>
                  <pic:blipFill>
                    <a:blip r:embed="rId34"/>
                    <a:stretch>
                      <a:fillRect/>
                    </a:stretch>
                  </pic:blipFill>
                  <pic:spPr>
                    <a:xfrm>
                      <a:off x="0" y="0"/>
                      <a:ext cx="5612765" cy="7962265"/>
                    </a:xfrm>
                    <a:prstGeom prst="rect">
                      <a:avLst/>
                    </a:prstGeom>
                  </pic:spPr>
                </pic:pic>
              </a:graphicData>
            </a:graphic>
          </wp:inline>
        </w:drawing>
      </w:r>
    </w:p>
    <w:p w14:paraId="3D44C201">
      <w:pPr>
        <w:pStyle w:val="512"/>
        <w:jc w:val="both"/>
        <w:rPr>
          <w:rFonts w:hint="eastAsia"/>
          <w:lang w:eastAsia="zh-CN"/>
        </w:rPr>
      </w:pPr>
    </w:p>
    <w:p w14:paraId="75972252">
      <w:pPr>
        <w:pStyle w:val="512"/>
        <w:jc w:val="both"/>
        <w:rPr>
          <w:rFonts w:hint="eastAsia"/>
          <w:lang w:eastAsia="zh-CN"/>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4029788F">
      <w:pPr>
        <w:pStyle w:val="512"/>
        <w:rPr>
          <w:rFonts w:hint="eastAsia"/>
          <w:lang w:eastAsia="zh-CN"/>
        </w:rPr>
      </w:pPr>
      <w:r>
        <w:rPr>
          <w:rFonts w:hint="eastAsia"/>
          <w:lang w:eastAsia="zh-CN"/>
        </w:rPr>
        <w:t>附件四：现有项目批复</w:t>
      </w:r>
    </w:p>
    <w:p w14:paraId="51A1DA7D">
      <w:pPr>
        <w:pStyle w:val="1111"/>
        <w:bidi w:val="0"/>
        <w:rPr>
          <w:rFonts w:hint="eastAsia"/>
          <w:lang w:eastAsia="zh-CN"/>
        </w:rPr>
      </w:pPr>
      <w:r>
        <w:drawing>
          <wp:inline distT="0" distB="0" distL="114300" distR="114300">
            <wp:extent cx="5360035" cy="7586345"/>
            <wp:effectExtent l="0" t="0" r="12065" b="14605"/>
            <wp:docPr id="8"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descr="IMG_256"/>
                    <pic:cNvPicPr>
                      <a:picLocks noChangeAspect="1"/>
                    </pic:cNvPicPr>
                  </pic:nvPicPr>
                  <pic:blipFill>
                    <a:blip r:embed="rId35"/>
                    <a:stretch>
                      <a:fillRect/>
                    </a:stretch>
                  </pic:blipFill>
                  <pic:spPr>
                    <a:xfrm>
                      <a:off x="0" y="0"/>
                      <a:ext cx="5360035" cy="7586345"/>
                    </a:xfrm>
                    <a:prstGeom prst="rect">
                      <a:avLst/>
                    </a:prstGeom>
                    <a:noFill/>
                    <a:ln w="9525">
                      <a:noFill/>
                    </a:ln>
                  </pic:spPr>
                </pic:pic>
              </a:graphicData>
            </a:graphic>
          </wp:inline>
        </w:drawing>
      </w:r>
    </w:p>
    <w:p w14:paraId="22945F91">
      <w:pPr>
        <w:pStyle w:val="1111"/>
        <w:bidi w:val="0"/>
        <w:rPr>
          <w:rFonts w:hint="eastAsia"/>
          <w:lang w:eastAsia="zh-CN"/>
        </w:rPr>
      </w:pPr>
      <w:r>
        <w:rPr>
          <w:rFonts w:ascii="宋体" w:hAnsi="宋体" w:eastAsia="宋体" w:cs="宋体"/>
          <w:sz w:val="24"/>
          <w:szCs w:val="24"/>
        </w:rPr>
        <w:drawing>
          <wp:inline distT="0" distB="0" distL="114300" distR="114300">
            <wp:extent cx="5561965" cy="7869555"/>
            <wp:effectExtent l="0" t="0" r="635" b="17145"/>
            <wp:docPr id="19"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 descr="IMG_256"/>
                    <pic:cNvPicPr>
                      <a:picLocks noChangeAspect="1"/>
                    </pic:cNvPicPr>
                  </pic:nvPicPr>
                  <pic:blipFill>
                    <a:blip r:embed="rId36"/>
                    <a:stretch>
                      <a:fillRect/>
                    </a:stretch>
                  </pic:blipFill>
                  <pic:spPr>
                    <a:xfrm>
                      <a:off x="0" y="0"/>
                      <a:ext cx="5561965" cy="7869555"/>
                    </a:xfrm>
                    <a:prstGeom prst="rect">
                      <a:avLst/>
                    </a:prstGeom>
                    <a:noFill/>
                    <a:ln w="9525">
                      <a:noFill/>
                    </a:ln>
                  </pic:spPr>
                </pic:pic>
              </a:graphicData>
            </a:graphic>
          </wp:inline>
        </w:drawing>
      </w:r>
    </w:p>
    <w:p w14:paraId="5DD3D516">
      <w:pPr>
        <w:pStyle w:val="1111"/>
        <w:bidi w:val="0"/>
        <w:rPr>
          <w:rFonts w:hint="eastAsia"/>
          <w:lang w:eastAsia="zh-CN"/>
        </w:rPr>
      </w:pPr>
      <w:r>
        <w:rPr>
          <w:rFonts w:ascii="宋体" w:hAnsi="宋体" w:eastAsia="宋体" w:cs="宋体"/>
          <w:sz w:val="24"/>
          <w:szCs w:val="24"/>
        </w:rPr>
        <w:drawing>
          <wp:inline distT="0" distB="0" distL="114300" distR="114300">
            <wp:extent cx="5588635" cy="7908290"/>
            <wp:effectExtent l="0" t="0" r="12065" b="16510"/>
            <wp:docPr id="20"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4" descr="IMG_256"/>
                    <pic:cNvPicPr>
                      <a:picLocks noChangeAspect="1"/>
                    </pic:cNvPicPr>
                  </pic:nvPicPr>
                  <pic:blipFill>
                    <a:blip r:embed="rId37"/>
                    <a:stretch>
                      <a:fillRect/>
                    </a:stretch>
                  </pic:blipFill>
                  <pic:spPr>
                    <a:xfrm>
                      <a:off x="0" y="0"/>
                      <a:ext cx="5588635" cy="7908290"/>
                    </a:xfrm>
                    <a:prstGeom prst="rect">
                      <a:avLst/>
                    </a:prstGeom>
                    <a:noFill/>
                    <a:ln w="9525">
                      <a:noFill/>
                    </a:ln>
                  </pic:spPr>
                </pic:pic>
              </a:graphicData>
            </a:graphic>
          </wp:inline>
        </w:drawing>
      </w:r>
    </w:p>
    <w:p w14:paraId="0265F286">
      <w:pPr>
        <w:pStyle w:val="1111"/>
        <w:bidi w:val="0"/>
        <w:rPr>
          <w:rFonts w:hint="eastAsia"/>
          <w:lang w:eastAsia="zh-CN"/>
        </w:rPr>
      </w:pPr>
      <w:r>
        <w:rPr>
          <w:rFonts w:ascii="宋体" w:hAnsi="宋体" w:eastAsia="宋体" w:cs="宋体"/>
          <w:sz w:val="24"/>
          <w:szCs w:val="24"/>
        </w:rPr>
        <w:drawing>
          <wp:inline distT="0" distB="0" distL="114300" distR="114300">
            <wp:extent cx="5601335" cy="7926070"/>
            <wp:effectExtent l="0" t="0" r="18415" b="17780"/>
            <wp:docPr id="21"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5" descr="IMG_256"/>
                    <pic:cNvPicPr>
                      <a:picLocks noChangeAspect="1"/>
                    </pic:cNvPicPr>
                  </pic:nvPicPr>
                  <pic:blipFill>
                    <a:blip r:embed="rId38"/>
                    <a:stretch>
                      <a:fillRect/>
                    </a:stretch>
                  </pic:blipFill>
                  <pic:spPr>
                    <a:xfrm>
                      <a:off x="0" y="0"/>
                      <a:ext cx="5601335" cy="7926070"/>
                    </a:xfrm>
                    <a:prstGeom prst="rect">
                      <a:avLst/>
                    </a:prstGeom>
                    <a:noFill/>
                    <a:ln w="9525">
                      <a:noFill/>
                    </a:ln>
                  </pic:spPr>
                </pic:pic>
              </a:graphicData>
            </a:graphic>
          </wp:inline>
        </w:drawing>
      </w:r>
    </w:p>
    <w:p w14:paraId="0365A3F7">
      <w:pPr>
        <w:pStyle w:val="1111"/>
        <w:bidi w:val="0"/>
        <w:rPr>
          <w:rFonts w:hint="eastAsia"/>
          <w:lang w:eastAsia="zh-CN"/>
        </w:rPr>
      </w:pPr>
    </w:p>
    <w:p w14:paraId="11FC928A">
      <w:pPr>
        <w:rPr>
          <w:rFonts w:hint="eastAsia"/>
          <w:lang w:eastAsia="zh-CN"/>
        </w:rPr>
      </w:pPr>
      <w:r>
        <w:rPr>
          <w:rFonts w:hint="eastAsia"/>
          <w:lang w:eastAsia="zh-CN"/>
        </w:rPr>
        <w:br w:type="page"/>
      </w:r>
    </w:p>
    <w:p w14:paraId="3B6B76A5">
      <w:pPr>
        <w:pStyle w:val="512"/>
        <w:rPr>
          <w:rFonts w:hint="eastAsia"/>
          <w:lang w:eastAsia="zh-CN"/>
        </w:rPr>
      </w:pPr>
      <w:r>
        <w:rPr>
          <w:rFonts w:hint="eastAsia"/>
          <w:lang w:eastAsia="zh-CN"/>
        </w:rPr>
        <w:t>附件五：技术咨询意见</w:t>
      </w:r>
    </w:p>
    <w:p w14:paraId="15B0B0A3">
      <w:pPr>
        <w:jc w:val="center"/>
        <w:rPr>
          <w:rFonts w:hint="eastAsia"/>
          <w:lang w:eastAsia="zh-CN"/>
        </w:rPr>
      </w:pPr>
      <w:r>
        <w:rPr>
          <w:rFonts w:hint="eastAsia"/>
          <w:lang w:eastAsia="zh-CN"/>
        </w:rPr>
        <w:drawing>
          <wp:inline distT="0" distB="0" distL="114300" distR="114300">
            <wp:extent cx="5250180" cy="8114030"/>
            <wp:effectExtent l="0" t="0" r="7620" b="1270"/>
            <wp:docPr id="47" name="图片 47" descr="ed3d7a5fac939179a4e436d30854b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ed3d7a5fac939179a4e436d30854b53"/>
                    <pic:cNvPicPr>
                      <a:picLocks noChangeAspect="1"/>
                    </pic:cNvPicPr>
                  </pic:nvPicPr>
                  <pic:blipFill>
                    <a:blip r:embed="rId39"/>
                    <a:stretch>
                      <a:fillRect/>
                    </a:stretch>
                  </pic:blipFill>
                  <pic:spPr>
                    <a:xfrm>
                      <a:off x="0" y="0"/>
                      <a:ext cx="5250180" cy="8114030"/>
                    </a:xfrm>
                    <a:prstGeom prst="rect">
                      <a:avLst/>
                    </a:prstGeom>
                  </pic:spPr>
                </pic:pic>
              </a:graphicData>
            </a:graphic>
          </wp:inline>
        </w:drawing>
      </w:r>
      <w:r>
        <w:rPr>
          <w:rFonts w:hint="eastAsia"/>
          <w:lang w:eastAsia="zh-CN"/>
        </w:rPr>
        <w:drawing>
          <wp:inline distT="0" distB="0" distL="114300" distR="114300">
            <wp:extent cx="5426710" cy="8529320"/>
            <wp:effectExtent l="0" t="0" r="2540" b="5080"/>
            <wp:docPr id="48" name="图片 48" descr="b5fbc25aae10b660639615d76fc21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b5fbc25aae10b660639615d76fc21dd"/>
                    <pic:cNvPicPr>
                      <a:picLocks noChangeAspect="1"/>
                    </pic:cNvPicPr>
                  </pic:nvPicPr>
                  <pic:blipFill>
                    <a:blip r:embed="rId40"/>
                    <a:stretch>
                      <a:fillRect/>
                    </a:stretch>
                  </pic:blipFill>
                  <pic:spPr>
                    <a:xfrm>
                      <a:off x="0" y="0"/>
                      <a:ext cx="5426710" cy="8529320"/>
                    </a:xfrm>
                    <a:prstGeom prst="rect">
                      <a:avLst/>
                    </a:prstGeom>
                  </pic:spPr>
                </pic:pic>
              </a:graphicData>
            </a:graphic>
          </wp:inline>
        </w:drawing>
      </w:r>
      <w:r>
        <w:rPr>
          <w:rFonts w:hint="eastAsia"/>
          <w:lang w:eastAsia="zh-CN"/>
        </w:rPr>
        <w:drawing>
          <wp:inline distT="0" distB="0" distL="114300" distR="114300">
            <wp:extent cx="5605145" cy="8336280"/>
            <wp:effectExtent l="0" t="0" r="14605" b="7620"/>
            <wp:docPr id="49" name="图片 49" descr="04097890c503fef60784bbefcba2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04097890c503fef60784bbefcba2043"/>
                    <pic:cNvPicPr>
                      <a:picLocks noChangeAspect="1"/>
                    </pic:cNvPicPr>
                  </pic:nvPicPr>
                  <pic:blipFill>
                    <a:blip r:embed="rId41"/>
                    <a:stretch>
                      <a:fillRect/>
                    </a:stretch>
                  </pic:blipFill>
                  <pic:spPr>
                    <a:xfrm>
                      <a:off x="0" y="0"/>
                      <a:ext cx="5605145" cy="8336280"/>
                    </a:xfrm>
                    <a:prstGeom prst="rect">
                      <a:avLst/>
                    </a:prstGeom>
                  </pic:spPr>
                </pic:pic>
              </a:graphicData>
            </a:graphic>
          </wp:inline>
        </w:drawing>
      </w:r>
      <w:r>
        <w:rPr>
          <w:rFonts w:hint="eastAsia"/>
          <w:lang w:eastAsia="zh-CN"/>
        </w:rPr>
        <w:drawing>
          <wp:inline distT="0" distB="0" distL="114300" distR="114300">
            <wp:extent cx="5603240" cy="8508365"/>
            <wp:effectExtent l="0" t="0" r="16510" b="6985"/>
            <wp:docPr id="50" name="图片 50" descr="02e4ed5e9f9569d3bab3ca5bc03cc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02e4ed5e9f9569d3bab3ca5bc03cc4e"/>
                    <pic:cNvPicPr>
                      <a:picLocks noChangeAspect="1"/>
                    </pic:cNvPicPr>
                  </pic:nvPicPr>
                  <pic:blipFill>
                    <a:blip r:embed="rId42"/>
                    <a:stretch>
                      <a:fillRect/>
                    </a:stretch>
                  </pic:blipFill>
                  <pic:spPr>
                    <a:xfrm>
                      <a:off x="0" y="0"/>
                      <a:ext cx="5603240" cy="8508365"/>
                    </a:xfrm>
                    <a:prstGeom prst="rect">
                      <a:avLst/>
                    </a:prstGeom>
                  </pic:spPr>
                </pic:pic>
              </a:graphicData>
            </a:graphic>
          </wp:inline>
        </w:drawing>
      </w:r>
      <w:r>
        <w:rPr>
          <w:rFonts w:hint="eastAsia"/>
          <w:lang w:eastAsia="zh-CN"/>
        </w:rPr>
        <w:br w:type="page"/>
      </w:r>
    </w:p>
    <w:p w14:paraId="26E82641">
      <w:pPr>
        <w:pStyle w:val="512"/>
        <w:rPr>
          <w:rFonts w:hint="eastAsia"/>
          <w:lang w:eastAsia="zh-CN"/>
        </w:rPr>
      </w:pPr>
      <w:r>
        <w:rPr>
          <w:rFonts w:hint="eastAsia"/>
          <w:lang w:eastAsia="zh-CN"/>
        </w:rPr>
        <w:t>附件六：修改清单</w:t>
      </w:r>
    </w:p>
    <w:p w14:paraId="10A2CBFA">
      <w:pPr>
        <w:jc w:val="center"/>
        <w:rPr>
          <w:rFonts w:hint="eastAsia"/>
          <w:lang w:eastAsia="zh-CN"/>
        </w:rPr>
      </w:pPr>
      <w:r>
        <w:rPr>
          <w:rFonts w:hint="eastAsia"/>
          <w:lang w:eastAsia="zh-CN"/>
        </w:rPr>
        <w:drawing>
          <wp:inline distT="0" distB="0" distL="114300" distR="114300">
            <wp:extent cx="5610860" cy="7934960"/>
            <wp:effectExtent l="0" t="0" r="8890" b="8890"/>
            <wp:docPr id="51" name="图片 51" descr="小微企业专家意见2024。10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小微企业专家意见2024。10_页面_1"/>
                    <pic:cNvPicPr>
                      <a:picLocks noChangeAspect="1"/>
                    </pic:cNvPicPr>
                  </pic:nvPicPr>
                  <pic:blipFill>
                    <a:blip r:embed="rId43"/>
                    <a:stretch>
                      <a:fillRect/>
                    </a:stretch>
                  </pic:blipFill>
                  <pic:spPr>
                    <a:xfrm>
                      <a:off x="0" y="0"/>
                      <a:ext cx="5610860" cy="7934960"/>
                    </a:xfrm>
                    <a:prstGeom prst="rect">
                      <a:avLst/>
                    </a:prstGeom>
                  </pic:spPr>
                </pic:pic>
              </a:graphicData>
            </a:graphic>
          </wp:inline>
        </w:drawing>
      </w:r>
      <w:r>
        <w:rPr>
          <w:rFonts w:hint="eastAsia"/>
          <w:lang w:eastAsia="zh-CN"/>
        </w:rPr>
        <w:drawing>
          <wp:inline distT="0" distB="0" distL="114300" distR="114300">
            <wp:extent cx="5610860" cy="7934960"/>
            <wp:effectExtent l="0" t="0" r="8890" b="8890"/>
            <wp:docPr id="52" name="图片 52" descr="小微企业专家意见2024。10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小微企业专家意见2024。10_页面_2"/>
                    <pic:cNvPicPr>
                      <a:picLocks noChangeAspect="1"/>
                    </pic:cNvPicPr>
                  </pic:nvPicPr>
                  <pic:blipFill>
                    <a:blip r:embed="rId44"/>
                    <a:stretch>
                      <a:fillRect/>
                    </a:stretch>
                  </pic:blipFill>
                  <pic:spPr>
                    <a:xfrm>
                      <a:off x="0" y="0"/>
                      <a:ext cx="5610860" cy="7934960"/>
                    </a:xfrm>
                    <a:prstGeom prst="rect">
                      <a:avLst/>
                    </a:prstGeom>
                  </pic:spPr>
                </pic:pic>
              </a:graphicData>
            </a:graphic>
          </wp:inline>
        </w:drawing>
      </w:r>
      <w:r>
        <w:rPr>
          <w:rFonts w:hint="eastAsia"/>
          <w:lang w:eastAsia="zh-CN"/>
        </w:rPr>
        <w:drawing>
          <wp:inline distT="0" distB="0" distL="114300" distR="114300">
            <wp:extent cx="5610860" cy="7934960"/>
            <wp:effectExtent l="0" t="0" r="8890" b="8890"/>
            <wp:docPr id="53" name="图片 53" descr="小微企业专家意见2024。10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小微企业专家意见2024。10_页面_3"/>
                    <pic:cNvPicPr>
                      <a:picLocks noChangeAspect="1"/>
                    </pic:cNvPicPr>
                  </pic:nvPicPr>
                  <pic:blipFill>
                    <a:blip r:embed="rId45"/>
                    <a:stretch>
                      <a:fillRect/>
                    </a:stretch>
                  </pic:blipFill>
                  <pic:spPr>
                    <a:xfrm>
                      <a:off x="0" y="0"/>
                      <a:ext cx="5610860" cy="7934960"/>
                    </a:xfrm>
                    <a:prstGeom prst="rect">
                      <a:avLst/>
                    </a:prstGeom>
                  </pic:spPr>
                </pic:pic>
              </a:graphicData>
            </a:graphic>
          </wp:inline>
        </w:drawing>
      </w:r>
      <w:r>
        <w:rPr>
          <w:rFonts w:hint="eastAsia"/>
          <w:lang w:eastAsia="zh-CN"/>
        </w:rPr>
        <w:br w:type="page"/>
      </w:r>
    </w:p>
    <w:p w14:paraId="6D378F2A">
      <w:pPr>
        <w:pStyle w:val="512"/>
        <w:rPr>
          <w:rFonts w:hint="eastAsia"/>
          <w:lang w:eastAsia="zh-CN"/>
        </w:rPr>
      </w:pPr>
      <w:r>
        <w:rPr>
          <w:rFonts w:hint="eastAsia"/>
          <w:lang w:eastAsia="zh-CN"/>
        </w:rPr>
        <w:t>附件七：委托书</w:t>
      </w:r>
    </w:p>
    <w:p w14:paraId="7383FC60">
      <w:pPr>
        <w:pStyle w:val="51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lang w:eastAsia="zh-CN"/>
        </w:rPr>
      </w:pPr>
      <w:r>
        <w:rPr>
          <w:rFonts w:hint="eastAsia"/>
          <w:lang w:eastAsia="zh-CN"/>
        </w:rPr>
        <w:drawing>
          <wp:inline distT="0" distB="0" distL="114300" distR="114300">
            <wp:extent cx="5223510" cy="8241665"/>
            <wp:effectExtent l="0" t="0" r="15240" b="6985"/>
            <wp:docPr id="39" name="图片 39" descr="64bd2aea99f9d9db4a1f590e17e13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64bd2aea99f9d9db4a1f590e17e139b"/>
                    <pic:cNvPicPr>
                      <a:picLocks noChangeAspect="1"/>
                    </pic:cNvPicPr>
                  </pic:nvPicPr>
                  <pic:blipFill>
                    <a:blip r:embed="rId46"/>
                    <a:stretch>
                      <a:fillRect/>
                    </a:stretch>
                  </pic:blipFill>
                  <pic:spPr>
                    <a:xfrm>
                      <a:off x="0" y="0"/>
                      <a:ext cx="5223510" cy="8241665"/>
                    </a:xfrm>
                    <a:prstGeom prst="rect">
                      <a:avLst/>
                    </a:prstGeom>
                  </pic:spPr>
                </pic:pic>
              </a:graphicData>
            </a:graphic>
          </wp:inline>
        </w:drawing>
      </w:r>
    </w:p>
    <w:p w14:paraId="105DAB33">
      <w:pPr>
        <w:pStyle w:val="512"/>
        <w:rPr>
          <w:rFonts w:hint="eastAsia"/>
          <w:lang w:eastAsia="zh-CN"/>
        </w:rPr>
      </w:pPr>
      <w:r>
        <w:rPr>
          <w:rFonts w:hint="eastAsia"/>
          <w:lang w:eastAsia="zh-CN"/>
        </w:rPr>
        <w:t>附件八：环保信用承诺书</w:t>
      </w:r>
    </w:p>
    <w:p w14:paraId="3EF140F6">
      <w:pPr>
        <w:pStyle w:val="51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lang w:eastAsia="zh-CN"/>
        </w:rPr>
      </w:pPr>
      <w:r>
        <w:rPr>
          <w:rFonts w:hint="eastAsia"/>
          <w:lang w:eastAsia="zh-CN"/>
        </w:rPr>
        <w:drawing>
          <wp:inline distT="0" distB="0" distL="114300" distR="114300">
            <wp:extent cx="4947920" cy="8101330"/>
            <wp:effectExtent l="0" t="0" r="5080" b="13970"/>
            <wp:docPr id="40" name="图片 40" descr="4c52bcf4192b78d0e9fc35af0797b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4c52bcf4192b78d0e9fc35af0797b2f"/>
                    <pic:cNvPicPr>
                      <a:picLocks noChangeAspect="1"/>
                    </pic:cNvPicPr>
                  </pic:nvPicPr>
                  <pic:blipFill>
                    <a:blip r:embed="rId47"/>
                    <a:stretch>
                      <a:fillRect/>
                    </a:stretch>
                  </pic:blipFill>
                  <pic:spPr>
                    <a:xfrm>
                      <a:off x="0" y="0"/>
                      <a:ext cx="4947920" cy="8101330"/>
                    </a:xfrm>
                    <a:prstGeom prst="rect">
                      <a:avLst/>
                    </a:prstGeom>
                  </pic:spPr>
                </pic:pic>
              </a:graphicData>
            </a:graphic>
          </wp:inline>
        </w:drawing>
      </w:r>
    </w:p>
    <w:p w14:paraId="022C3B05">
      <w:pPr>
        <w:pStyle w:val="512"/>
        <w:ind w:left="0" w:leftChars="0" w:firstLine="0" w:firstLineChars="0"/>
        <w:rPr>
          <w:rFonts w:hint="eastAsia"/>
          <w:lang w:eastAsia="zh-CN"/>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56C79F6F">
      <w:pPr>
        <w:pStyle w:val="512"/>
      </w:pPr>
      <w:bookmarkStart w:id="10" w:name="_Hlk121902742"/>
      <w:r>
        <w:rPr>
          <w:rFonts w:hint="eastAsia"/>
        </w:rPr>
        <w:t>附图一：项目地理位置</w:t>
      </w:r>
    </w:p>
    <w:bookmarkEnd w:id="10"/>
    <w:p w14:paraId="1E6C5732">
      <w:pPr>
        <w:pStyle w:val="1111"/>
      </w:pPr>
      <w:r>
        <w:drawing>
          <wp:inline distT="0" distB="0" distL="114300" distR="114300">
            <wp:extent cx="6281420" cy="5233670"/>
            <wp:effectExtent l="0" t="0" r="5080" b="508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8"/>
                    <a:stretch>
                      <a:fillRect/>
                    </a:stretch>
                  </pic:blipFill>
                  <pic:spPr>
                    <a:xfrm>
                      <a:off x="0" y="0"/>
                      <a:ext cx="6281420" cy="5233670"/>
                    </a:xfrm>
                    <a:prstGeom prst="rect">
                      <a:avLst/>
                    </a:prstGeom>
                    <a:noFill/>
                    <a:ln>
                      <a:noFill/>
                    </a:ln>
                  </pic:spPr>
                </pic:pic>
              </a:graphicData>
            </a:graphic>
          </wp:inline>
        </w:drawing>
      </w:r>
    </w:p>
    <w:p w14:paraId="7BA34ADB">
      <w:pPr>
        <w:pStyle w:val="512"/>
      </w:pPr>
      <w:r>
        <w:rPr>
          <w:rFonts w:hint="eastAsia"/>
        </w:rPr>
        <w:t>附图二：项目生态红线图</w:t>
      </w:r>
    </w:p>
    <w:p w14:paraId="58CF638A">
      <w:pPr>
        <w:pStyle w:val="1111"/>
      </w:pPr>
      <w:r>
        <w:drawing>
          <wp:inline distT="0" distB="0" distL="114300" distR="114300">
            <wp:extent cx="7538085" cy="5292725"/>
            <wp:effectExtent l="0" t="0" r="5715" b="317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49"/>
                    <a:stretch>
                      <a:fillRect/>
                    </a:stretch>
                  </pic:blipFill>
                  <pic:spPr>
                    <a:xfrm>
                      <a:off x="0" y="0"/>
                      <a:ext cx="7538085" cy="5292725"/>
                    </a:xfrm>
                    <a:prstGeom prst="rect">
                      <a:avLst/>
                    </a:prstGeom>
                    <a:noFill/>
                    <a:ln>
                      <a:noFill/>
                    </a:ln>
                  </pic:spPr>
                </pic:pic>
              </a:graphicData>
            </a:graphic>
          </wp:inline>
        </w:drawing>
      </w:r>
    </w:p>
    <w:p w14:paraId="37213CAD">
      <w:pPr>
        <w:pStyle w:val="512"/>
      </w:pPr>
      <w:r>
        <w:rPr>
          <w:rFonts w:hint="eastAsia"/>
        </w:rPr>
        <w:t>附图三：项目水系图</w:t>
      </w:r>
    </w:p>
    <w:p w14:paraId="6EB9DBA6">
      <w:pPr>
        <w:pStyle w:val="1111"/>
      </w:pPr>
      <w:r>
        <w:drawing>
          <wp:inline distT="0" distB="0" distL="114300" distR="114300">
            <wp:extent cx="6568440" cy="5273675"/>
            <wp:effectExtent l="0" t="0" r="3810" b="317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50"/>
                    <a:stretch>
                      <a:fillRect/>
                    </a:stretch>
                  </pic:blipFill>
                  <pic:spPr>
                    <a:xfrm>
                      <a:off x="0" y="0"/>
                      <a:ext cx="6568440" cy="5273675"/>
                    </a:xfrm>
                    <a:prstGeom prst="rect">
                      <a:avLst/>
                    </a:prstGeom>
                    <a:noFill/>
                    <a:ln>
                      <a:noFill/>
                    </a:ln>
                  </pic:spPr>
                </pic:pic>
              </a:graphicData>
            </a:graphic>
          </wp:inline>
        </w:drawing>
      </w:r>
    </w:p>
    <w:p w14:paraId="6F2D1E11">
      <w:pPr>
        <w:pStyle w:val="512"/>
        <w:spacing w:line="240" w:lineRule="auto"/>
        <w:rPr>
          <w:rFonts w:hint="eastAsia" w:eastAsia="宋体"/>
          <w:lang w:eastAsia="zh-CN"/>
        </w:rPr>
      </w:pPr>
      <w:r>
        <w:rPr>
          <w:rFonts w:hint="eastAsia"/>
        </w:rPr>
        <w:t>附图四：</w:t>
      </w:r>
      <w:r>
        <w:rPr>
          <w:rFonts w:hint="eastAsia"/>
          <w:lang w:eastAsia="zh-CN"/>
        </w:rPr>
        <w:t>园区规划图</w:t>
      </w:r>
    </w:p>
    <w:p w14:paraId="54C37129">
      <w:pPr>
        <w:pStyle w:val="1111"/>
        <w:bidi w:val="0"/>
        <w:rPr>
          <w:rFonts w:hint="eastAsia"/>
        </w:rPr>
      </w:pPr>
      <w:r>
        <w:drawing>
          <wp:inline distT="0" distB="0" distL="114300" distR="114300">
            <wp:extent cx="7955915" cy="5237480"/>
            <wp:effectExtent l="0" t="0" r="6985" b="1270"/>
            <wp:docPr id="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
                    <pic:cNvPicPr>
                      <a:picLocks noChangeAspect="1"/>
                    </pic:cNvPicPr>
                  </pic:nvPicPr>
                  <pic:blipFill>
                    <a:blip r:embed="rId51"/>
                    <a:stretch>
                      <a:fillRect/>
                    </a:stretch>
                  </pic:blipFill>
                  <pic:spPr>
                    <a:xfrm>
                      <a:off x="0" y="0"/>
                      <a:ext cx="7955915" cy="5237480"/>
                    </a:xfrm>
                    <a:prstGeom prst="rect">
                      <a:avLst/>
                    </a:prstGeom>
                    <a:noFill/>
                    <a:ln>
                      <a:noFill/>
                    </a:ln>
                  </pic:spPr>
                </pic:pic>
              </a:graphicData>
            </a:graphic>
          </wp:inline>
        </w:drawing>
      </w:r>
    </w:p>
    <w:p w14:paraId="734F30A3">
      <w:pPr>
        <w:pStyle w:val="512"/>
        <w:spacing w:line="240" w:lineRule="auto"/>
      </w:pPr>
      <w:r>
        <w:rPr>
          <w:rFonts w:hint="eastAsia"/>
          <w:lang w:eastAsia="zh-CN"/>
        </w:rPr>
        <w:t>附图五：</w:t>
      </w:r>
      <w:r>
        <w:rPr>
          <w:rFonts w:hint="eastAsia"/>
        </w:rPr>
        <w:t>项目周边5</w:t>
      </w:r>
      <w:r>
        <w:t>00m</w:t>
      </w:r>
      <w:r>
        <w:rPr>
          <w:rFonts w:hint="eastAsia"/>
        </w:rPr>
        <w:t>用地现状图</w:t>
      </w:r>
    </w:p>
    <w:p w14:paraId="150DB2C3">
      <w:pPr>
        <w:pStyle w:val="1111"/>
      </w:pPr>
      <w:r>
        <w:drawing>
          <wp:inline distT="0" distB="0" distL="114300" distR="114300">
            <wp:extent cx="6784975" cy="5289550"/>
            <wp:effectExtent l="0" t="0" r="15875" b="6350"/>
            <wp:docPr id="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
                    <pic:cNvPicPr>
                      <a:picLocks noChangeAspect="1"/>
                    </pic:cNvPicPr>
                  </pic:nvPicPr>
                  <pic:blipFill>
                    <a:blip r:embed="rId52"/>
                    <a:stretch>
                      <a:fillRect/>
                    </a:stretch>
                  </pic:blipFill>
                  <pic:spPr>
                    <a:xfrm>
                      <a:off x="0" y="0"/>
                      <a:ext cx="6784975" cy="5289550"/>
                    </a:xfrm>
                    <a:prstGeom prst="rect">
                      <a:avLst/>
                    </a:prstGeom>
                    <a:noFill/>
                    <a:ln>
                      <a:noFill/>
                    </a:ln>
                  </pic:spPr>
                </pic:pic>
              </a:graphicData>
            </a:graphic>
          </wp:inline>
        </w:drawing>
      </w:r>
    </w:p>
    <w:p w14:paraId="114CCE2B">
      <w:pPr>
        <w:pStyle w:val="512"/>
        <w:spacing w:line="240" w:lineRule="auto"/>
      </w:pPr>
      <w:r>
        <w:rPr>
          <w:rFonts w:hint="eastAsia"/>
        </w:rPr>
        <w:t>附图</w:t>
      </w:r>
      <w:r>
        <w:rPr>
          <w:rFonts w:hint="eastAsia"/>
          <w:lang w:eastAsia="zh-CN"/>
        </w:rPr>
        <w:t>六</w:t>
      </w:r>
      <w:r>
        <w:rPr>
          <w:rFonts w:hint="eastAsia"/>
        </w:rPr>
        <w:t>：项目平面布置图</w:t>
      </w:r>
    </w:p>
    <w:p w14:paraId="5D8A87A7">
      <w:pPr>
        <w:pStyle w:val="1111"/>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r>
        <w:drawing>
          <wp:inline distT="0" distB="0" distL="114300" distR="114300">
            <wp:extent cx="7270750" cy="5362575"/>
            <wp:effectExtent l="0" t="0" r="6350" b="9525"/>
            <wp:docPr id="2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
                    <pic:cNvPicPr>
                      <a:picLocks noChangeAspect="1"/>
                    </pic:cNvPicPr>
                  </pic:nvPicPr>
                  <pic:blipFill>
                    <a:blip r:embed="rId53"/>
                    <a:stretch>
                      <a:fillRect/>
                    </a:stretch>
                  </pic:blipFill>
                  <pic:spPr>
                    <a:xfrm>
                      <a:off x="0" y="0"/>
                      <a:ext cx="7270750" cy="5362575"/>
                    </a:xfrm>
                    <a:prstGeom prst="rect">
                      <a:avLst/>
                    </a:prstGeom>
                    <a:noFill/>
                    <a:ln>
                      <a:noFill/>
                    </a:ln>
                  </pic:spPr>
                </pic:pic>
              </a:graphicData>
            </a:graphic>
          </wp:inline>
        </w:drawing>
      </w:r>
    </w:p>
    <w:p w14:paraId="027D43F5">
      <w:pPr>
        <w:pStyle w:val="512"/>
        <w:spacing w:line="240" w:lineRule="auto"/>
      </w:pPr>
      <w:r>
        <w:rPr>
          <w:rFonts w:hint="eastAsia"/>
        </w:rPr>
        <w:t>附图</w:t>
      </w:r>
      <w:r>
        <w:rPr>
          <w:rFonts w:hint="eastAsia"/>
          <w:lang w:eastAsia="zh-CN"/>
        </w:rPr>
        <w:t>七</w:t>
      </w:r>
      <w:r>
        <w:rPr>
          <w:rFonts w:hint="eastAsia"/>
        </w:rPr>
        <w:t>：</w:t>
      </w:r>
      <w:r>
        <w:rPr>
          <w:rFonts w:hint="eastAsia"/>
          <w:lang w:eastAsia="zh-CN"/>
        </w:rPr>
        <w:t>本</w:t>
      </w:r>
      <w:r>
        <w:rPr>
          <w:rFonts w:hint="eastAsia"/>
        </w:rPr>
        <w:t>项目</w:t>
      </w:r>
      <w:r>
        <w:rPr>
          <w:rFonts w:hint="eastAsia"/>
          <w:lang w:eastAsia="zh-CN"/>
        </w:rPr>
        <w:t>危废存储间分区</w:t>
      </w:r>
      <w:r>
        <w:rPr>
          <w:rFonts w:hint="eastAsia"/>
        </w:rPr>
        <w:t>布置图</w:t>
      </w:r>
    </w:p>
    <w:p w14:paraId="6D87F377">
      <w:pPr>
        <w:pStyle w:val="1111"/>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drawing>
          <wp:inline distT="0" distB="0" distL="114300" distR="114300">
            <wp:extent cx="5628640" cy="7188200"/>
            <wp:effectExtent l="0" t="0" r="10160" b="12700"/>
            <wp:docPr id="4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
                    <pic:cNvPicPr>
                      <a:picLocks noChangeAspect="1"/>
                    </pic:cNvPicPr>
                  </pic:nvPicPr>
                  <pic:blipFill>
                    <a:blip r:embed="rId54"/>
                    <a:stretch>
                      <a:fillRect/>
                    </a:stretch>
                  </pic:blipFill>
                  <pic:spPr>
                    <a:xfrm>
                      <a:off x="0" y="0"/>
                      <a:ext cx="5628640" cy="7188200"/>
                    </a:xfrm>
                    <a:prstGeom prst="rect">
                      <a:avLst/>
                    </a:prstGeom>
                    <a:noFill/>
                    <a:ln>
                      <a:noFill/>
                    </a:ln>
                  </pic:spPr>
                </pic:pic>
              </a:graphicData>
            </a:graphic>
          </wp:inline>
        </w:drawing>
      </w:r>
    </w:p>
    <w:p w14:paraId="796E30F4">
      <w:pPr>
        <w:widowControl/>
        <w:spacing w:line="240" w:lineRule="auto"/>
        <w:ind w:firstLine="0" w:firstLineChars="0"/>
        <w:jc w:val="center"/>
        <w:rPr>
          <w:rFonts w:cs="Times New Roman"/>
          <w:color w:val="000000" w:themeColor="text1"/>
          <w:sz w:val="44"/>
          <w:szCs w:val="40"/>
          <w14:textFill>
            <w14:solidFill>
              <w14:schemeClr w14:val="tx1"/>
            </w14:solidFill>
          </w14:textFill>
        </w:rPr>
      </w:pPr>
    </w:p>
    <w:p w14:paraId="5D5D1302">
      <w:pPr>
        <w:widowControl/>
        <w:spacing w:line="240" w:lineRule="auto"/>
        <w:ind w:firstLine="0" w:firstLineChars="0"/>
        <w:jc w:val="center"/>
        <w:rPr>
          <w:rFonts w:cs="Times New Roman"/>
          <w:color w:val="000000" w:themeColor="text1"/>
          <w:sz w:val="44"/>
          <w:szCs w:val="40"/>
          <w14:textFill>
            <w14:solidFill>
              <w14:schemeClr w14:val="tx1"/>
            </w14:solidFill>
          </w14:textFill>
        </w:rPr>
      </w:pPr>
    </w:p>
    <w:p w14:paraId="7ED15C48">
      <w:pPr>
        <w:widowControl/>
        <w:spacing w:line="240" w:lineRule="auto"/>
        <w:ind w:firstLine="0" w:firstLineChars="0"/>
        <w:jc w:val="center"/>
        <w:rPr>
          <w:rFonts w:cs="Times New Roman"/>
          <w:color w:val="000000" w:themeColor="text1"/>
          <w:sz w:val="44"/>
          <w:szCs w:val="40"/>
          <w14:textFill>
            <w14:solidFill>
              <w14:schemeClr w14:val="tx1"/>
            </w14:solidFill>
          </w14:textFill>
        </w:rPr>
      </w:pPr>
    </w:p>
    <w:p w14:paraId="6ABB057F">
      <w:pPr>
        <w:widowControl/>
        <w:spacing w:line="240" w:lineRule="auto"/>
        <w:ind w:firstLine="0" w:firstLineChars="0"/>
        <w:jc w:val="center"/>
        <w:rPr>
          <w:rFonts w:cs="Times New Roman"/>
          <w:color w:val="000000" w:themeColor="text1"/>
          <w:sz w:val="44"/>
          <w:szCs w:val="40"/>
          <w14:textFill>
            <w14:solidFill>
              <w14:schemeClr w14:val="tx1"/>
            </w14:solidFill>
          </w14:textFill>
        </w:rPr>
      </w:pPr>
    </w:p>
    <w:p w14:paraId="7BBCCBA9">
      <w:pPr>
        <w:widowControl/>
        <w:spacing w:line="240" w:lineRule="auto"/>
        <w:ind w:firstLine="0" w:firstLineChars="0"/>
        <w:jc w:val="center"/>
        <w:rPr>
          <w:rFonts w:hint="eastAsia" w:eastAsia="宋体" w:cs="Times New Roman"/>
          <w:color w:val="000000" w:themeColor="text1"/>
          <w:sz w:val="56"/>
          <w:szCs w:val="52"/>
          <w:lang w:eastAsia="zh-CN"/>
          <w14:textFill>
            <w14:solidFill>
              <w14:schemeClr w14:val="tx1"/>
            </w14:solidFill>
          </w14:textFill>
        </w:rPr>
      </w:pPr>
      <w:r>
        <w:rPr>
          <w:rFonts w:cs="Times New Roman"/>
          <w:color w:val="000000" w:themeColor="text1"/>
          <w:sz w:val="56"/>
          <w:szCs w:val="52"/>
          <w14:textFill>
            <w14:solidFill>
              <w14:schemeClr w14:val="tx1"/>
            </w14:solidFill>
          </w14:textFill>
        </w:rPr>
        <w:t>环境风险专项</w:t>
      </w:r>
      <w:r>
        <w:rPr>
          <w:rFonts w:hint="eastAsia" w:cs="Times New Roman"/>
          <w:color w:val="000000" w:themeColor="text1"/>
          <w:sz w:val="56"/>
          <w:szCs w:val="52"/>
          <w:lang w:eastAsia="zh-CN"/>
          <w14:textFill>
            <w14:solidFill>
              <w14:schemeClr w14:val="tx1"/>
            </w14:solidFill>
          </w14:textFill>
        </w:rPr>
        <w:t>评价</w:t>
      </w:r>
    </w:p>
    <w:p w14:paraId="5770E6F3">
      <w:pPr>
        <w:widowControl/>
        <w:spacing w:line="240" w:lineRule="auto"/>
        <w:ind w:firstLine="0" w:firstLineChars="0"/>
        <w:jc w:val="left"/>
        <w:rPr>
          <w:rFonts w:cs="Times New Roman"/>
          <w:color w:val="000000" w:themeColor="text1"/>
          <w14:textFill>
            <w14:solidFill>
              <w14:schemeClr w14:val="tx1"/>
            </w14:solidFill>
          </w14:textFill>
        </w:rPr>
      </w:pPr>
    </w:p>
    <w:p w14:paraId="5AE77CF1">
      <w:pPr>
        <w:pStyle w:val="515"/>
        <w:bidi w:val="0"/>
        <w:rPr>
          <w:rFonts w:hint="eastAsia"/>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458BBB25">
      <w:pPr>
        <w:pStyle w:val="515"/>
        <w:bidi w:val="0"/>
        <w:rPr>
          <w:rFonts w:hint="default"/>
          <w:lang w:val="en-US" w:eastAsia="zh-CN"/>
        </w:rPr>
      </w:pPr>
      <w:r>
        <w:rPr>
          <w:rFonts w:hint="eastAsia"/>
          <w:lang w:val="en-US" w:eastAsia="zh-CN"/>
        </w:rPr>
        <w:t>1总则</w:t>
      </w:r>
    </w:p>
    <w:p w14:paraId="641EE01E">
      <w:pPr>
        <w:pStyle w:val="515"/>
        <w:bidi w:val="0"/>
        <w:rPr>
          <w:rFonts w:hint="eastAsia"/>
          <w:lang w:val="en-US" w:eastAsia="zh-CN"/>
        </w:rPr>
      </w:pPr>
      <w:bookmarkStart w:id="11" w:name="_Toc7007"/>
      <w:r>
        <w:rPr>
          <w:rFonts w:hint="eastAsia"/>
          <w:lang w:val="en-US" w:eastAsia="zh-CN"/>
        </w:rPr>
        <w:t>1.1任务由来</w:t>
      </w:r>
      <w:bookmarkEnd w:id="11"/>
    </w:p>
    <w:p w14:paraId="1602C5A6">
      <w:pPr>
        <w:pStyle w:val="512"/>
        <w:bidi w:val="0"/>
      </w:pPr>
      <w:r>
        <w:t>为贯彻落实《中华人民共和国固体废物污染环境防治法》，按照《强化危险废物监管和利用处置能力改革实施方案》（国办函[2021]47号）关于开展工业园区危险废物集中收集贮存试点等有关要求，统筹兼顾小微企业危险废物收集，生态环境部办公厅于2022年印发了《关于开展小微企业危险废物收集试点的通知》（环办固体函[2022]66号）。</w:t>
      </w:r>
    </w:p>
    <w:p w14:paraId="5359161E">
      <w:pPr>
        <w:pStyle w:val="512"/>
        <w:bidi w:val="0"/>
      </w:pPr>
      <w:r>
        <w:t>为进一步推动全省危险废物集中收集体系建设，在总结各地试点工作的基础上，江苏省生态环境厅于2021年印发了《省生态环境厅关于印发&lt;江苏省危险废物集中收集体系建设工作方案（试行）&gt;的通知》（苏环办[2021]290号）</w:t>
      </w:r>
      <w:r>
        <w:rPr>
          <w:rFonts w:hint="eastAsia"/>
        </w:rPr>
        <w:t>、</w:t>
      </w:r>
      <w:r>
        <w:t>《省生态环境厅关于印发江苏省危险废物集中收集贮存试点工作方案的通知》</w:t>
      </w:r>
      <w:r>
        <w:rPr>
          <w:rFonts w:hint="eastAsia"/>
          <w:lang w:eastAsia="zh-CN"/>
        </w:rPr>
        <w:t>（</w:t>
      </w:r>
      <w:r>
        <w:t>苏环办[2019]390号</w:t>
      </w:r>
      <w:r>
        <w:rPr>
          <w:rFonts w:hint="eastAsia"/>
          <w:lang w:eastAsia="zh-CN"/>
        </w:rPr>
        <w:t>）</w:t>
      </w:r>
      <w:r>
        <w:t>。</w:t>
      </w:r>
    </w:p>
    <w:p w14:paraId="38A483BF">
      <w:pPr>
        <w:pStyle w:val="512"/>
        <w:bidi w:val="0"/>
        <w:rPr>
          <w:rFonts w:hint="eastAsia"/>
        </w:rPr>
      </w:pPr>
      <w:r>
        <w:rPr>
          <w:rFonts w:hint="eastAsia"/>
        </w:rPr>
        <w:t>为</w:t>
      </w:r>
      <w:r>
        <w:t>严格落实《强化危险废物监管和利用处置能力改革实施方案》（国办函[2021]47号）、《关于开展小微企业危险废物收集试点的通知》（环办固体函[2022]66号）、《省生态环境厅关于印发&lt;江苏省危险废物集中收集体系建设工作方案（试行）&gt;的通知》（苏环办[2021]290号）</w:t>
      </w:r>
      <w:r>
        <w:rPr>
          <w:rFonts w:hint="eastAsia"/>
        </w:rPr>
        <w:t>、</w:t>
      </w:r>
      <w:r>
        <w:t>《省生态环境厅关于印发江苏省危险废物集中收集贮存试点工作方案的通知》</w:t>
      </w:r>
      <w:r>
        <w:rPr>
          <w:rFonts w:hint="eastAsia"/>
          <w:lang w:eastAsia="zh-CN"/>
        </w:rPr>
        <w:t>（</w:t>
      </w:r>
      <w:r>
        <w:t>苏环办[2019]390号</w:t>
      </w:r>
      <w:r>
        <w:rPr>
          <w:rFonts w:hint="eastAsia"/>
          <w:lang w:eastAsia="zh-CN"/>
        </w:rPr>
        <w:t>）</w:t>
      </w:r>
      <w:r>
        <w:t>等相关文件要求，</w:t>
      </w:r>
      <w:r>
        <w:rPr>
          <w:rFonts w:hint="eastAsia"/>
          <w:lang w:eastAsia="zh-CN"/>
        </w:rPr>
        <w:t>江苏省环境资源有限公司连云港经开区分公司</w:t>
      </w:r>
      <w:r>
        <w:rPr>
          <w:rFonts w:hint="eastAsia"/>
        </w:rPr>
        <w:t>拟</w:t>
      </w:r>
      <w:r>
        <w:t>在</w:t>
      </w:r>
      <w:r>
        <w:rPr>
          <w:rFonts w:hint="eastAsia"/>
          <w:lang w:eastAsia="zh-CN"/>
        </w:rPr>
        <w:t>连云港经济技术开发区</w:t>
      </w:r>
      <w:r>
        <w:t>建设小微集中收集点</w:t>
      </w:r>
      <w:r>
        <w:rPr>
          <w:rFonts w:hint="eastAsia"/>
        </w:rPr>
        <w:t>，</w:t>
      </w:r>
      <w:r>
        <w:t>申请开展</w:t>
      </w:r>
      <w:r>
        <w:rPr>
          <w:rFonts w:hint="eastAsia"/>
          <w:lang w:eastAsia="zh-CN"/>
        </w:rPr>
        <w:t>连云港</w:t>
      </w:r>
      <w:r>
        <w:rPr>
          <w:rFonts w:hint="eastAsia"/>
        </w:rPr>
        <w:t>市</w:t>
      </w:r>
      <w:r>
        <w:t>危险废物集中收集试点工作，响应相关政策的要求，意将</w:t>
      </w:r>
      <w:r>
        <w:rPr>
          <w:rFonts w:hint="eastAsia"/>
          <w:lang w:eastAsia="zh-CN"/>
        </w:rPr>
        <w:t>连云港</w:t>
      </w:r>
      <w:r>
        <w:rPr>
          <w:rFonts w:hint="eastAsia"/>
        </w:rPr>
        <w:t>市</w:t>
      </w:r>
      <w:r>
        <w:t>范围内众多小微产废单位的危险废物“化零为整”，分类集中贮存，统一交由有资质的危废处置单位最终处置或资源化利用，发挥规模化优势。</w:t>
      </w:r>
    </w:p>
    <w:p w14:paraId="1D8D7610">
      <w:pPr>
        <w:pStyle w:val="512"/>
        <w:bidi w:val="0"/>
        <w:rPr>
          <w:rFonts w:hint="eastAsia"/>
        </w:rPr>
      </w:pPr>
      <w:r>
        <w:t>本项目位于</w:t>
      </w:r>
      <w:r>
        <w:rPr>
          <w:rFonts w:hint="eastAsia"/>
          <w:lang w:eastAsia="zh-CN"/>
        </w:rPr>
        <w:t>连云港市经济技术开发区昌圩路北、金桥路西</w:t>
      </w:r>
      <w:r>
        <w:t>，拟投资</w:t>
      </w:r>
      <w:r>
        <w:rPr>
          <w:rFonts w:hint="eastAsia"/>
          <w:lang w:val="en-US" w:eastAsia="zh-CN"/>
        </w:rPr>
        <w:t>100</w:t>
      </w:r>
      <w:r>
        <w:t>万元，租用</w:t>
      </w:r>
      <w:r>
        <w:rPr>
          <w:rFonts w:hint="eastAsia"/>
          <w:lang w:eastAsia="zh-CN"/>
        </w:rPr>
        <w:t>江苏鑫科医药投资发展</w:t>
      </w:r>
      <w:r>
        <w:t>有限公司现有</w:t>
      </w:r>
      <w:r>
        <w:rPr>
          <w:rFonts w:hint="eastAsia"/>
        </w:rPr>
        <w:t>危险废物贮存库</w:t>
      </w:r>
      <w:r>
        <w:rPr>
          <w:rFonts w:hint="eastAsia"/>
          <w:lang w:val="en-US" w:eastAsia="zh-CN"/>
        </w:rPr>
        <w:t>中的1#存储间、2#存储间和3#存储间（共176.22</w:t>
      </w:r>
      <w:r>
        <w:t>m</w:t>
      </w:r>
      <w:r>
        <w:rPr>
          <w:vertAlign w:val="superscript"/>
        </w:rPr>
        <w:t>2</w:t>
      </w:r>
      <w:r>
        <w:rPr>
          <w:rFonts w:hint="eastAsia"/>
          <w:lang w:val="en-US" w:eastAsia="zh-CN"/>
        </w:rPr>
        <w:t>），用于储存中华药港园区内企业和连云港市小微企业产生的危险废物</w:t>
      </w:r>
      <w:r>
        <w:rPr>
          <w:rFonts w:hint="eastAsia"/>
        </w:rPr>
        <w:t>。</w:t>
      </w:r>
    </w:p>
    <w:p w14:paraId="3A3D8710">
      <w:pPr>
        <w:pStyle w:val="515"/>
        <w:bidi w:val="0"/>
        <w:rPr>
          <w:rFonts w:hint="eastAsia"/>
          <w:lang w:val="en-US" w:eastAsia="zh-CN"/>
        </w:rPr>
      </w:pPr>
      <w:bookmarkStart w:id="12" w:name="_Toc12423"/>
      <w:r>
        <w:rPr>
          <w:rFonts w:hint="eastAsia"/>
          <w:lang w:val="en-US" w:eastAsia="zh-CN"/>
        </w:rPr>
        <w:t>1.2评价目的和重点</w:t>
      </w:r>
      <w:bookmarkEnd w:id="12"/>
    </w:p>
    <w:p w14:paraId="6C8D7040">
      <w:pPr>
        <w:pStyle w:val="512"/>
        <w:bidi w:val="0"/>
        <w:rPr>
          <w:rFonts w:hint="eastAsia"/>
          <w:lang w:val="en-US" w:eastAsia="zh-CN"/>
        </w:rPr>
      </w:pPr>
      <w:r>
        <w:rPr>
          <w:rFonts w:hint="eastAsia"/>
          <w:lang w:val="en-US" w:eastAsia="zh-CN"/>
        </w:rPr>
        <w:t>环境风险评价的目的是分析和预测建设项目存在的潜在危险、有害因素，项目建设和运行期间可能发生的突发性事件或事故（一般不包括人为破坏及自然灾害），引起有毒有害和易燃易爆等物质泄漏，所造成的人身安全和环境影响与损害程度，提出合理可行的防范、应急与减缓措施，以使建设项目事故率、损失和环境影响达到可接受水平。</w:t>
      </w:r>
    </w:p>
    <w:p w14:paraId="72AD1022">
      <w:pPr>
        <w:pStyle w:val="515"/>
        <w:bidi w:val="0"/>
        <w:rPr>
          <w:rFonts w:hint="eastAsia"/>
          <w:lang w:val="en-US" w:eastAsia="zh-CN"/>
        </w:rPr>
      </w:pPr>
      <w:bookmarkStart w:id="13" w:name="_Toc31468"/>
      <w:r>
        <w:rPr>
          <w:rFonts w:hint="eastAsia"/>
          <w:lang w:val="en-US" w:eastAsia="zh-CN"/>
        </w:rPr>
        <w:t>1.3评价依据</w:t>
      </w:r>
      <w:bookmarkEnd w:id="13"/>
    </w:p>
    <w:p w14:paraId="75604B62">
      <w:pPr>
        <w:pStyle w:val="515"/>
        <w:bidi w:val="0"/>
        <w:rPr>
          <w:rFonts w:hint="eastAsia"/>
          <w:lang w:val="en-US" w:eastAsia="zh-CN"/>
        </w:rPr>
      </w:pPr>
      <w:r>
        <w:rPr>
          <w:rFonts w:hint="eastAsia"/>
          <w:lang w:val="en-US" w:eastAsia="zh-CN"/>
        </w:rPr>
        <w:t>1.3.1法律法规、规章、指导性文件</w:t>
      </w:r>
    </w:p>
    <w:p w14:paraId="7F4DD606">
      <w:pPr>
        <w:pStyle w:val="512"/>
        <w:bidi w:val="0"/>
        <w:rPr>
          <w:rFonts w:hint="default"/>
          <w:lang w:val="en-US" w:eastAsia="zh-CN"/>
        </w:rPr>
      </w:pPr>
      <w:r>
        <w:rPr>
          <w:rFonts w:hint="eastAsia"/>
          <w:lang w:val="en-US" w:eastAsia="zh-CN"/>
        </w:rPr>
        <w:t>（</w:t>
      </w:r>
      <w:r>
        <w:rPr>
          <w:rFonts w:hint="default"/>
          <w:lang w:val="en-US" w:eastAsia="zh-CN"/>
        </w:rPr>
        <w:t>1</w:t>
      </w:r>
      <w:r>
        <w:rPr>
          <w:rFonts w:hint="eastAsia"/>
          <w:lang w:val="en-US" w:eastAsia="zh-CN"/>
        </w:rPr>
        <w:t>）</w:t>
      </w:r>
      <w:r>
        <w:rPr>
          <w:rFonts w:hint="default"/>
          <w:lang w:val="en-US" w:eastAsia="zh-CN"/>
        </w:rPr>
        <w:t>《中华人民共和国环境保护法》，中华人民共和国第十二届全国人民代表大会常务委员会第八次会议于2014年4月24日修订通过，2015年1月1日起施行</w:t>
      </w:r>
      <w:r>
        <w:rPr>
          <w:rFonts w:hint="eastAsia"/>
          <w:lang w:val="en-US" w:eastAsia="zh-CN"/>
        </w:rPr>
        <w:t>；</w:t>
      </w:r>
    </w:p>
    <w:p w14:paraId="565ADABE">
      <w:pPr>
        <w:pStyle w:val="512"/>
        <w:bidi w:val="0"/>
        <w:rPr>
          <w:rFonts w:hint="default"/>
          <w:lang w:val="en-US" w:eastAsia="zh-CN"/>
        </w:rPr>
      </w:pPr>
      <w:r>
        <w:rPr>
          <w:rFonts w:hint="eastAsia"/>
          <w:lang w:val="en-US" w:eastAsia="zh-CN"/>
        </w:rPr>
        <w:t>（</w:t>
      </w:r>
      <w:r>
        <w:rPr>
          <w:rFonts w:hint="default"/>
          <w:lang w:val="en-US" w:eastAsia="zh-CN"/>
        </w:rPr>
        <w:t>2</w:t>
      </w:r>
      <w:r>
        <w:rPr>
          <w:rFonts w:hint="eastAsia"/>
          <w:lang w:val="en-US" w:eastAsia="zh-CN"/>
        </w:rPr>
        <w:t>）</w:t>
      </w:r>
      <w:r>
        <w:rPr>
          <w:rFonts w:hint="default"/>
          <w:lang w:val="en-US" w:eastAsia="zh-CN"/>
        </w:rPr>
        <w:t>《中华人民共和国水污染防治法》，中华人民共和国主席令第八十七号，2017年6月27日第十二届全国人民代表大会常务委员会第二十八次会议修正，自2018年1月1日起施行</w:t>
      </w:r>
      <w:r>
        <w:rPr>
          <w:rFonts w:hint="eastAsia"/>
          <w:lang w:val="en-US" w:eastAsia="zh-CN"/>
        </w:rPr>
        <w:t>；</w:t>
      </w:r>
    </w:p>
    <w:p w14:paraId="7F212B0B">
      <w:pPr>
        <w:pStyle w:val="512"/>
        <w:bidi w:val="0"/>
        <w:rPr>
          <w:rFonts w:hint="default"/>
          <w:lang w:val="en-US" w:eastAsia="zh-CN"/>
        </w:rPr>
      </w:pPr>
      <w:r>
        <w:rPr>
          <w:rFonts w:hint="eastAsia"/>
          <w:lang w:val="en-US" w:eastAsia="zh-CN"/>
        </w:rPr>
        <w:t>（</w:t>
      </w:r>
      <w:r>
        <w:rPr>
          <w:rFonts w:hint="default"/>
          <w:lang w:val="en-US" w:eastAsia="zh-CN"/>
        </w:rPr>
        <w:t>3</w:t>
      </w:r>
      <w:r>
        <w:rPr>
          <w:rFonts w:hint="eastAsia"/>
          <w:lang w:val="en-US" w:eastAsia="zh-CN"/>
        </w:rPr>
        <w:t>）</w:t>
      </w:r>
      <w:r>
        <w:rPr>
          <w:rFonts w:hint="default"/>
          <w:lang w:val="en-US" w:eastAsia="zh-CN"/>
        </w:rPr>
        <w:t>《中华人民共和国大气污染防治法》，中华人民共和国主席令第三十一号，第十二届全国人民代表大会常务委员会第十六次会议于2018年10月26日修订通过</w:t>
      </w:r>
      <w:r>
        <w:rPr>
          <w:rFonts w:hint="eastAsia"/>
          <w:lang w:val="en-US" w:eastAsia="zh-CN"/>
        </w:rPr>
        <w:t>；</w:t>
      </w:r>
    </w:p>
    <w:p w14:paraId="6702C93A">
      <w:pPr>
        <w:pStyle w:val="512"/>
        <w:bidi w:val="0"/>
        <w:rPr>
          <w:rFonts w:hint="default"/>
          <w:lang w:val="en-US" w:eastAsia="zh-CN"/>
        </w:rPr>
      </w:pPr>
      <w:r>
        <w:rPr>
          <w:rFonts w:hint="eastAsia"/>
          <w:lang w:val="en-US" w:eastAsia="zh-CN"/>
        </w:rPr>
        <w:t>（</w:t>
      </w:r>
      <w:r>
        <w:rPr>
          <w:rFonts w:hint="default"/>
          <w:lang w:val="en-US" w:eastAsia="zh-CN"/>
        </w:rPr>
        <w:t>4</w:t>
      </w:r>
      <w:r>
        <w:rPr>
          <w:rFonts w:hint="eastAsia"/>
          <w:lang w:val="en-US" w:eastAsia="zh-CN"/>
        </w:rPr>
        <w:t>）</w:t>
      </w:r>
      <w:r>
        <w:rPr>
          <w:rFonts w:hint="default"/>
          <w:lang w:val="en-US" w:eastAsia="zh-CN"/>
        </w:rPr>
        <w:t>《中华人民共和国固体废物污染环境防治法》，2020年4月29日第十三届全国人民代表大会常务委员会第十七次会议通过</w:t>
      </w:r>
      <w:r>
        <w:rPr>
          <w:rFonts w:hint="eastAsia"/>
          <w:lang w:val="en-US" w:eastAsia="zh-CN"/>
        </w:rPr>
        <w:t>；</w:t>
      </w:r>
    </w:p>
    <w:p w14:paraId="1B30C36A">
      <w:pPr>
        <w:pStyle w:val="512"/>
        <w:bidi w:val="0"/>
        <w:rPr>
          <w:rFonts w:hint="default"/>
          <w:lang w:val="en-US" w:eastAsia="zh-CN"/>
        </w:rPr>
      </w:pPr>
      <w:r>
        <w:rPr>
          <w:rFonts w:hint="eastAsia"/>
          <w:lang w:val="en-US" w:eastAsia="zh-CN"/>
        </w:rPr>
        <w:t>（</w:t>
      </w:r>
      <w:r>
        <w:rPr>
          <w:rFonts w:hint="default"/>
          <w:lang w:val="en-US" w:eastAsia="zh-CN"/>
        </w:rPr>
        <w:t>5</w:t>
      </w:r>
      <w:r>
        <w:rPr>
          <w:rFonts w:hint="eastAsia"/>
          <w:lang w:val="en-US" w:eastAsia="zh-CN"/>
        </w:rPr>
        <w:t>）</w:t>
      </w:r>
      <w:r>
        <w:rPr>
          <w:rFonts w:hint="default"/>
          <w:lang w:val="en-US" w:eastAsia="zh-CN"/>
        </w:rPr>
        <w:t>《中华人民共和国土壤污染防治法》，2018年8月31日第十三届全国人民代表大会常务委员会第五次会议通过</w:t>
      </w:r>
      <w:r>
        <w:rPr>
          <w:rFonts w:hint="eastAsia"/>
          <w:lang w:val="en-US" w:eastAsia="zh-CN"/>
        </w:rPr>
        <w:t>；</w:t>
      </w:r>
    </w:p>
    <w:p w14:paraId="1F4D787F">
      <w:pPr>
        <w:pStyle w:val="512"/>
        <w:bidi w:val="0"/>
        <w:rPr>
          <w:rFonts w:hint="default"/>
          <w:lang w:val="en-US" w:eastAsia="zh-CN"/>
        </w:rPr>
      </w:pPr>
      <w:r>
        <w:rPr>
          <w:rFonts w:hint="eastAsia"/>
          <w:lang w:val="en-US" w:eastAsia="zh-CN"/>
        </w:rPr>
        <w:t>（</w:t>
      </w:r>
      <w:r>
        <w:rPr>
          <w:rFonts w:hint="default"/>
          <w:lang w:val="en-US" w:eastAsia="zh-CN"/>
        </w:rPr>
        <w:t>6</w:t>
      </w:r>
      <w:r>
        <w:rPr>
          <w:rFonts w:hint="eastAsia"/>
          <w:lang w:val="en-US" w:eastAsia="zh-CN"/>
        </w:rPr>
        <w:t>）</w:t>
      </w:r>
      <w:r>
        <w:rPr>
          <w:rFonts w:hint="default"/>
          <w:lang w:val="en-US" w:eastAsia="zh-CN"/>
        </w:rPr>
        <w:t>《中华人民共和国突发事件应对法》，中华人民共和国主席令第六十九号，中华人民共和国第十届全国人民代表大会常务委员会第二十九次会议于2007年8月30日通过</w:t>
      </w:r>
      <w:r>
        <w:rPr>
          <w:rFonts w:hint="eastAsia"/>
          <w:lang w:val="en-US" w:eastAsia="zh-CN"/>
        </w:rPr>
        <w:t>，</w:t>
      </w:r>
      <w:r>
        <w:rPr>
          <w:rFonts w:hint="default"/>
          <w:lang w:val="en-US" w:eastAsia="zh-CN"/>
        </w:rPr>
        <w:t>2007年11月1日起施行</w:t>
      </w:r>
      <w:r>
        <w:rPr>
          <w:rFonts w:hint="eastAsia"/>
          <w:lang w:val="en-US" w:eastAsia="zh-CN"/>
        </w:rPr>
        <w:t>；</w:t>
      </w:r>
    </w:p>
    <w:p w14:paraId="56CAAB33">
      <w:pPr>
        <w:pStyle w:val="512"/>
        <w:bidi w:val="0"/>
        <w:rPr>
          <w:rFonts w:hint="default"/>
          <w:lang w:val="en-US" w:eastAsia="zh-CN"/>
        </w:rPr>
      </w:pPr>
      <w:r>
        <w:rPr>
          <w:rFonts w:hint="eastAsia"/>
          <w:lang w:val="en-US" w:eastAsia="zh-CN"/>
        </w:rPr>
        <w:t>（</w:t>
      </w:r>
      <w:r>
        <w:rPr>
          <w:rFonts w:hint="default"/>
          <w:lang w:val="en-US" w:eastAsia="zh-CN"/>
        </w:rPr>
        <w:t>7</w:t>
      </w:r>
      <w:r>
        <w:rPr>
          <w:rFonts w:hint="eastAsia"/>
          <w:lang w:val="en-US" w:eastAsia="zh-CN"/>
        </w:rPr>
        <w:t>）</w:t>
      </w:r>
      <w:r>
        <w:rPr>
          <w:rFonts w:hint="default"/>
          <w:lang w:val="en-US" w:eastAsia="zh-CN"/>
        </w:rPr>
        <w:t>《中华人民共和国安全生产法》，中华人民共和国第十三届全国人民代表大会常务委员会第二十九次会议于2021年6月1日修订通过，2021年9月1日起施行</w:t>
      </w:r>
      <w:r>
        <w:rPr>
          <w:rFonts w:hint="eastAsia"/>
          <w:lang w:val="en-US" w:eastAsia="zh-CN"/>
        </w:rPr>
        <w:t>；</w:t>
      </w:r>
    </w:p>
    <w:p w14:paraId="4A6D4D7F">
      <w:pPr>
        <w:pStyle w:val="512"/>
        <w:bidi w:val="0"/>
        <w:rPr>
          <w:rFonts w:hint="default"/>
          <w:lang w:val="en-US" w:eastAsia="zh-CN"/>
        </w:rPr>
      </w:pPr>
      <w:r>
        <w:rPr>
          <w:rFonts w:hint="eastAsia"/>
          <w:lang w:val="en-US" w:eastAsia="zh-CN"/>
        </w:rPr>
        <w:t>（</w:t>
      </w:r>
      <w:r>
        <w:rPr>
          <w:rFonts w:hint="default"/>
          <w:lang w:val="en-US" w:eastAsia="zh-CN"/>
        </w:rPr>
        <w:t>8</w:t>
      </w:r>
      <w:r>
        <w:rPr>
          <w:rFonts w:hint="eastAsia"/>
          <w:lang w:val="en-US" w:eastAsia="zh-CN"/>
        </w:rPr>
        <w:t>）</w:t>
      </w:r>
      <w:r>
        <w:rPr>
          <w:rFonts w:hint="default"/>
          <w:lang w:val="en-US" w:eastAsia="zh-CN"/>
        </w:rPr>
        <w:t>《中华人民共和国消防法》，根据2021年4月29日第十三届全国人民代表大会常务委员会第二十八次会议《关于修改</w:t>
      </w:r>
      <w:r>
        <w:rPr>
          <w:rFonts w:hint="eastAsia"/>
          <w:lang w:val="en-US" w:eastAsia="zh-CN"/>
        </w:rPr>
        <w:t>（</w:t>
      </w:r>
      <w:r>
        <w:rPr>
          <w:rFonts w:hint="default"/>
          <w:lang w:val="en-US" w:eastAsia="zh-CN"/>
        </w:rPr>
        <w:t>中华人民共和国建筑法〉等八部法律的决定》修正</w:t>
      </w:r>
      <w:r>
        <w:rPr>
          <w:rFonts w:hint="eastAsia"/>
          <w:lang w:val="en-US" w:eastAsia="zh-CN"/>
        </w:rPr>
        <w:t>；</w:t>
      </w:r>
    </w:p>
    <w:p w14:paraId="19C5C7E9">
      <w:pPr>
        <w:pStyle w:val="512"/>
        <w:bidi w:val="0"/>
        <w:rPr>
          <w:rFonts w:hint="default"/>
          <w:lang w:val="en-US" w:eastAsia="zh-CN"/>
        </w:rPr>
      </w:pPr>
      <w:r>
        <w:rPr>
          <w:rFonts w:hint="eastAsia"/>
          <w:lang w:val="en-US" w:eastAsia="zh-CN"/>
        </w:rPr>
        <w:t>（</w:t>
      </w:r>
      <w:r>
        <w:rPr>
          <w:rFonts w:hint="default"/>
          <w:lang w:val="en-US" w:eastAsia="zh-CN"/>
        </w:rPr>
        <w:t>9</w:t>
      </w:r>
      <w:r>
        <w:rPr>
          <w:rFonts w:hint="eastAsia"/>
          <w:lang w:val="en-US" w:eastAsia="zh-CN"/>
        </w:rPr>
        <w:t>）</w:t>
      </w:r>
      <w:r>
        <w:rPr>
          <w:rFonts w:hint="default"/>
          <w:lang w:val="en-US" w:eastAsia="zh-CN"/>
        </w:rPr>
        <w:t>《危险化学品安全管理条例》</w:t>
      </w:r>
      <w:r>
        <w:rPr>
          <w:rFonts w:hint="eastAsia"/>
          <w:lang w:val="en-US" w:eastAsia="zh-CN"/>
        </w:rPr>
        <w:t>（</w:t>
      </w:r>
      <w:r>
        <w:rPr>
          <w:rFonts w:hint="default"/>
          <w:lang w:val="en-US" w:eastAsia="zh-CN"/>
        </w:rPr>
        <w:t>国务院令第645号</w:t>
      </w:r>
      <w:r>
        <w:rPr>
          <w:rFonts w:hint="eastAsia"/>
          <w:lang w:val="en-US" w:eastAsia="zh-CN"/>
        </w:rPr>
        <w:t>）；</w:t>
      </w:r>
    </w:p>
    <w:p w14:paraId="3C3A466B">
      <w:pPr>
        <w:pStyle w:val="512"/>
        <w:bidi w:val="0"/>
        <w:rPr>
          <w:rFonts w:hint="default"/>
          <w:lang w:val="en-US" w:eastAsia="zh-CN"/>
        </w:rPr>
      </w:pPr>
      <w:r>
        <w:rPr>
          <w:rFonts w:hint="eastAsia"/>
          <w:lang w:val="en-US" w:eastAsia="zh-CN"/>
        </w:rPr>
        <w:t>（</w:t>
      </w:r>
      <w:r>
        <w:rPr>
          <w:rFonts w:hint="default"/>
          <w:lang w:val="en-US" w:eastAsia="zh-CN"/>
        </w:rPr>
        <w:t>10</w:t>
      </w:r>
      <w:r>
        <w:rPr>
          <w:rFonts w:hint="eastAsia"/>
          <w:lang w:val="en-US" w:eastAsia="zh-CN"/>
        </w:rPr>
        <w:t>）</w:t>
      </w:r>
      <w:r>
        <w:rPr>
          <w:rFonts w:hint="default"/>
          <w:lang w:val="en-US" w:eastAsia="zh-CN"/>
        </w:rPr>
        <w:t>《国务院关于加强环境保护重点工作的意见》</w:t>
      </w:r>
      <w:r>
        <w:rPr>
          <w:rFonts w:hint="eastAsia"/>
          <w:lang w:val="en-US" w:eastAsia="zh-CN"/>
        </w:rPr>
        <w:t>（</w:t>
      </w:r>
      <w:r>
        <w:rPr>
          <w:rFonts w:hint="default"/>
          <w:lang w:val="en-US" w:eastAsia="zh-CN"/>
        </w:rPr>
        <w:t>国发</w:t>
      </w:r>
      <w:r>
        <w:rPr>
          <w:rFonts w:hint="eastAsia"/>
          <w:lang w:val="en-US" w:eastAsia="zh-CN"/>
        </w:rPr>
        <w:t>[</w:t>
      </w:r>
      <w:r>
        <w:rPr>
          <w:rFonts w:hint="default"/>
          <w:lang w:val="en-US" w:eastAsia="zh-CN"/>
        </w:rPr>
        <w:t>2011</w:t>
      </w:r>
      <w:r>
        <w:rPr>
          <w:rFonts w:hint="eastAsia"/>
          <w:lang w:val="en-US" w:eastAsia="zh-CN"/>
        </w:rPr>
        <w:t>]</w:t>
      </w:r>
      <w:r>
        <w:rPr>
          <w:rFonts w:hint="default"/>
          <w:lang w:val="en-US" w:eastAsia="zh-CN"/>
        </w:rPr>
        <w:t>35号</w:t>
      </w:r>
      <w:r>
        <w:rPr>
          <w:rFonts w:hint="eastAsia"/>
          <w:lang w:val="en-US" w:eastAsia="zh-CN"/>
        </w:rPr>
        <w:t>）；</w:t>
      </w:r>
    </w:p>
    <w:p w14:paraId="2808752B">
      <w:pPr>
        <w:pStyle w:val="512"/>
        <w:bidi w:val="0"/>
        <w:rPr>
          <w:rFonts w:hint="default"/>
          <w:lang w:val="en-US" w:eastAsia="zh-CN"/>
        </w:rPr>
      </w:pPr>
      <w:r>
        <w:rPr>
          <w:rFonts w:hint="eastAsia"/>
          <w:lang w:val="en-US" w:eastAsia="zh-CN"/>
        </w:rPr>
        <w:t>（</w:t>
      </w:r>
      <w:r>
        <w:rPr>
          <w:rFonts w:hint="default"/>
          <w:lang w:val="en-US" w:eastAsia="zh-CN"/>
        </w:rPr>
        <w:t>11</w:t>
      </w:r>
      <w:r>
        <w:rPr>
          <w:rFonts w:hint="eastAsia"/>
          <w:lang w:val="en-US" w:eastAsia="zh-CN"/>
        </w:rPr>
        <w:t>）</w:t>
      </w:r>
      <w:r>
        <w:rPr>
          <w:rFonts w:hint="default"/>
          <w:lang w:val="en-US" w:eastAsia="zh-CN"/>
        </w:rPr>
        <w:t>《危险化学品重大危险源监督管理暂行规定》</w:t>
      </w:r>
      <w:r>
        <w:rPr>
          <w:rFonts w:hint="eastAsia"/>
          <w:lang w:val="en-US" w:eastAsia="zh-CN"/>
        </w:rPr>
        <w:t>（</w:t>
      </w:r>
      <w:r>
        <w:rPr>
          <w:rFonts w:hint="default"/>
          <w:lang w:val="en-US" w:eastAsia="zh-CN"/>
        </w:rPr>
        <w:t>国家安全生产监督管理令第40号</w:t>
      </w:r>
      <w:r>
        <w:rPr>
          <w:rFonts w:hint="eastAsia"/>
          <w:lang w:val="en-US" w:eastAsia="zh-CN"/>
        </w:rPr>
        <w:t>）；</w:t>
      </w:r>
    </w:p>
    <w:p w14:paraId="5C3304D1">
      <w:pPr>
        <w:pStyle w:val="512"/>
        <w:bidi w:val="0"/>
        <w:rPr>
          <w:rFonts w:hint="default"/>
          <w:lang w:val="en-US" w:eastAsia="zh-CN"/>
        </w:rPr>
      </w:pPr>
      <w:r>
        <w:rPr>
          <w:rFonts w:hint="eastAsia"/>
          <w:lang w:val="en-US" w:eastAsia="zh-CN"/>
        </w:rPr>
        <w:t>（</w:t>
      </w:r>
      <w:r>
        <w:rPr>
          <w:rFonts w:hint="default"/>
          <w:lang w:val="en-US" w:eastAsia="zh-CN"/>
        </w:rPr>
        <w:t>12</w:t>
      </w:r>
      <w:r>
        <w:rPr>
          <w:rFonts w:hint="eastAsia"/>
          <w:lang w:val="en-US" w:eastAsia="zh-CN"/>
        </w:rPr>
        <w:t>）</w:t>
      </w:r>
      <w:r>
        <w:rPr>
          <w:rFonts w:hint="default"/>
          <w:lang w:val="en-US" w:eastAsia="zh-CN"/>
        </w:rPr>
        <w:t>《危险化学品建设项目安全监督管理办法》</w:t>
      </w:r>
      <w:r>
        <w:rPr>
          <w:rFonts w:hint="eastAsia"/>
          <w:lang w:val="en-US" w:eastAsia="zh-CN"/>
        </w:rPr>
        <w:t>（</w:t>
      </w:r>
      <w:r>
        <w:rPr>
          <w:rFonts w:hint="default"/>
          <w:lang w:val="en-US" w:eastAsia="zh-CN"/>
        </w:rPr>
        <w:t>安全监管总局令第45号</w:t>
      </w:r>
      <w:r>
        <w:rPr>
          <w:rFonts w:hint="eastAsia"/>
          <w:lang w:val="en-US" w:eastAsia="zh-CN"/>
        </w:rPr>
        <w:t>）；</w:t>
      </w:r>
    </w:p>
    <w:p w14:paraId="6CA3D830">
      <w:pPr>
        <w:pStyle w:val="512"/>
        <w:bidi w:val="0"/>
        <w:rPr>
          <w:rFonts w:hint="default"/>
          <w:lang w:val="en-US" w:eastAsia="zh-CN"/>
        </w:rPr>
      </w:pPr>
      <w:r>
        <w:rPr>
          <w:rFonts w:hint="eastAsia"/>
          <w:lang w:val="en-US" w:eastAsia="zh-CN"/>
        </w:rPr>
        <w:t>（</w:t>
      </w:r>
      <w:r>
        <w:rPr>
          <w:rFonts w:hint="default"/>
          <w:lang w:val="en-US" w:eastAsia="zh-CN"/>
        </w:rPr>
        <w:t>13</w:t>
      </w:r>
      <w:r>
        <w:rPr>
          <w:rFonts w:hint="eastAsia"/>
          <w:lang w:val="en-US" w:eastAsia="zh-CN"/>
        </w:rPr>
        <w:t>）</w:t>
      </w:r>
      <w:r>
        <w:rPr>
          <w:rFonts w:hint="default"/>
          <w:lang w:val="en-US" w:eastAsia="zh-CN"/>
        </w:rPr>
        <w:t>《关于开展江苏省重点环境风险企业环境安全达标建设工作的通知》</w:t>
      </w:r>
      <w:r>
        <w:rPr>
          <w:rFonts w:hint="eastAsia"/>
          <w:lang w:val="en-US" w:eastAsia="zh-CN"/>
        </w:rPr>
        <w:t>（</w:t>
      </w:r>
      <w:r>
        <w:rPr>
          <w:rFonts w:hint="default"/>
          <w:lang w:val="en-US" w:eastAsia="zh-CN"/>
        </w:rPr>
        <w:t>苏环办</w:t>
      </w:r>
      <w:r>
        <w:rPr>
          <w:rFonts w:hint="eastAsia"/>
          <w:lang w:val="en-US" w:eastAsia="zh-CN"/>
        </w:rPr>
        <w:t>[</w:t>
      </w:r>
      <w:r>
        <w:rPr>
          <w:rFonts w:hint="default"/>
          <w:lang w:val="en-US" w:eastAsia="zh-CN"/>
        </w:rPr>
        <w:t>2013</w:t>
      </w:r>
      <w:r>
        <w:rPr>
          <w:rFonts w:hint="eastAsia"/>
          <w:lang w:val="en-US" w:eastAsia="zh-CN"/>
        </w:rPr>
        <w:t>]</w:t>
      </w:r>
      <w:r>
        <w:rPr>
          <w:rFonts w:hint="default"/>
          <w:lang w:val="en-US" w:eastAsia="zh-CN"/>
        </w:rPr>
        <w:t>321号</w:t>
      </w:r>
      <w:r>
        <w:rPr>
          <w:rFonts w:hint="eastAsia"/>
          <w:lang w:val="en-US" w:eastAsia="zh-CN"/>
        </w:rPr>
        <w:t>）；</w:t>
      </w:r>
    </w:p>
    <w:p w14:paraId="4DC7577A">
      <w:pPr>
        <w:pStyle w:val="512"/>
        <w:bidi w:val="0"/>
        <w:rPr>
          <w:rFonts w:hint="default"/>
          <w:lang w:val="en-US" w:eastAsia="zh-CN"/>
        </w:rPr>
      </w:pPr>
      <w:r>
        <w:rPr>
          <w:rFonts w:hint="eastAsia"/>
          <w:lang w:val="en-US" w:eastAsia="zh-CN"/>
        </w:rPr>
        <w:t>（</w:t>
      </w:r>
      <w:r>
        <w:rPr>
          <w:rFonts w:hint="default"/>
          <w:lang w:val="en-US" w:eastAsia="zh-CN"/>
        </w:rPr>
        <w:t>14</w:t>
      </w:r>
      <w:r>
        <w:rPr>
          <w:rFonts w:hint="eastAsia"/>
          <w:lang w:val="en-US" w:eastAsia="zh-CN"/>
        </w:rPr>
        <w:t>）</w:t>
      </w:r>
      <w:r>
        <w:rPr>
          <w:rFonts w:hint="default"/>
          <w:lang w:val="en-US" w:eastAsia="zh-CN"/>
        </w:rPr>
        <w:t>《关于进一步做好全省重点环境风险企业环境安全达标建设工作的通知》</w:t>
      </w:r>
      <w:r>
        <w:rPr>
          <w:rFonts w:hint="eastAsia"/>
          <w:lang w:val="en-US" w:eastAsia="zh-CN"/>
        </w:rPr>
        <w:t>（</w:t>
      </w:r>
      <w:r>
        <w:rPr>
          <w:rFonts w:hint="default"/>
          <w:lang w:val="en-US" w:eastAsia="zh-CN"/>
        </w:rPr>
        <w:t>苏环办</w:t>
      </w:r>
      <w:r>
        <w:rPr>
          <w:rFonts w:hint="eastAsia"/>
          <w:lang w:val="en-US" w:eastAsia="zh-CN"/>
        </w:rPr>
        <w:t>[</w:t>
      </w:r>
      <w:r>
        <w:rPr>
          <w:rFonts w:hint="default"/>
          <w:lang w:val="en-US" w:eastAsia="zh-CN"/>
        </w:rPr>
        <w:t>2014</w:t>
      </w:r>
      <w:r>
        <w:rPr>
          <w:rFonts w:hint="eastAsia"/>
          <w:lang w:val="en-US" w:eastAsia="zh-CN"/>
        </w:rPr>
        <w:t>]</w:t>
      </w:r>
      <w:r>
        <w:rPr>
          <w:rFonts w:hint="default"/>
          <w:lang w:val="en-US" w:eastAsia="zh-CN"/>
        </w:rPr>
        <w:t>152号</w:t>
      </w:r>
      <w:r>
        <w:rPr>
          <w:rFonts w:hint="eastAsia"/>
          <w:lang w:val="en-US" w:eastAsia="zh-CN"/>
        </w:rPr>
        <w:t>）；</w:t>
      </w:r>
    </w:p>
    <w:p w14:paraId="40DFD958">
      <w:pPr>
        <w:pStyle w:val="512"/>
        <w:bidi w:val="0"/>
        <w:rPr>
          <w:rFonts w:hint="default"/>
          <w:lang w:val="en-US" w:eastAsia="zh-CN"/>
        </w:rPr>
      </w:pPr>
      <w:r>
        <w:rPr>
          <w:rFonts w:hint="eastAsia"/>
          <w:lang w:val="en-US" w:eastAsia="zh-CN"/>
        </w:rPr>
        <w:t>（</w:t>
      </w:r>
      <w:r>
        <w:rPr>
          <w:rFonts w:hint="default"/>
          <w:lang w:val="en-US" w:eastAsia="zh-CN"/>
        </w:rPr>
        <w:t>15</w:t>
      </w:r>
      <w:r>
        <w:rPr>
          <w:rFonts w:hint="eastAsia"/>
          <w:lang w:val="en-US" w:eastAsia="zh-CN"/>
        </w:rPr>
        <w:t>）</w:t>
      </w:r>
      <w:r>
        <w:rPr>
          <w:rFonts w:hint="default"/>
          <w:lang w:val="en-US" w:eastAsia="zh-CN"/>
        </w:rPr>
        <w:t>《关于进一步推进环境风险企业环境安全达标建设工作的通知》</w:t>
      </w:r>
      <w:r>
        <w:rPr>
          <w:rFonts w:hint="eastAsia"/>
          <w:lang w:val="en-US" w:eastAsia="zh-CN"/>
        </w:rPr>
        <w:t>（</w:t>
      </w:r>
      <w:r>
        <w:rPr>
          <w:rFonts w:hint="default"/>
          <w:lang w:val="en-US" w:eastAsia="zh-CN"/>
        </w:rPr>
        <w:t>苏环办</w:t>
      </w:r>
      <w:r>
        <w:rPr>
          <w:rFonts w:hint="eastAsia"/>
          <w:lang w:val="en-US" w:eastAsia="zh-CN"/>
        </w:rPr>
        <w:t>[</w:t>
      </w:r>
      <w:r>
        <w:rPr>
          <w:rFonts w:hint="default"/>
          <w:lang w:val="en-US" w:eastAsia="zh-CN"/>
        </w:rPr>
        <w:t>2016</w:t>
      </w:r>
      <w:r>
        <w:rPr>
          <w:rFonts w:hint="eastAsia"/>
          <w:lang w:val="en-US" w:eastAsia="zh-CN"/>
        </w:rPr>
        <w:t>]</w:t>
      </w:r>
      <w:r>
        <w:rPr>
          <w:rFonts w:hint="default"/>
          <w:lang w:val="en-US" w:eastAsia="zh-CN"/>
        </w:rPr>
        <w:t>130号</w:t>
      </w:r>
      <w:r>
        <w:rPr>
          <w:rFonts w:hint="eastAsia"/>
          <w:lang w:val="en-US" w:eastAsia="zh-CN"/>
        </w:rPr>
        <w:t>）；</w:t>
      </w:r>
    </w:p>
    <w:p w14:paraId="76C482A7">
      <w:pPr>
        <w:pStyle w:val="512"/>
        <w:bidi w:val="0"/>
        <w:rPr>
          <w:rFonts w:hint="eastAsia"/>
          <w:lang w:val="en-US" w:eastAsia="zh-CN"/>
        </w:rPr>
      </w:pPr>
      <w:r>
        <w:rPr>
          <w:rFonts w:hint="eastAsia"/>
          <w:lang w:val="en-US" w:eastAsia="zh-CN"/>
        </w:rPr>
        <w:t>（</w:t>
      </w:r>
      <w:r>
        <w:rPr>
          <w:rFonts w:hint="default"/>
          <w:lang w:val="en-US" w:eastAsia="zh-CN"/>
        </w:rPr>
        <w:t>16</w:t>
      </w:r>
      <w:r>
        <w:rPr>
          <w:rFonts w:hint="eastAsia"/>
          <w:lang w:val="en-US" w:eastAsia="zh-CN"/>
        </w:rPr>
        <w:t>）</w:t>
      </w:r>
      <w:r>
        <w:rPr>
          <w:rFonts w:hint="default"/>
          <w:lang w:val="en-US" w:eastAsia="zh-CN"/>
        </w:rPr>
        <w:t>《关于进一步加强环境影响评价管理防范环境风险的通知》</w:t>
      </w:r>
      <w:r>
        <w:rPr>
          <w:rFonts w:hint="eastAsia"/>
          <w:lang w:val="en-US" w:eastAsia="zh-CN"/>
        </w:rPr>
        <w:t>（</w:t>
      </w:r>
      <w:r>
        <w:rPr>
          <w:rFonts w:hint="default"/>
          <w:lang w:val="en-US" w:eastAsia="zh-CN"/>
        </w:rPr>
        <w:t>环发</w:t>
      </w:r>
      <w:r>
        <w:rPr>
          <w:rFonts w:hint="eastAsia"/>
          <w:lang w:val="en-US" w:eastAsia="zh-CN"/>
        </w:rPr>
        <w:t>[</w:t>
      </w:r>
      <w:r>
        <w:rPr>
          <w:rFonts w:hint="default"/>
          <w:lang w:val="en-US" w:eastAsia="zh-CN"/>
        </w:rPr>
        <w:t>2012</w:t>
      </w:r>
      <w:r>
        <w:rPr>
          <w:rFonts w:hint="eastAsia"/>
          <w:lang w:val="en-US" w:eastAsia="zh-CN"/>
        </w:rPr>
        <w:t>]</w:t>
      </w:r>
      <w:r>
        <w:rPr>
          <w:rFonts w:hint="default"/>
          <w:lang w:val="en-US" w:eastAsia="zh-CN"/>
        </w:rPr>
        <w:t>77</w:t>
      </w:r>
      <w:r>
        <w:rPr>
          <w:rFonts w:hint="eastAsia"/>
          <w:lang w:val="en-US" w:eastAsia="zh-CN"/>
        </w:rPr>
        <w:t>号）；</w:t>
      </w:r>
    </w:p>
    <w:p w14:paraId="12124FF8">
      <w:pPr>
        <w:pStyle w:val="512"/>
        <w:bidi w:val="0"/>
        <w:rPr>
          <w:rFonts w:hint="eastAsia"/>
          <w:lang w:val="en-US" w:eastAsia="zh-CN"/>
        </w:rPr>
      </w:pPr>
      <w:r>
        <w:rPr>
          <w:rFonts w:hint="eastAsia"/>
          <w:lang w:val="en-US" w:eastAsia="zh-CN"/>
        </w:rPr>
        <w:t>（17）《关于切实加强风险防范严格环境影响评价管理的通知》（环发[2012]98号）。</w:t>
      </w:r>
    </w:p>
    <w:p w14:paraId="430B9939">
      <w:pPr>
        <w:pStyle w:val="515"/>
        <w:bidi w:val="0"/>
        <w:rPr>
          <w:rFonts w:hint="eastAsia"/>
          <w:lang w:val="en-US" w:eastAsia="zh-CN"/>
        </w:rPr>
      </w:pPr>
      <w:r>
        <w:rPr>
          <w:rFonts w:hint="eastAsia"/>
          <w:lang w:val="en-US" w:eastAsia="zh-CN"/>
        </w:rPr>
        <w:t>1.3.2标准、技术规范</w:t>
      </w:r>
    </w:p>
    <w:p w14:paraId="73FBF322">
      <w:pPr>
        <w:pStyle w:val="512"/>
        <w:bidi w:val="0"/>
        <w:rPr>
          <w:rFonts w:hint="eastAsia"/>
          <w:lang w:val="en-US" w:eastAsia="zh-CN"/>
        </w:rPr>
      </w:pPr>
      <w:r>
        <w:rPr>
          <w:rFonts w:hint="eastAsia"/>
          <w:lang w:val="en-US" w:eastAsia="zh-CN"/>
        </w:rPr>
        <w:t>（1）《化学品毒性鉴定技术规范》（卫监督发[2005]272号）；</w:t>
      </w:r>
    </w:p>
    <w:p w14:paraId="7609416E">
      <w:pPr>
        <w:pStyle w:val="512"/>
        <w:bidi w:val="0"/>
        <w:rPr>
          <w:rFonts w:hint="eastAsia"/>
          <w:lang w:val="en-US" w:eastAsia="zh-CN"/>
        </w:rPr>
      </w:pPr>
      <w:r>
        <w:rPr>
          <w:rFonts w:hint="eastAsia"/>
          <w:lang w:val="en-US" w:eastAsia="zh-CN"/>
        </w:rPr>
        <w:t>（2）《化学品分类和标签规范》（GB30000.2-GB30000.29）；</w:t>
      </w:r>
    </w:p>
    <w:p w14:paraId="3C2AC9B3">
      <w:pPr>
        <w:pStyle w:val="512"/>
        <w:bidi w:val="0"/>
        <w:rPr>
          <w:rFonts w:hint="eastAsia"/>
          <w:lang w:val="en-US" w:eastAsia="zh-CN"/>
        </w:rPr>
      </w:pPr>
      <w:r>
        <w:rPr>
          <w:rFonts w:hint="eastAsia"/>
          <w:lang w:val="en-US" w:eastAsia="zh-CN"/>
        </w:rPr>
        <w:t>（3）《危险评价方法及其应用》，冶金工业出版社，2001；</w:t>
      </w:r>
    </w:p>
    <w:p w14:paraId="4CBB6C0C">
      <w:pPr>
        <w:pStyle w:val="512"/>
        <w:bidi w:val="0"/>
        <w:rPr>
          <w:rFonts w:hint="eastAsia"/>
          <w:lang w:val="en-US" w:eastAsia="zh-CN"/>
        </w:rPr>
      </w:pPr>
      <w:r>
        <w:rPr>
          <w:rFonts w:hint="eastAsia"/>
          <w:lang w:val="en-US" w:eastAsia="zh-CN"/>
        </w:rPr>
        <w:t>（4）《易制毒化学品管理条例》（国务院令445号2005年11月起施行）；</w:t>
      </w:r>
    </w:p>
    <w:p w14:paraId="4B8B57F0">
      <w:pPr>
        <w:pStyle w:val="512"/>
        <w:bidi w:val="0"/>
        <w:rPr>
          <w:rFonts w:hint="eastAsia"/>
          <w:lang w:val="en-US" w:eastAsia="zh-CN"/>
        </w:rPr>
      </w:pPr>
      <w:r>
        <w:rPr>
          <w:rFonts w:hint="eastAsia"/>
          <w:lang w:val="en-US" w:eastAsia="zh-CN"/>
        </w:rPr>
        <w:t>（5）《危险化学品重大危险源辨识》（GB18218-2018）；</w:t>
      </w:r>
    </w:p>
    <w:p w14:paraId="2078E27A">
      <w:pPr>
        <w:pStyle w:val="512"/>
        <w:bidi w:val="0"/>
        <w:rPr>
          <w:rFonts w:hint="eastAsia"/>
          <w:lang w:val="en-US" w:eastAsia="zh-CN"/>
        </w:rPr>
      </w:pPr>
      <w:r>
        <w:rPr>
          <w:rFonts w:hint="eastAsia"/>
          <w:lang w:val="en-US" w:eastAsia="zh-CN"/>
        </w:rPr>
        <w:t>（6）《危险化学品仓库储存通则》（GB15603-2022）；</w:t>
      </w:r>
    </w:p>
    <w:p w14:paraId="2B442A6A">
      <w:pPr>
        <w:pStyle w:val="512"/>
        <w:bidi w:val="0"/>
        <w:rPr>
          <w:rFonts w:hint="eastAsia"/>
          <w:lang w:val="en-US" w:eastAsia="zh-CN"/>
        </w:rPr>
      </w:pPr>
      <w:r>
        <w:rPr>
          <w:rFonts w:hint="eastAsia"/>
          <w:lang w:val="en-US" w:eastAsia="zh-CN"/>
        </w:rPr>
        <w:t>（7）《危险化学品目录（2022年调整版）》；</w:t>
      </w:r>
    </w:p>
    <w:p w14:paraId="09CF870D">
      <w:pPr>
        <w:pStyle w:val="512"/>
        <w:bidi w:val="0"/>
        <w:rPr>
          <w:rFonts w:hint="eastAsia"/>
          <w:lang w:val="en-US" w:eastAsia="zh-CN"/>
        </w:rPr>
      </w:pPr>
      <w:r>
        <w:rPr>
          <w:rFonts w:hint="eastAsia"/>
          <w:lang w:val="en-US" w:eastAsia="zh-CN"/>
        </w:rPr>
        <w:t>（8）《化学物的毒性及其环境保护参数手册》，中国人民大学出版社，1988；</w:t>
      </w:r>
    </w:p>
    <w:p w14:paraId="68E6BF6F">
      <w:pPr>
        <w:pStyle w:val="512"/>
        <w:bidi w:val="0"/>
        <w:rPr>
          <w:rFonts w:hint="eastAsia"/>
          <w:lang w:val="en-US" w:eastAsia="zh-CN"/>
        </w:rPr>
      </w:pPr>
      <w:r>
        <w:rPr>
          <w:rFonts w:hint="eastAsia"/>
          <w:lang w:val="en-US" w:eastAsia="zh-CN"/>
        </w:rPr>
        <w:t>（9）《工作场所有害因素职业接触限值》（GBZ2-2019）；</w:t>
      </w:r>
    </w:p>
    <w:p w14:paraId="1F5453C6">
      <w:pPr>
        <w:pStyle w:val="512"/>
        <w:bidi w:val="0"/>
        <w:rPr>
          <w:rFonts w:hint="eastAsia"/>
          <w:lang w:val="en-US" w:eastAsia="zh-CN"/>
        </w:rPr>
      </w:pPr>
      <w:r>
        <w:rPr>
          <w:rFonts w:hint="eastAsia"/>
          <w:lang w:val="en-US" w:eastAsia="zh-CN"/>
        </w:rPr>
        <w:t>（10）《废弃危险化学品污染环境防治办法》（国家环境保护总局令第27号）；</w:t>
      </w:r>
    </w:p>
    <w:p w14:paraId="7C55E8C1">
      <w:pPr>
        <w:pStyle w:val="512"/>
        <w:bidi w:val="0"/>
        <w:rPr>
          <w:rFonts w:hint="eastAsia"/>
          <w:lang w:val="en-US" w:eastAsia="zh-CN"/>
        </w:rPr>
      </w:pPr>
      <w:r>
        <w:rPr>
          <w:rFonts w:hint="eastAsia"/>
          <w:lang w:val="en-US" w:eastAsia="zh-CN"/>
        </w:rPr>
        <w:t>（11）《职业性接触毒物危害程度分级》（GBZ230-2010）；</w:t>
      </w:r>
    </w:p>
    <w:p w14:paraId="78D584B6">
      <w:pPr>
        <w:pStyle w:val="512"/>
        <w:bidi w:val="0"/>
        <w:rPr>
          <w:rFonts w:hint="eastAsia"/>
          <w:lang w:val="en-US" w:eastAsia="zh-CN"/>
        </w:rPr>
      </w:pPr>
      <w:r>
        <w:rPr>
          <w:rFonts w:hint="eastAsia"/>
          <w:lang w:val="en-US" w:eastAsia="zh-CN"/>
        </w:rPr>
        <w:t>（12）《工业企业设计卫生标准》（GBZ1-2010）；</w:t>
      </w:r>
    </w:p>
    <w:p w14:paraId="24ABE6A1">
      <w:pPr>
        <w:pStyle w:val="512"/>
        <w:bidi w:val="0"/>
        <w:rPr>
          <w:rFonts w:hint="eastAsia"/>
          <w:lang w:val="en-US" w:eastAsia="zh-CN"/>
        </w:rPr>
      </w:pPr>
      <w:r>
        <w:rPr>
          <w:rFonts w:hint="eastAsia"/>
          <w:lang w:val="en-US" w:eastAsia="zh-CN"/>
        </w:rPr>
        <w:t>（13）《环境影响评价技术导则总纲》（HJ2.1-2016）；</w:t>
      </w:r>
    </w:p>
    <w:p w14:paraId="009A97DA">
      <w:pPr>
        <w:pStyle w:val="512"/>
        <w:bidi w:val="0"/>
        <w:rPr>
          <w:rFonts w:hint="eastAsia"/>
          <w:lang w:val="en-US" w:eastAsia="zh-CN"/>
        </w:rPr>
      </w:pPr>
      <w:r>
        <w:rPr>
          <w:rFonts w:hint="eastAsia"/>
          <w:lang w:val="en-US" w:eastAsia="zh-CN"/>
        </w:rPr>
        <w:t>（14）《建设项目环境风险评价技术导则》（HJ169-2018）；</w:t>
      </w:r>
    </w:p>
    <w:p w14:paraId="05EF1BFF">
      <w:pPr>
        <w:pStyle w:val="512"/>
        <w:bidi w:val="0"/>
        <w:rPr>
          <w:rFonts w:hint="eastAsia"/>
          <w:lang w:val="en-US" w:eastAsia="zh-CN"/>
        </w:rPr>
      </w:pPr>
      <w:r>
        <w:rPr>
          <w:rFonts w:hint="eastAsia"/>
          <w:lang w:val="en-US" w:eastAsia="zh-CN"/>
        </w:rPr>
        <w:t>（15）《企业突发环境事件风险分级方法》（HJ941-2018）；</w:t>
      </w:r>
    </w:p>
    <w:p w14:paraId="7E6ACD58">
      <w:pPr>
        <w:pStyle w:val="512"/>
        <w:bidi w:val="0"/>
        <w:rPr>
          <w:rFonts w:hint="eastAsia"/>
          <w:lang w:val="en-US" w:eastAsia="zh-CN"/>
        </w:rPr>
      </w:pPr>
      <w:r>
        <w:rPr>
          <w:rFonts w:hint="eastAsia"/>
          <w:lang w:val="en-US" w:eastAsia="zh-CN"/>
        </w:rPr>
        <w:t>（16）《国家危险废物名录》（2021年版）。</w:t>
      </w:r>
    </w:p>
    <w:p w14:paraId="3961A5BF">
      <w:pPr>
        <w:pStyle w:val="515"/>
        <w:bidi w:val="0"/>
        <w:rPr>
          <w:rFonts w:hint="eastAsia"/>
          <w:lang w:val="en-US" w:eastAsia="zh-CN"/>
        </w:rPr>
      </w:pPr>
      <w:bookmarkStart w:id="14" w:name="_Toc4820"/>
      <w:r>
        <w:rPr>
          <w:rFonts w:hint="eastAsia"/>
          <w:lang w:val="en-US" w:eastAsia="zh-CN"/>
        </w:rPr>
        <w:t>1.4评价原则</w:t>
      </w:r>
      <w:bookmarkEnd w:id="14"/>
    </w:p>
    <w:p w14:paraId="0E20F920">
      <w:pPr>
        <w:pStyle w:val="512"/>
        <w:bidi w:val="0"/>
        <w:rPr>
          <w:rFonts w:hint="default"/>
          <w:lang w:val="en-US" w:eastAsia="zh-CN"/>
        </w:rPr>
      </w:pPr>
      <w:r>
        <w:rPr>
          <w:rFonts w:hint="eastAsia"/>
          <w:lang w:val="en-US" w:eastAsia="zh-CN"/>
        </w:rPr>
        <w:t>按照《建设项目环境风险评价 技术导则》（HJ169-2018）的要求，环境风险评价应以突发性事故导致的危险物质急性损害防控为目标，对建设项目的环境风险进行分析、预测和评估，提出环境风险预防、控制、减缓措施，明确环境风险监控及应急要求，为建设项目环境风险防控提供科学依据。</w:t>
      </w:r>
    </w:p>
    <w:p w14:paraId="31B2C74B">
      <w:pPr>
        <w:pStyle w:val="515"/>
        <w:bidi w:val="0"/>
        <w:rPr>
          <w:rFonts w:hint="eastAsia"/>
          <w:lang w:val="en-US" w:eastAsia="zh-CN"/>
        </w:rPr>
      </w:pPr>
      <w:r>
        <w:rPr>
          <w:rFonts w:hint="eastAsia"/>
          <w:lang w:val="en-US" w:eastAsia="zh-CN"/>
        </w:rPr>
        <w:t>2风险调查</w:t>
      </w:r>
    </w:p>
    <w:p w14:paraId="21C27787">
      <w:pPr>
        <w:pStyle w:val="515"/>
        <w:bidi w:val="0"/>
        <w:rPr>
          <w:rFonts w:hint="eastAsia"/>
          <w:lang w:val="en-US" w:eastAsia="zh-CN"/>
        </w:rPr>
      </w:pPr>
      <w:r>
        <w:rPr>
          <w:rFonts w:hint="eastAsia"/>
          <w:lang w:val="en-US" w:eastAsia="zh-CN"/>
        </w:rPr>
        <w:t>2.1风险源调查</w:t>
      </w:r>
    </w:p>
    <w:p w14:paraId="70BFCC7B">
      <w:pPr>
        <w:pStyle w:val="512"/>
        <w:bidi w:val="0"/>
      </w:pPr>
      <w:r>
        <w:rPr>
          <w:rFonts w:hint="eastAsia"/>
          <w:lang w:val="en-US" w:eastAsia="zh-CN"/>
        </w:rPr>
        <w:t>主要从原辅</w:t>
      </w:r>
      <w:r>
        <w:t>材料、污染物、火灾和爆炸伴生/次生物等方面，分析本项目运营过程中涉及的有毒有害、易燃易爆物质。本项目主要进行</w:t>
      </w:r>
      <w:r>
        <w:rPr>
          <w:rFonts w:hint="eastAsia"/>
        </w:rPr>
        <w:t>园区</w:t>
      </w:r>
      <w:r>
        <w:rPr>
          <w:rFonts w:hint="eastAsia"/>
          <w:lang w:eastAsia="zh-CN"/>
        </w:rPr>
        <w:t>医药</w:t>
      </w:r>
      <w:r>
        <w:rPr>
          <w:rFonts w:hint="eastAsia"/>
        </w:rPr>
        <w:t>企业以及</w:t>
      </w:r>
      <w:r>
        <w:rPr>
          <w:rFonts w:hint="eastAsia"/>
          <w:lang w:eastAsia="zh-CN"/>
        </w:rPr>
        <w:t>连云港</w:t>
      </w:r>
      <w:r>
        <w:rPr>
          <w:rFonts w:hint="eastAsia"/>
        </w:rPr>
        <w:t>市</w:t>
      </w:r>
      <w:r>
        <w:t>范围内小微产废单位的危险废物集中收集、贮存</w:t>
      </w:r>
      <w:r>
        <w:rPr>
          <w:rFonts w:hint="eastAsia"/>
        </w:rPr>
        <w:t>、委托处置</w:t>
      </w:r>
      <w:r>
        <w:t>工作，贮存过程不涉及任何辅料的使用，项目危险因素分布于贮存环节，其潜在风险类型为泄漏、火灾爆炸事故，导致厂区财产及员工生命受到威胁，同时产生有毒有害物质污染周边环境空气、地表水等。因此通过调查，确定项目风险源为贮存区</w:t>
      </w:r>
      <w:r>
        <w:rPr>
          <w:rFonts w:hint="eastAsia"/>
        </w:rPr>
        <w:t>。</w:t>
      </w:r>
    </w:p>
    <w:p w14:paraId="4ABDFA1B">
      <w:pPr>
        <w:pStyle w:val="512"/>
        <w:bidi w:val="0"/>
      </w:pPr>
      <w:r>
        <w:t>（1）Q值的确定</w:t>
      </w:r>
    </w:p>
    <w:p w14:paraId="291F322B">
      <w:pPr>
        <w:pStyle w:val="512"/>
        <w:bidi w:val="0"/>
        <w:rPr>
          <w:rFonts w:hint="eastAsia"/>
          <w:lang w:val="en-US" w:eastAsia="zh-CN"/>
        </w:rPr>
      </w:pPr>
      <w:r>
        <w:t>对照《建设项目环境风险评价技术导则》</w:t>
      </w:r>
      <w:r>
        <w:rPr>
          <w:rFonts w:hint="eastAsia"/>
          <w:lang w:eastAsia="zh-CN"/>
        </w:rPr>
        <w:t>（</w:t>
      </w:r>
      <w:r>
        <w:t>HJ169-2018</w:t>
      </w:r>
      <w:r>
        <w:rPr>
          <w:rFonts w:hint="eastAsia"/>
          <w:lang w:eastAsia="zh-CN"/>
        </w:rPr>
        <w:t>）</w:t>
      </w:r>
      <w:r>
        <w:t>附录B，对全厂主要危险物质进行识别，本项目危险物质主要</w:t>
      </w:r>
      <w:r>
        <w:rPr>
          <w:rFonts w:hint="eastAsia"/>
        </w:rPr>
        <w:t>为危险废物</w:t>
      </w:r>
      <w:r>
        <w:t>。</w:t>
      </w:r>
      <w:r>
        <w:rPr>
          <w:rFonts w:hint="eastAsia"/>
          <w:lang w:val="en-US" w:eastAsia="zh-CN"/>
        </w:rPr>
        <w:t>本项目存储间最大贮存面积为109.62m</w:t>
      </w:r>
      <w:r>
        <w:rPr>
          <w:rFonts w:hint="eastAsia"/>
          <w:vertAlign w:val="superscript"/>
          <w:lang w:val="en-US" w:eastAsia="zh-CN"/>
        </w:rPr>
        <w:t>2</w:t>
      </w:r>
      <w:r>
        <w:rPr>
          <w:rFonts w:hint="eastAsia"/>
          <w:lang w:val="en-US" w:eastAsia="zh-CN"/>
        </w:rPr>
        <w:t>，储存能力为1t/m</w:t>
      </w:r>
      <w:r>
        <w:rPr>
          <w:rFonts w:hint="eastAsia"/>
          <w:vertAlign w:val="superscript"/>
          <w:lang w:val="en-US" w:eastAsia="zh-CN"/>
        </w:rPr>
        <w:t>2</w:t>
      </w:r>
      <w:r>
        <w:rPr>
          <w:rFonts w:hint="eastAsia"/>
          <w:lang w:val="en-US" w:eastAsia="zh-CN"/>
        </w:rPr>
        <w:t>，</w:t>
      </w:r>
      <w:r>
        <w:rPr>
          <w:rFonts w:hint="eastAsia"/>
          <w:color w:val="auto"/>
          <w:lang w:val="en-US" w:eastAsia="zh-CN"/>
        </w:rPr>
        <w:t>转运频次为3个月，贮存能力为438.48t/a，最大存在总量为109.62t。</w:t>
      </w:r>
      <w:r>
        <w:rPr>
          <w:rFonts w:hint="eastAsia"/>
          <w:lang w:val="en-US" w:eastAsia="zh-CN"/>
        </w:rPr>
        <w:t>建设项目危险废物Q值确定表如下：</w:t>
      </w:r>
    </w:p>
    <w:p w14:paraId="5DD02DA3">
      <w:pPr>
        <w:pStyle w:val="1111"/>
        <w:bidi w:val="0"/>
        <w:rPr>
          <w:rFonts w:hint="eastAsia"/>
          <w:lang w:val="en-US" w:eastAsia="zh-CN"/>
        </w:rPr>
      </w:pPr>
      <w:r>
        <w:rPr>
          <w:rFonts w:hint="eastAsia"/>
          <w:lang w:val="en-US" w:eastAsia="zh-CN"/>
        </w:rPr>
        <w:t>表2-1 建设项目危险物质Q值确定表</w:t>
      </w:r>
    </w:p>
    <w:tbl>
      <w:tblPr>
        <w:tblStyle w:val="7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38"/>
        <w:gridCol w:w="1333"/>
        <w:gridCol w:w="1885"/>
        <w:gridCol w:w="2798"/>
        <w:gridCol w:w="1405"/>
      </w:tblGrid>
      <w:tr w14:paraId="1CE0E5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 w:hRule="atLeast"/>
        </w:trPr>
        <w:tc>
          <w:tcPr>
            <w:tcW w:w="904" w:type="pct"/>
            <w:tcBorders>
              <w:tl2br w:val="nil"/>
              <w:tr2bl w:val="nil"/>
            </w:tcBorders>
            <w:shd w:val="clear" w:color="auto" w:fill="auto"/>
            <w:vAlign w:val="center"/>
          </w:tcPr>
          <w:p w14:paraId="41770720">
            <w:pPr>
              <w:pStyle w:val="1111"/>
              <w:bidi w:val="0"/>
            </w:pPr>
            <w:r>
              <w:rPr>
                <w:rFonts w:hint="eastAsia"/>
              </w:rPr>
              <w:t>危险品名称</w:t>
            </w:r>
          </w:p>
        </w:tc>
        <w:tc>
          <w:tcPr>
            <w:tcW w:w="735" w:type="pct"/>
            <w:tcBorders>
              <w:tl2br w:val="nil"/>
              <w:tr2bl w:val="nil"/>
            </w:tcBorders>
            <w:shd w:val="clear" w:color="auto" w:fill="auto"/>
            <w:vAlign w:val="center"/>
          </w:tcPr>
          <w:p w14:paraId="199B1D7B">
            <w:pPr>
              <w:pStyle w:val="1111"/>
              <w:bidi w:val="0"/>
            </w:pPr>
            <w:r>
              <w:t>CAS</w:t>
            </w:r>
            <w:r>
              <w:rPr>
                <w:rFonts w:hint="eastAsia"/>
              </w:rPr>
              <w:t>号</w:t>
            </w:r>
          </w:p>
        </w:tc>
        <w:tc>
          <w:tcPr>
            <w:tcW w:w="1040" w:type="pct"/>
            <w:tcBorders>
              <w:tl2br w:val="nil"/>
              <w:tr2bl w:val="nil"/>
            </w:tcBorders>
            <w:shd w:val="clear" w:color="auto" w:fill="auto"/>
            <w:vAlign w:val="center"/>
          </w:tcPr>
          <w:p w14:paraId="2F259BE7">
            <w:pPr>
              <w:pStyle w:val="1111"/>
              <w:bidi w:val="0"/>
            </w:pPr>
            <w:r>
              <w:rPr>
                <w:rFonts w:hint="eastAsia"/>
              </w:rPr>
              <w:t>最大存在总量</w:t>
            </w:r>
            <w:r>
              <w:t>qn/t</w:t>
            </w:r>
          </w:p>
        </w:tc>
        <w:tc>
          <w:tcPr>
            <w:tcW w:w="1544" w:type="pct"/>
            <w:tcBorders>
              <w:tl2br w:val="nil"/>
              <w:tr2bl w:val="nil"/>
            </w:tcBorders>
            <w:shd w:val="clear" w:color="auto" w:fill="auto"/>
            <w:vAlign w:val="center"/>
          </w:tcPr>
          <w:p w14:paraId="4210E52C">
            <w:pPr>
              <w:pStyle w:val="1111"/>
              <w:bidi w:val="0"/>
            </w:pPr>
            <w:r>
              <w:rPr>
                <w:rFonts w:hint="eastAsia"/>
              </w:rPr>
              <w:t>临界量</w:t>
            </w:r>
            <w:r>
              <w:t>Qn/t</w:t>
            </w:r>
          </w:p>
        </w:tc>
        <w:tc>
          <w:tcPr>
            <w:tcW w:w="775" w:type="pct"/>
            <w:tcBorders>
              <w:tl2br w:val="nil"/>
              <w:tr2bl w:val="nil"/>
            </w:tcBorders>
            <w:shd w:val="clear" w:color="auto" w:fill="auto"/>
            <w:vAlign w:val="center"/>
          </w:tcPr>
          <w:p w14:paraId="1C661357">
            <w:pPr>
              <w:pStyle w:val="1111"/>
              <w:bidi w:val="0"/>
            </w:pPr>
            <w:r>
              <w:rPr>
                <w:rFonts w:hint="eastAsia"/>
              </w:rPr>
              <w:t>该种危险物质</w:t>
            </w:r>
            <w:r>
              <w:t>Q</w:t>
            </w:r>
            <w:r>
              <w:rPr>
                <w:rFonts w:hint="eastAsia"/>
              </w:rPr>
              <w:t>值</w:t>
            </w:r>
          </w:p>
        </w:tc>
      </w:tr>
      <w:tr w14:paraId="5A6442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04" w:type="pct"/>
            <w:tcBorders>
              <w:tl2br w:val="nil"/>
              <w:tr2bl w:val="nil"/>
            </w:tcBorders>
            <w:shd w:val="clear" w:color="auto" w:fill="auto"/>
            <w:vAlign w:val="center"/>
          </w:tcPr>
          <w:p w14:paraId="0D66C509">
            <w:pPr>
              <w:pStyle w:val="1111"/>
              <w:bidi w:val="0"/>
            </w:pPr>
            <w:r>
              <w:rPr>
                <w:rFonts w:hint="eastAsia"/>
              </w:rPr>
              <w:t>危险废物</w:t>
            </w:r>
          </w:p>
        </w:tc>
        <w:tc>
          <w:tcPr>
            <w:tcW w:w="735" w:type="pct"/>
            <w:tcBorders>
              <w:tl2br w:val="nil"/>
              <w:tr2bl w:val="nil"/>
            </w:tcBorders>
            <w:shd w:val="clear" w:color="auto" w:fill="auto"/>
            <w:vAlign w:val="center"/>
          </w:tcPr>
          <w:p w14:paraId="10E2EAF9">
            <w:pPr>
              <w:pStyle w:val="1111"/>
              <w:bidi w:val="0"/>
            </w:pPr>
            <w:r>
              <w:t>/</w:t>
            </w:r>
          </w:p>
        </w:tc>
        <w:tc>
          <w:tcPr>
            <w:tcW w:w="1040" w:type="pct"/>
            <w:tcBorders>
              <w:tl2br w:val="nil"/>
              <w:tr2bl w:val="nil"/>
            </w:tcBorders>
            <w:shd w:val="clear" w:color="auto" w:fill="auto"/>
            <w:vAlign w:val="center"/>
          </w:tcPr>
          <w:p w14:paraId="4785D377">
            <w:pPr>
              <w:pStyle w:val="1111"/>
              <w:bidi w:val="0"/>
              <w:rPr>
                <w:rFonts w:hint="default"/>
                <w:lang w:val="en-US" w:eastAsia="zh-CN"/>
              </w:rPr>
            </w:pPr>
            <w:r>
              <w:rPr>
                <w:rFonts w:hint="eastAsia"/>
                <w:lang w:val="en-US" w:eastAsia="zh-CN"/>
              </w:rPr>
              <w:t>109.62</w:t>
            </w:r>
          </w:p>
        </w:tc>
        <w:tc>
          <w:tcPr>
            <w:tcW w:w="1544" w:type="pct"/>
            <w:tcBorders>
              <w:tl2br w:val="nil"/>
              <w:tr2bl w:val="nil"/>
            </w:tcBorders>
            <w:shd w:val="clear" w:color="auto" w:fill="auto"/>
            <w:vAlign w:val="center"/>
          </w:tcPr>
          <w:p w14:paraId="0ACB0668">
            <w:pPr>
              <w:pStyle w:val="1111"/>
              <w:bidi w:val="0"/>
            </w:pPr>
            <w:r>
              <w:t>50</w:t>
            </w:r>
            <w:r>
              <w:rPr>
                <w:rFonts w:hint="eastAsia"/>
              </w:rPr>
              <w:t>（</w:t>
            </w:r>
            <w:r>
              <w:t>参照健康危险急性毒性物质（类别2，类别3））</w:t>
            </w:r>
          </w:p>
        </w:tc>
        <w:tc>
          <w:tcPr>
            <w:tcW w:w="775" w:type="pct"/>
            <w:tcBorders>
              <w:tl2br w:val="nil"/>
              <w:tr2bl w:val="nil"/>
            </w:tcBorders>
            <w:shd w:val="clear" w:color="auto" w:fill="auto"/>
            <w:vAlign w:val="center"/>
          </w:tcPr>
          <w:p w14:paraId="18EA4B56">
            <w:pPr>
              <w:pStyle w:val="1111"/>
              <w:bidi w:val="0"/>
              <w:rPr>
                <w:rFonts w:hint="default"/>
                <w:lang w:val="en-US" w:eastAsia="zh-CN"/>
              </w:rPr>
            </w:pPr>
            <w:r>
              <w:rPr>
                <w:rFonts w:hint="eastAsia"/>
                <w:lang w:val="en-US" w:eastAsia="zh-CN"/>
              </w:rPr>
              <w:t>2.192</w:t>
            </w:r>
          </w:p>
        </w:tc>
      </w:tr>
      <w:tr w14:paraId="52A237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224" w:type="pct"/>
            <w:gridSpan w:val="4"/>
            <w:tcBorders>
              <w:tl2br w:val="nil"/>
              <w:tr2bl w:val="nil"/>
            </w:tcBorders>
            <w:shd w:val="clear" w:color="auto" w:fill="auto"/>
            <w:vAlign w:val="center"/>
          </w:tcPr>
          <w:p w14:paraId="68925070">
            <w:pPr>
              <w:pStyle w:val="1111"/>
              <w:bidi w:val="0"/>
            </w:pPr>
            <w:r>
              <w:rPr>
                <w:rFonts w:hint="eastAsia"/>
              </w:rPr>
              <w:t>项目</w:t>
            </w:r>
            <w:r>
              <w:t>Q</w:t>
            </w:r>
            <w:r>
              <w:rPr>
                <w:rFonts w:hint="eastAsia"/>
              </w:rPr>
              <w:t>值</w:t>
            </w:r>
          </w:p>
        </w:tc>
        <w:tc>
          <w:tcPr>
            <w:tcW w:w="775" w:type="pct"/>
            <w:tcBorders>
              <w:tl2br w:val="nil"/>
              <w:tr2bl w:val="nil"/>
            </w:tcBorders>
            <w:shd w:val="clear" w:color="auto" w:fill="auto"/>
            <w:vAlign w:val="center"/>
          </w:tcPr>
          <w:p w14:paraId="591FDBA2">
            <w:pPr>
              <w:pStyle w:val="1111"/>
              <w:bidi w:val="0"/>
              <w:rPr>
                <w:rFonts w:hint="default"/>
                <w:lang w:val="en-US" w:eastAsia="zh-CN"/>
              </w:rPr>
            </w:pPr>
            <w:r>
              <w:rPr>
                <w:rFonts w:hint="eastAsia"/>
                <w:lang w:val="en-US" w:eastAsia="zh-CN"/>
              </w:rPr>
              <w:t>2.192</w:t>
            </w:r>
          </w:p>
        </w:tc>
      </w:tr>
    </w:tbl>
    <w:p w14:paraId="3956B689">
      <w:pPr>
        <w:pStyle w:val="512"/>
        <w:bidi w:val="0"/>
      </w:pPr>
      <w:r>
        <w:t>根据《建设项目环境风险评价技术导则》（HJ169-2018）附录C，Q按下式进行计算：</w:t>
      </w:r>
    </w:p>
    <w:p w14:paraId="4337DD28">
      <w:pPr>
        <w:pStyle w:val="5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r>
        <w:drawing>
          <wp:inline distT="0" distB="0" distL="0" distR="0">
            <wp:extent cx="1343025" cy="371475"/>
            <wp:effectExtent l="0" t="0" r="9525" b="952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1343025" cy="371475"/>
                    </a:xfrm>
                    <a:prstGeom prst="rect">
                      <a:avLst/>
                    </a:prstGeom>
                    <a:noFill/>
                    <a:ln>
                      <a:noFill/>
                    </a:ln>
                  </pic:spPr>
                </pic:pic>
              </a:graphicData>
            </a:graphic>
          </wp:inline>
        </w:drawing>
      </w:r>
    </w:p>
    <w:p w14:paraId="35BB6961">
      <w:pPr>
        <w:pStyle w:val="512"/>
        <w:bidi w:val="0"/>
      </w:pPr>
      <w:r>
        <w:t>式中：q1，q2，…，qn-每种危险物质的最大存在量，t；</w:t>
      </w:r>
    </w:p>
    <w:p w14:paraId="3A65D46D">
      <w:pPr>
        <w:pStyle w:val="512"/>
        <w:bidi w:val="0"/>
      </w:pPr>
      <w:r>
        <w:t>Q1，Q2，…，Qn-每种危险物质的临界量，t。</w:t>
      </w:r>
    </w:p>
    <w:p w14:paraId="1F1BFE0C">
      <w:pPr>
        <w:pStyle w:val="512"/>
        <w:bidi w:val="0"/>
      </w:pPr>
      <w:r>
        <w:t>当Q&lt;1时，该项目环境风险潜势为</w:t>
      </w:r>
      <w:r>
        <w:fldChar w:fldCharType="begin"/>
      </w:r>
      <w:r>
        <w:instrText xml:space="preserve"> = 1 \* ROMAN </w:instrText>
      </w:r>
      <w:r>
        <w:fldChar w:fldCharType="separate"/>
      </w:r>
      <w:r>
        <w:t>I</w:t>
      </w:r>
      <w:r>
        <w:fldChar w:fldCharType="end"/>
      </w:r>
      <w:r>
        <w:t>。</w:t>
      </w:r>
    </w:p>
    <w:p w14:paraId="016D5D43">
      <w:pPr>
        <w:pStyle w:val="512"/>
        <w:bidi w:val="0"/>
      </w:pPr>
      <w:r>
        <w:t>当Q≥1时，将Q值划分为：（1）1≤Q＜10；（2）10≤Q＜100；（3）Q≥100。</w:t>
      </w:r>
    </w:p>
    <w:p w14:paraId="062FA962">
      <w:pPr>
        <w:pStyle w:val="512"/>
        <w:bidi w:val="0"/>
      </w:pPr>
      <w:r>
        <w:t>由上表可知，本项目Q=</w:t>
      </w:r>
      <w:r>
        <w:rPr>
          <w:rFonts w:hint="eastAsia"/>
          <w:lang w:val="en-US" w:eastAsia="zh-CN"/>
        </w:rPr>
        <w:t>2.192</w:t>
      </w:r>
      <w:r>
        <w:t>，属于1≤Q＜10。</w:t>
      </w:r>
      <w:r>
        <w:rPr>
          <w:rFonts w:hint="eastAsia"/>
          <w:lang w:val="en-US" w:eastAsia="zh-CN"/>
        </w:rPr>
        <w:t>根据《建设项目环境影响报告表编制技术指南（污染影响类）（试行）》表</w:t>
      </w:r>
      <w:r>
        <w:rPr>
          <w:rFonts w:hint="default"/>
          <w:lang w:val="en-US" w:eastAsia="zh-CN"/>
        </w:rPr>
        <w:t>1</w:t>
      </w:r>
      <w:r>
        <w:rPr>
          <w:rFonts w:hint="eastAsia"/>
          <w:lang w:val="en-US" w:eastAsia="zh-CN"/>
        </w:rPr>
        <w:t>专项评价设置原则表，本项目需设置环境风险专项评价，特制定本环境风险专项评价报告。</w:t>
      </w:r>
    </w:p>
    <w:p w14:paraId="373CBF4F">
      <w:pPr>
        <w:pStyle w:val="512"/>
        <w:bidi w:val="0"/>
      </w:pPr>
      <w:r>
        <w:t>（2）M值的确定</w:t>
      </w:r>
    </w:p>
    <w:p w14:paraId="6AB0708B">
      <w:pPr>
        <w:pStyle w:val="512"/>
        <w:bidi w:val="0"/>
      </w:pPr>
      <w:r>
        <w:t>根据《建设项目环境风险评价技术导则》（HJ169-2018）附录C。将M值划分为：（1）M&gt;20；（2）10＜M≤20；（3）5＜M≤10；（4）M=5，分别以M1、M2、M3、M4表示。本项目行业属于下列表格中“其他</w:t>
      </w:r>
      <w:r>
        <w:rPr>
          <w:rFonts w:hint="eastAsia"/>
          <w:lang w:eastAsia="zh-CN"/>
        </w:rPr>
        <w:t>”</w:t>
      </w:r>
      <w:r>
        <w:t>涉及危险物质使用、贮存的项目，因此M=5，属于M4。</w:t>
      </w:r>
    </w:p>
    <w:p w14:paraId="18C14516">
      <w:pPr>
        <w:pStyle w:val="1111"/>
        <w:bidi w:val="0"/>
        <w:rPr>
          <w:rFonts w:hint="eastAsia"/>
          <w:lang w:val="en-US" w:eastAsia="zh-CN"/>
        </w:rPr>
      </w:pPr>
      <w:r>
        <w:rPr>
          <w:rFonts w:hint="eastAsia"/>
          <w:lang w:val="en-US" w:eastAsia="zh-CN"/>
        </w:rPr>
        <w:t>表2-2 行业及生产工艺（M）</w:t>
      </w:r>
    </w:p>
    <w:tbl>
      <w:tblPr>
        <w:tblStyle w:val="7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39"/>
        <w:gridCol w:w="5860"/>
        <w:gridCol w:w="1261"/>
      </w:tblGrid>
      <w:tr w14:paraId="435982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70" w:type="pct"/>
            <w:tcBorders>
              <w:tl2br w:val="nil"/>
              <w:tr2bl w:val="nil"/>
            </w:tcBorders>
            <w:shd w:val="clear" w:color="auto" w:fill="auto"/>
            <w:vAlign w:val="center"/>
          </w:tcPr>
          <w:p w14:paraId="08F2C278">
            <w:pPr>
              <w:pStyle w:val="1111"/>
              <w:bidi w:val="0"/>
            </w:pPr>
            <w:r>
              <w:t>行业</w:t>
            </w:r>
          </w:p>
        </w:tc>
        <w:tc>
          <w:tcPr>
            <w:tcW w:w="3234" w:type="pct"/>
            <w:tcBorders>
              <w:tl2br w:val="nil"/>
              <w:tr2bl w:val="nil"/>
            </w:tcBorders>
            <w:shd w:val="clear" w:color="auto" w:fill="auto"/>
            <w:vAlign w:val="center"/>
          </w:tcPr>
          <w:p w14:paraId="6DC35EDC">
            <w:pPr>
              <w:pStyle w:val="1111"/>
              <w:bidi w:val="0"/>
            </w:pPr>
            <w:r>
              <w:t>评估依据</w:t>
            </w:r>
          </w:p>
        </w:tc>
        <w:tc>
          <w:tcPr>
            <w:tcW w:w="696" w:type="pct"/>
            <w:tcBorders>
              <w:tl2br w:val="nil"/>
              <w:tr2bl w:val="nil"/>
            </w:tcBorders>
            <w:shd w:val="clear" w:color="auto" w:fill="auto"/>
            <w:vAlign w:val="center"/>
          </w:tcPr>
          <w:p w14:paraId="53E962CC">
            <w:pPr>
              <w:pStyle w:val="1111"/>
              <w:bidi w:val="0"/>
            </w:pPr>
            <w:r>
              <w:t>分值</w:t>
            </w:r>
          </w:p>
        </w:tc>
      </w:tr>
      <w:tr w14:paraId="708CFE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70" w:type="pct"/>
            <w:vMerge w:val="restart"/>
            <w:tcBorders>
              <w:tl2br w:val="nil"/>
              <w:tr2bl w:val="nil"/>
            </w:tcBorders>
            <w:shd w:val="clear" w:color="auto" w:fill="auto"/>
            <w:vAlign w:val="center"/>
          </w:tcPr>
          <w:p w14:paraId="7116E088">
            <w:pPr>
              <w:pStyle w:val="1111"/>
              <w:bidi w:val="0"/>
            </w:pPr>
            <w:r>
              <w:t>石化、化工、医药、轻工、化纤、有色冶炼等</w:t>
            </w:r>
          </w:p>
        </w:tc>
        <w:tc>
          <w:tcPr>
            <w:tcW w:w="3234" w:type="pct"/>
            <w:tcBorders>
              <w:tl2br w:val="nil"/>
              <w:tr2bl w:val="nil"/>
            </w:tcBorders>
            <w:shd w:val="clear" w:color="auto" w:fill="auto"/>
            <w:vAlign w:val="center"/>
          </w:tcPr>
          <w:p w14:paraId="6B5947A8">
            <w:pPr>
              <w:pStyle w:val="1111"/>
              <w:bidi w:val="0"/>
            </w:pPr>
            <w:r>
              <w:t>涉及光气及光气化工艺、电解工艺（氯碱）、氯化工艺、硝化工艺、合成氨工艺、裂解（裂化）工艺、氟化工艺、加氢工艺、重氮化工艺、氧化工艺、过氧化工艺、胺基化工艺、磺化工艺、聚合工艺、烷基化工艺、新型煤化工工艺、电石生产工艺、偶氮化工艺</w:t>
            </w:r>
          </w:p>
        </w:tc>
        <w:tc>
          <w:tcPr>
            <w:tcW w:w="696" w:type="pct"/>
            <w:tcBorders>
              <w:tl2br w:val="nil"/>
              <w:tr2bl w:val="nil"/>
            </w:tcBorders>
            <w:shd w:val="clear" w:color="auto" w:fill="auto"/>
            <w:vAlign w:val="center"/>
          </w:tcPr>
          <w:p w14:paraId="64A2BC34">
            <w:pPr>
              <w:pStyle w:val="1111"/>
              <w:bidi w:val="0"/>
            </w:pPr>
            <w:r>
              <w:t>10/套</w:t>
            </w:r>
          </w:p>
        </w:tc>
      </w:tr>
      <w:tr w14:paraId="174D24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70" w:type="pct"/>
            <w:vMerge w:val="continue"/>
            <w:tcBorders>
              <w:tl2br w:val="nil"/>
              <w:tr2bl w:val="nil"/>
            </w:tcBorders>
            <w:shd w:val="clear" w:color="auto" w:fill="auto"/>
            <w:vAlign w:val="center"/>
          </w:tcPr>
          <w:p w14:paraId="23578198">
            <w:pPr>
              <w:pStyle w:val="1111"/>
              <w:bidi w:val="0"/>
            </w:pPr>
          </w:p>
        </w:tc>
        <w:tc>
          <w:tcPr>
            <w:tcW w:w="3234" w:type="pct"/>
            <w:tcBorders>
              <w:tl2br w:val="nil"/>
              <w:tr2bl w:val="nil"/>
            </w:tcBorders>
            <w:shd w:val="clear" w:color="auto" w:fill="auto"/>
            <w:vAlign w:val="center"/>
          </w:tcPr>
          <w:p w14:paraId="458687F2">
            <w:pPr>
              <w:pStyle w:val="1111"/>
              <w:bidi w:val="0"/>
            </w:pPr>
            <w:r>
              <w:t>无机酸制酸工艺、焦化工艺</w:t>
            </w:r>
          </w:p>
        </w:tc>
        <w:tc>
          <w:tcPr>
            <w:tcW w:w="696" w:type="pct"/>
            <w:tcBorders>
              <w:tl2br w:val="nil"/>
              <w:tr2bl w:val="nil"/>
            </w:tcBorders>
            <w:shd w:val="clear" w:color="auto" w:fill="auto"/>
            <w:vAlign w:val="center"/>
          </w:tcPr>
          <w:p w14:paraId="36634A96">
            <w:pPr>
              <w:pStyle w:val="1111"/>
              <w:bidi w:val="0"/>
            </w:pPr>
            <w:r>
              <w:t>5/套</w:t>
            </w:r>
          </w:p>
        </w:tc>
      </w:tr>
      <w:tr w14:paraId="6E8C11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70" w:type="pct"/>
            <w:vMerge w:val="continue"/>
            <w:tcBorders>
              <w:tl2br w:val="nil"/>
              <w:tr2bl w:val="nil"/>
            </w:tcBorders>
            <w:shd w:val="clear" w:color="auto" w:fill="auto"/>
            <w:vAlign w:val="center"/>
          </w:tcPr>
          <w:p w14:paraId="05E7DDFC">
            <w:pPr>
              <w:pStyle w:val="1111"/>
              <w:bidi w:val="0"/>
            </w:pPr>
          </w:p>
        </w:tc>
        <w:tc>
          <w:tcPr>
            <w:tcW w:w="3234" w:type="pct"/>
            <w:tcBorders>
              <w:tl2br w:val="nil"/>
              <w:tr2bl w:val="nil"/>
            </w:tcBorders>
            <w:shd w:val="clear" w:color="auto" w:fill="auto"/>
            <w:vAlign w:val="center"/>
          </w:tcPr>
          <w:p w14:paraId="624E28FA">
            <w:pPr>
              <w:pStyle w:val="1111"/>
              <w:bidi w:val="0"/>
            </w:pPr>
            <w:r>
              <w:t>其他高温或高压，且涉及危险物质的工艺过程a、危险物质贮存罐区</w:t>
            </w:r>
          </w:p>
        </w:tc>
        <w:tc>
          <w:tcPr>
            <w:tcW w:w="696" w:type="pct"/>
            <w:tcBorders>
              <w:tl2br w:val="nil"/>
              <w:tr2bl w:val="nil"/>
            </w:tcBorders>
            <w:shd w:val="clear" w:color="auto" w:fill="auto"/>
            <w:vAlign w:val="center"/>
          </w:tcPr>
          <w:p w14:paraId="6A25BFFB">
            <w:pPr>
              <w:pStyle w:val="1111"/>
              <w:bidi w:val="0"/>
            </w:pPr>
            <w:r>
              <w:t>5/套（罐区）</w:t>
            </w:r>
          </w:p>
        </w:tc>
      </w:tr>
      <w:tr w14:paraId="2E6FDE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70" w:type="pct"/>
            <w:tcBorders>
              <w:tl2br w:val="nil"/>
              <w:tr2bl w:val="nil"/>
            </w:tcBorders>
            <w:shd w:val="clear" w:color="auto" w:fill="auto"/>
            <w:vAlign w:val="center"/>
          </w:tcPr>
          <w:p w14:paraId="2BCDBB16">
            <w:pPr>
              <w:pStyle w:val="1111"/>
              <w:bidi w:val="0"/>
            </w:pPr>
            <w:r>
              <w:t>管道、港口/码头等</w:t>
            </w:r>
          </w:p>
        </w:tc>
        <w:tc>
          <w:tcPr>
            <w:tcW w:w="3234" w:type="pct"/>
            <w:tcBorders>
              <w:tl2br w:val="nil"/>
              <w:tr2bl w:val="nil"/>
            </w:tcBorders>
            <w:shd w:val="clear" w:color="auto" w:fill="auto"/>
            <w:vAlign w:val="center"/>
          </w:tcPr>
          <w:p w14:paraId="12954B4D">
            <w:pPr>
              <w:pStyle w:val="1111"/>
              <w:bidi w:val="0"/>
            </w:pPr>
            <w:r>
              <w:t>涉及危险物质管道运输项目、港口/码头等</w:t>
            </w:r>
          </w:p>
        </w:tc>
        <w:tc>
          <w:tcPr>
            <w:tcW w:w="696" w:type="pct"/>
            <w:tcBorders>
              <w:tl2br w:val="nil"/>
              <w:tr2bl w:val="nil"/>
            </w:tcBorders>
            <w:shd w:val="clear" w:color="auto" w:fill="auto"/>
            <w:vAlign w:val="center"/>
          </w:tcPr>
          <w:p w14:paraId="61CA7854">
            <w:pPr>
              <w:pStyle w:val="1111"/>
              <w:bidi w:val="0"/>
            </w:pPr>
            <w:r>
              <w:t>10</w:t>
            </w:r>
          </w:p>
        </w:tc>
      </w:tr>
      <w:tr w14:paraId="4C27CF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70" w:type="pct"/>
            <w:tcBorders>
              <w:tl2br w:val="nil"/>
              <w:tr2bl w:val="nil"/>
            </w:tcBorders>
            <w:shd w:val="clear" w:color="auto" w:fill="auto"/>
            <w:vAlign w:val="center"/>
          </w:tcPr>
          <w:p w14:paraId="4F280BB5">
            <w:pPr>
              <w:pStyle w:val="1111"/>
              <w:bidi w:val="0"/>
            </w:pPr>
            <w:r>
              <w:t>石油天然气</w:t>
            </w:r>
          </w:p>
        </w:tc>
        <w:tc>
          <w:tcPr>
            <w:tcW w:w="3234" w:type="pct"/>
            <w:tcBorders>
              <w:tl2br w:val="nil"/>
              <w:tr2bl w:val="nil"/>
            </w:tcBorders>
            <w:shd w:val="clear" w:color="auto" w:fill="auto"/>
            <w:vAlign w:val="center"/>
          </w:tcPr>
          <w:p w14:paraId="64D0209F">
            <w:pPr>
              <w:pStyle w:val="1111"/>
              <w:bidi w:val="0"/>
            </w:pPr>
            <w:r>
              <w:t>石油、天然气、页岩气开采（含净化），气库（不含加气站的气库），油库（不含加气站的油库）、油气管线b（不含城镇燃气管线）</w:t>
            </w:r>
          </w:p>
        </w:tc>
        <w:tc>
          <w:tcPr>
            <w:tcW w:w="696" w:type="pct"/>
            <w:tcBorders>
              <w:tl2br w:val="nil"/>
              <w:tr2bl w:val="nil"/>
            </w:tcBorders>
            <w:shd w:val="clear" w:color="auto" w:fill="auto"/>
            <w:vAlign w:val="center"/>
          </w:tcPr>
          <w:p w14:paraId="03DA3199">
            <w:pPr>
              <w:pStyle w:val="1111"/>
              <w:bidi w:val="0"/>
            </w:pPr>
            <w:r>
              <w:t>10</w:t>
            </w:r>
          </w:p>
        </w:tc>
      </w:tr>
      <w:tr w14:paraId="4B5C01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70" w:type="pct"/>
            <w:tcBorders>
              <w:tl2br w:val="nil"/>
              <w:tr2bl w:val="nil"/>
            </w:tcBorders>
            <w:shd w:val="clear" w:color="auto" w:fill="auto"/>
            <w:vAlign w:val="center"/>
          </w:tcPr>
          <w:p w14:paraId="4486693F">
            <w:pPr>
              <w:pStyle w:val="1111"/>
              <w:bidi w:val="0"/>
            </w:pPr>
            <w:r>
              <w:t>其他</w:t>
            </w:r>
          </w:p>
        </w:tc>
        <w:tc>
          <w:tcPr>
            <w:tcW w:w="3234" w:type="pct"/>
            <w:tcBorders>
              <w:tl2br w:val="nil"/>
              <w:tr2bl w:val="nil"/>
            </w:tcBorders>
            <w:shd w:val="clear" w:color="auto" w:fill="auto"/>
            <w:vAlign w:val="center"/>
          </w:tcPr>
          <w:p w14:paraId="09FEE65E">
            <w:pPr>
              <w:pStyle w:val="1111"/>
              <w:bidi w:val="0"/>
            </w:pPr>
            <w:r>
              <w:t>涉及危险物质使用、贮存的项目</w:t>
            </w:r>
          </w:p>
        </w:tc>
        <w:tc>
          <w:tcPr>
            <w:tcW w:w="696" w:type="pct"/>
            <w:tcBorders>
              <w:tl2br w:val="nil"/>
              <w:tr2bl w:val="nil"/>
            </w:tcBorders>
            <w:shd w:val="clear" w:color="auto" w:fill="auto"/>
            <w:vAlign w:val="center"/>
          </w:tcPr>
          <w:p w14:paraId="3F7DC284">
            <w:pPr>
              <w:pStyle w:val="1111"/>
              <w:bidi w:val="0"/>
            </w:pPr>
            <w:r>
              <w:t>5</w:t>
            </w:r>
          </w:p>
        </w:tc>
      </w:tr>
      <w:tr w14:paraId="526E09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3"/>
            <w:tcBorders>
              <w:tl2br w:val="nil"/>
              <w:tr2bl w:val="nil"/>
            </w:tcBorders>
            <w:shd w:val="clear" w:color="auto" w:fill="auto"/>
            <w:vAlign w:val="center"/>
          </w:tcPr>
          <w:p w14:paraId="72FBE7F3">
            <w:pPr>
              <w:pStyle w:val="1111"/>
              <w:bidi w:val="0"/>
            </w:pPr>
            <w:r>
              <w:t>a高温指工艺温度</w:t>
            </w:r>
            <w:r>
              <w:rPr>
                <w:rFonts w:hint="eastAsia"/>
              </w:rPr>
              <w:t>≧</w:t>
            </w:r>
            <w:r>
              <w:t>300℃，高压指压力容器的设计压力（P）</w:t>
            </w:r>
            <w:r>
              <w:rPr>
                <w:rFonts w:hint="eastAsia"/>
              </w:rPr>
              <w:t>≧</w:t>
            </w:r>
            <w:r>
              <w:t>10.0MPa；</w:t>
            </w:r>
          </w:p>
          <w:p w14:paraId="162347C3">
            <w:pPr>
              <w:pStyle w:val="1111"/>
              <w:bidi w:val="0"/>
            </w:pPr>
            <w:r>
              <w:t>b长输运输管道项目应按站场、管线分段进行评价。</w:t>
            </w:r>
          </w:p>
        </w:tc>
      </w:tr>
    </w:tbl>
    <w:p w14:paraId="6ECDFE2B">
      <w:pPr>
        <w:pStyle w:val="515"/>
        <w:bidi w:val="0"/>
        <w:rPr>
          <w:rFonts w:hint="eastAsia"/>
          <w:lang w:val="en-US" w:eastAsia="zh-CN"/>
        </w:rPr>
      </w:pPr>
      <w:r>
        <w:rPr>
          <w:rFonts w:hint="eastAsia"/>
          <w:lang w:val="en-US" w:eastAsia="zh-CN"/>
        </w:rPr>
        <w:t>2.2环境敏感目标</w:t>
      </w:r>
    </w:p>
    <w:p w14:paraId="4E565F12">
      <w:pPr>
        <w:pStyle w:val="512"/>
        <w:bidi w:val="0"/>
      </w:pPr>
      <w:r>
        <w:rPr>
          <w:rFonts w:hint="eastAsia"/>
          <w:lang w:val="en-US" w:eastAsia="zh-CN"/>
        </w:rPr>
        <w:t>根据</w:t>
      </w:r>
      <w:r>
        <w:t>《建设项目环境风险评价技术导则》</w:t>
      </w:r>
      <w:r>
        <w:rPr>
          <w:rFonts w:hint="eastAsia"/>
          <w:lang w:eastAsia="zh-CN"/>
        </w:rPr>
        <w:t>（</w:t>
      </w:r>
      <w:r>
        <w:t>HJ169-2018</w:t>
      </w:r>
      <w:r>
        <w:rPr>
          <w:rFonts w:hint="eastAsia"/>
          <w:lang w:eastAsia="zh-CN"/>
        </w:rPr>
        <w:t>）</w:t>
      </w:r>
      <w:r>
        <w:t>规定及建设地点周围现状，周边5公里范围敏感目标具体见表</w:t>
      </w:r>
      <w:r>
        <w:rPr>
          <w:rFonts w:hint="eastAsia"/>
          <w:lang w:val="en-US" w:eastAsia="zh-CN"/>
        </w:rPr>
        <w:t>2</w:t>
      </w:r>
      <w:r>
        <w:t>-3。</w:t>
      </w:r>
    </w:p>
    <w:p w14:paraId="4BBCC88C">
      <w:pPr>
        <w:pStyle w:val="1111"/>
        <w:bidi w:val="0"/>
        <w:rPr>
          <w:rFonts w:hint="eastAsia"/>
          <w:lang w:val="en-US" w:eastAsia="zh-CN"/>
        </w:rPr>
      </w:pPr>
      <w:r>
        <w:rPr>
          <w:rFonts w:hint="eastAsia"/>
          <w:lang w:val="en-US" w:eastAsia="zh-CN"/>
        </w:rPr>
        <w:t>表2-3 主要环境敏感目标表</w:t>
      </w:r>
    </w:p>
    <w:tbl>
      <w:tblPr>
        <w:tblStyle w:val="77"/>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627"/>
        <w:gridCol w:w="626"/>
        <w:gridCol w:w="3168"/>
        <w:gridCol w:w="860"/>
        <w:gridCol w:w="1581"/>
        <w:gridCol w:w="1110"/>
        <w:gridCol w:w="1087"/>
      </w:tblGrid>
      <w:tr w14:paraId="1A643C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trPr>
        <w:tc>
          <w:tcPr>
            <w:tcW w:w="346" w:type="pct"/>
            <w:tcBorders>
              <w:tl2br w:val="nil"/>
              <w:tr2bl w:val="nil"/>
            </w:tcBorders>
            <w:shd w:val="clear" w:color="auto" w:fill="auto"/>
            <w:noWrap/>
            <w:vAlign w:val="center"/>
          </w:tcPr>
          <w:p w14:paraId="4089D607">
            <w:pPr>
              <w:pStyle w:val="1111"/>
              <w:bidi w:val="0"/>
              <w:rPr>
                <w:rFonts w:hint="eastAsia"/>
                <w:lang w:val="en-US" w:eastAsia="zh-CN"/>
              </w:rPr>
            </w:pPr>
            <w:r>
              <w:rPr>
                <w:rFonts w:hint="eastAsia"/>
                <w:lang w:val="en-US" w:eastAsia="zh-CN"/>
              </w:rPr>
              <w:t>类别</w:t>
            </w:r>
          </w:p>
        </w:tc>
        <w:tc>
          <w:tcPr>
            <w:tcW w:w="4653" w:type="pct"/>
            <w:gridSpan w:val="6"/>
            <w:tcBorders>
              <w:tl2br w:val="nil"/>
              <w:tr2bl w:val="nil"/>
            </w:tcBorders>
            <w:shd w:val="clear" w:color="auto" w:fill="auto"/>
            <w:noWrap/>
            <w:vAlign w:val="center"/>
          </w:tcPr>
          <w:p w14:paraId="0A893695">
            <w:pPr>
              <w:pStyle w:val="1111"/>
              <w:bidi w:val="0"/>
              <w:rPr>
                <w:rFonts w:hint="eastAsia"/>
                <w:lang w:val="en-US" w:eastAsia="zh-CN"/>
              </w:rPr>
            </w:pPr>
            <w:r>
              <w:rPr>
                <w:rFonts w:hint="eastAsia"/>
                <w:lang w:val="en-US" w:eastAsia="zh-CN"/>
              </w:rPr>
              <w:t>环境敏感特征</w:t>
            </w:r>
          </w:p>
        </w:tc>
      </w:tr>
      <w:tr w14:paraId="1ACF0B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restart"/>
            <w:tcBorders>
              <w:tl2br w:val="nil"/>
              <w:tr2bl w:val="nil"/>
            </w:tcBorders>
            <w:shd w:val="clear" w:color="auto" w:fill="auto"/>
            <w:noWrap/>
            <w:vAlign w:val="center"/>
          </w:tcPr>
          <w:p w14:paraId="048BDAA6">
            <w:pPr>
              <w:pStyle w:val="1111"/>
              <w:bidi w:val="0"/>
              <w:rPr>
                <w:rFonts w:hint="eastAsia"/>
                <w:lang w:val="en-US" w:eastAsia="zh-CN"/>
              </w:rPr>
            </w:pPr>
            <w:r>
              <w:rPr>
                <w:rFonts w:hint="eastAsia"/>
                <w:lang w:val="en-US" w:eastAsia="zh-CN"/>
              </w:rPr>
              <w:t>大气</w:t>
            </w:r>
          </w:p>
        </w:tc>
        <w:tc>
          <w:tcPr>
            <w:tcW w:w="4653" w:type="pct"/>
            <w:gridSpan w:val="6"/>
            <w:tcBorders>
              <w:tl2br w:val="nil"/>
              <w:tr2bl w:val="nil"/>
            </w:tcBorders>
            <w:shd w:val="clear" w:color="auto" w:fill="auto"/>
            <w:noWrap/>
            <w:vAlign w:val="center"/>
          </w:tcPr>
          <w:p w14:paraId="7D45FDA5">
            <w:pPr>
              <w:pStyle w:val="1111"/>
              <w:bidi w:val="0"/>
              <w:rPr>
                <w:rFonts w:hint="eastAsia"/>
                <w:lang w:val="en-US" w:eastAsia="zh-CN"/>
              </w:rPr>
            </w:pPr>
            <w:r>
              <w:rPr>
                <w:rFonts w:hint="eastAsia"/>
                <w:lang w:val="en-US" w:eastAsia="zh-CN"/>
              </w:rPr>
              <w:t>厂址周边5km范围内</w:t>
            </w:r>
          </w:p>
        </w:tc>
      </w:tr>
      <w:tr w14:paraId="1547ED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50112A88">
            <w:pPr>
              <w:pStyle w:val="1111"/>
              <w:bidi w:val="0"/>
              <w:rPr>
                <w:rFonts w:hint="eastAsia"/>
                <w:lang w:val="en-US" w:eastAsia="zh-CN"/>
              </w:rPr>
            </w:pPr>
          </w:p>
        </w:tc>
        <w:tc>
          <w:tcPr>
            <w:tcW w:w="345" w:type="pct"/>
            <w:tcBorders>
              <w:tl2br w:val="nil"/>
              <w:tr2bl w:val="nil"/>
            </w:tcBorders>
            <w:shd w:val="clear" w:color="auto" w:fill="auto"/>
            <w:noWrap/>
            <w:vAlign w:val="center"/>
          </w:tcPr>
          <w:p w14:paraId="7D00B914">
            <w:pPr>
              <w:pStyle w:val="1111"/>
              <w:bidi w:val="0"/>
            </w:pPr>
            <w:r>
              <w:rPr>
                <w:rFonts w:hint="eastAsia"/>
                <w:lang w:val="en-US" w:eastAsia="zh-CN"/>
              </w:rPr>
              <w:t>序号</w:t>
            </w:r>
          </w:p>
        </w:tc>
        <w:tc>
          <w:tcPr>
            <w:tcW w:w="1748" w:type="pct"/>
            <w:tcBorders>
              <w:tl2br w:val="nil"/>
              <w:tr2bl w:val="nil"/>
            </w:tcBorders>
            <w:shd w:val="clear" w:color="auto" w:fill="auto"/>
            <w:noWrap/>
            <w:vAlign w:val="center"/>
          </w:tcPr>
          <w:p w14:paraId="7365536E">
            <w:pPr>
              <w:pStyle w:val="1111"/>
              <w:bidi w:val="0"/>
              <w:rPr>
                <w:rFonts w:hint="eastAsia"/>
              </w:rPr>
            </w:pPr>
            <w:r>
              <w:rPr>
                <w:rFonts w:hint="eastAsia"/>
                <w:lang w:val="en-US" w:eastAsia="zh-CN"/>
              </w:rPr>
              <w:t>敏感目标名称</w:t>
            </w:r>
          </w:p>
        </w:tc>
        <w:tc>
          <w:tcPr>
            <w:tcW w:w="474" w:type="pct"/>
            <w:tcBorders>
              <w:tl2br w:val="nil"/>
              <w:tr2bl w:val="nil"/>
            </w:tcBorders>
            <w:shd w:val="clear" w:color="auto" w:fill="auto"/>
            <w:noWrap/>
            <w:vAlign w:val="center"/>
          </w:tcPr>
          <w:p w14:paraId="385BCFF6">
            <w:pPr>
              <w:pStyle w:val="1111"/>
              <w:bidi w:val="0"/>
              <w:rPr>
                <w:rFonts w:hint="eastAsia"/>
              </w:rPr>
            </w:pPr>
            <w:r>
              <w:rPr>
                <w:rFonts w:hint="eastAsia"/>
                <w:lang w:val="en-US" w:eastAsia="zh-CN"/>
              </w:rPr>
              <w:t>方位</w:t>
            </w:r>
          </w:p>
        </w:tc>
        <w:tc>
          <w:tcPr>
            <w:tcW w:w="872" w:type="pct"/>
            <w:tcBorders>
              <w:tl2br w:val="nil"/>
              <w:tr2bl w:val="nil"/>
            </w:tcBorders>
            <w:shd w:val="clear" w:color="auto" w:fill="auto"/>
            <w:noWrap/>
            <w:vAlign w:val="center"/>
          </w:tcPr>
          <w:p w14:paraId="53E65073">
            <w:pPr>
              <w:pStyle w:val="1111"/>
              <w:bidi w:val="0"/>
              <w:rPr>
                <w:rFonts w:hint="eastAsia"/>
              </w:rPr>
            </w:pPr>
            <w:r>
              <w:rPr>
                <w:rFonts w:hint="eastAsia"/>
                <w:lang w:val="en-US" w:eastAsia="zh-CN"/>
              </w:rPr>
              <w:t>最近距离/m</w:t>
            </w:r>
          </w:p>
        </w:tc>
        <w:tc>
          <w:tcPr>
            <w:tcW w:w="612" w:type="pct"/>
            <w:tcBorders>
              <w:tl2br w:val="nil"/>
              <w:tr2bl w:val="nil"/>
            </w:tcBorders>
            <w:shd w:val="clear" w:color="auto" w:fill="auto"/>
            <w:noWrap/>
            <w:vAlign w:val="center"/>
          </w:tcPr>
          <w:p w14:paraId="0B641048">
            <w:pPr>
              <w:pStyle w:val="1111"/>
              <w:bidi w:val="0"/>
              <w:rPr>
                <w:rFonts w:hint="eastAsia"/>
              </w:rPr>
            </w:pPr>
            <w:r>
              <w:rPr>
                <w:rFonts w:hint="eastAsia"/>
                <w:lang w:val="en-US" w:eastAsia="zh-CN"/>
              </w:rPr>
              <w:t>属性</w:t>
            </w:r>
          </w:p>
        </w:tc>
        <w:tc>
          <w:tcPr>
            <w:tcW w:w="599" w:type="pct"/>
            <w:tcBorders>
              <w:tl2br w:val="nil"/>
              <w:tr2bl w:val="nil"/>
            </w:tcBorders>
            <w:shd w:val="clear" w:color="auto" w:fill="auto"/>
            <w:noWrap/>
            <w:vAlign w:val="center"/>
          </w:tcPr>
          <w:p w14:paraId="3C40703E">
            <w:pPr>
              <w:pStyle w:val="1111"/>
              <w:bidi w:val="0"/>
              <w:rPr>
                <w:rFonts w:hint="eastAsia"/>
              </w:rPr>
            </w:pPr>
            <w:r>
              <w:rPr>
                <w:rFonts w:hint="eastAsia"/>
                <w:lang w:val="en-US" w:eastAsia="zh-CN"/>
              </w:rPr>
              <w:t>人口数/人</w:t>
            </w:r>
          </w:p>
        </w:tc>
      </w:tr>
      <w:tr w14:paraId="186601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46" w:type="pct"/>
            <w:vMerge w:val="continue"/>
            <w:tcBorders>
              <w:tl2br w:val="nil"/>
              <w:tr2bl w:val="nil"/>
            </w:tcBorders>
            <w:shd w:val="clear" w:color="auto" w:fill="auto"/>
            <w:noWrap/>
            <w:vAlign w:val="center"/>
          </w:tcPr>
          <w:p w14:paraId="3C7C3358">
            <w:pPr>
              <w:pStyle w:val="1111"/>
              <w:bidi w:val="0"/>
              <w:rPr>
                <w:rFonts w:hint="eastAsia"/>
                <w:lang w:val="en-US" w:eastAsia="zh-CN"/>
              </w:rPr>
            </w:pPr>
          </w:p>
        </w:tc>
        <w:tc>
          <w:tcPr>
            <w:tcW w:w="345" w:type="pct"/>
            <w:tcBorders>
              <w:tl2br w:val="nil"/>
              <w:tr2bl w:val="nil"/>
            </w:tcBorders>
            <w:shd w:val="clear" w:color="auto" w:fill="auto"/>
            <w:noWrap/>
            <w:vAlign w:val="center"/>
          </w:tcPr>
          <w:p w14:paraId="7272D791">
            <w:pPr>
              <w:pStyle w:val="1111"/>
              <w:bidi w:val="0"/>
              <w:rPr>
                <w:rFonts w:hint="eastAsia"/>
              </w:rPr>
            </w:pPr>
            <w:r>
              <w:rPr>
                <w:rFonts w:hint="eastAsia"/>
                <w:lang w:val="en-US" w:eastAsia="zh-CN"/>
              </w:rPr>
              <w:t>1</w:t>
            </w:r>
          </w:p>
        </w:tc>
        <w:tc>
          <w:tcPr>
            <w:tcW w:w="1748" w:type="pct"/>
            <w:tcBorders>
              <w:tl2br w:val="nil"/>
              <w:tr2bl w:val="nil"/>
            </w:tcBorders>
            <w:shd w:val="clear" w:color="auto" w:fill="auto"/>
            <w:noWrap/>
            <w:vAlign w:val="center"/>
          </w:tcPr>
          <w:p w14:paraId="2963279F">
            <w:pPr>
              <w:pStyle w:val="1111"/>
              <w:bidi w:val="0"/>
              <w:rPr>
                <w:rFonts w:hint="eastAsia"/>
              </w:rPr>
            </w:pPr>
            <w:r>
              <w:rPr>
                <w:rFonts w:hint="eastAsia"/>
                <w:lang w:val="en-US" w:eastAsia="zh-CN"/>
              </w:rPr>
              <w:t>连云港市食品药品检验检测中心</w:t>
            </w:r>
          </w:p>
        </w:tc>
        <w:tc>
          <w:tcPr>
            <w:tcW w:w="474" w:type="pct"/>
            <w:tcBorders>
              <w:tl2br w:val="nil"/>
              <w:tr2bl w:val="nil"/>
            </w:tcBorders>
            <w:shd w:val="clear" w:color="auto" w:fill="auto"/>
            <w:noWrap/>
            <w:vAlign w:val="center"/>
          </w:tcPr>
          <w:p w14:paraId="4CE4949F">
            <w:pPr>
              <w:pStyle w:val="1111"/>
              <w:bidi w:val="0"/>
              <w:rPr>
                <w:rFonts w:hint="eastAsia"/>
              </w:rPr>
            </w:pPr>
            <w:r>
              <w:rPr>
                <w:rFonts w:hint="eastAsia"/>
                <w:lang w:val="en-US" w:eastAsia="zh-CN"/>
              </w:rPr>
              <w:t>SE</w:t>
            </w:r>
          </w:p>
        </w:tc>
        <w:tc>
          <w:tcPr>
            <w:tcW w:w="872" w:type="pct"/>
            <w:tcBorders>
              <w:tl2br w:val="nil"/>
              <w:tr2bl w:val="nil"/>
            </w:tcBorders>
            <w:shd w:val="clear" w:color="auto" w:fill="auto"/>
            <w:noWrap/>
            <w:vAlign w:val="center"/>
          </w:tcPr>
          <w:p w14:paraId="0C3A96B3">
            <w:pPr>
              <w:pStyle w:val="1111"/>
              <w:bidi w:val="0"/>
              <w:rPr>
                <w:rFonts w:hint="default"/>
                <w:lang w:val="en-US"/>
              </w:rPr>
            </w:pPr>
            <w:r>
              <w:rPr>
                <w:rFonts w:hint="eastAsia"/>
                <w:lang w:val="en-US" w:eastAsia="zh-CN"/>
              </w:rPr>
              <w:t>450</w:t>
            </w:r>
          </w:p>
        </w:tc>
        <w:tc>
          <w:tcPr>
            <w:tcW w:w="612" w:type="pct"/>
            <w:tcBorders>
              <w:tl2br w:val="nil"/>
              <w:tr2bl w:val="nil"/>
            </w:tcBorders>
            <w:shd w:val="clear" w:color="auto" w:fill="auto"/>
            <w:noWrap/>
            <w:vAlign w:val="center"/>
          </w:tcPr>
          <w:p w14:paraId="201A8BED">
            <w:pPr>
              <w:pStyle w:val="1111"/>
              <w:bidi w:val="0"/>
              <w:rPr>
                <w:rFonts w:hint="eastAsia"/>
              </w:rPr>
            </w:pPr>
            <w:r>
              <w:rPr>
                <w:rFonts w:hint="eastAsia"/>
                <w:lang w:val="en-US" w:eastAsia="zh-CN"/>
              </w:rPr>
              <w:t>办公</w:t>
            </w:r>
          </w:p>
        </w:tc>
        <w:tc>
          <w:tcPr>
            <w:tcW w:w="599" w:type="pct"/>
            <w:tcBorders>
              <w:tl2br w:val="nil"/>
              <w:tr2bl w:val="nil"/>
            </w:tcBorders>
            <w:shd w:val="clear" w:color="auto" w:fill="auto"/>
            <w:vAlign w:val="center"/>
          </w:tcPr>
          <w:p w14:paraId="199F8282">
            <w:pPr>
              <w:pStyle w:val="1111"/>
              <w:bidi w:val="0"/>
              <w:rPr>
                <w:rFonts w:hint="default"/>
              </w:rPr>
            </w:pPr>
            <w:r>
              <w:rPr>
                <w:rFonts w:hint="default"/>
                <w:lang w:val="en-US" w:eastAsia="zh-CN"/>
              </w:rPr>
              <w:t>50</w:t>
            </w:r>
          </w:p>
        </w:tc>
      </w:tr>
      <w:tr w14:paraId="1D3ABC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37E3D30A">
            <w:pPr>
              <w:pStyle w:val="1111"/>
              <w:bidi w:val="0"/>
              <w:rPr>
                <w:rFonts w:hint="eastAsia"/>
                <w:lang w:val="en-US" w:eastAsia="zh-CN"/>
              </w:rPr>
            </w:pPr>
          </w:p>
        </w:tc>
        <w:tc>
          <w:tcPr>
            <w:tcW w:w="345" w:type="pct"/>
            <w:tcBorders>
              <w:tl2br w:val="nil"/>
              <w:tr2bl w:val="nil"/>
            </w:tcBorders>
            <w:shd w:val="clear" w:color="auto" w:fill="auto"/>
            <w:noWrap/>
            <w:vAlign w:val="center"/>
          </w:tcPr>
          <w:p w14:paraId="47C47077">
            <w:pPr>
              <w:pStyle w:val="1111"/>
              <w:bidi w:val="0"/>
              <w:rPr>
                <w:rFonts w:hint="eastAsia"/>
              </w:rPr>
            </w:pPr>
            <w:r>
              <w:rPr>
                <w:rFonts w:hint="eastAsia"/>
                <w:lang w:val="en-US" w:eastAsia="zh-CN"/>
              </w:rPr>
              <w:t>2</w:t>
            </w:r>
          </w:p>
        </w:tc>
        <w:tc>
          <w:tcPr>
            <w:tcW w:w="1748" w:type="pct"/>
            <w:tcBorders>
              <w:tl2br w:val="nil"/>
              <w:tr2bl w:val="nil"/>
            </w:tcBorders>
            <w:shd w:val="clear" w:color="auto" w:fill="auto"/>
            <w:noWrap/>
            <w:vAlign w:val="center"/>
          </w:tcPr>
          <w:p w14:paraId="151B5FC2">
            <w:pPr>
              <w:pStyle w:val="1111"/>
              <w:bidi w:val="0"/>
              <w:rPr>
                <w:rFonts w:hint="eastAsia"/>
              </w:rPr>
            </w:pPr>
            <w:r>
              <w:rPr>
                <w:rFonts w:hint="eastAsia"/>
                <w:lang w:val="en-US" w:eastAsia="zh-CN"/>
              </w:rPr>
              <w:t>规划学校用地</w:t>
            </w:r>
          </w:p>
        </w:tc>
        <w:tc>
          <w:tcPr>
            <w:tcW w:w="474" w:type="pct"/>
            <w:tcBorders>
              <w:tl2br w:val="nil"/>
              <w:tr2bl w:val="nil"/>
            </w:tcBorders>
            <w:shd w:val="clear" w:color="auto" w:fill="auto"/>
            <w:noWrap/>
            <w:vAlign w:val="center"/>
          </w:tcPr>
          <w:p w14:paraId="59DB4DB6">
            <w:pPr>
              <w:pStyle w:val="1111"/>
              <w:bidi w:val="0"/>
              <w:rPr>
                <w:rFonts w:hint="eastAsia"/>
              </w:rPr>
            </w:pPr>
            <w:r>
              <w:rPr>
                <w:rFonts w:hint="eastAsia"/>
                <w:lang w:val="en-US" w:eastAsia="zh-CN"/>
              </w:rPr>
              <w:t>S</w:t>
            </w:r>
          </w:p>
        </w:tc>
        <w:tc>
          <w:tcPr>
            <w:tcW w:w="872" w:type="pct"/>
            <w:tcBorders>
              <w:tl2br w:val="nil"/>
              <w:tr2bl w:val="nil"/>
            </w:tcBorders>
            <w:shd w:val="clear" w:color="auto" w:fill="auto"/>
            <w:noWrap/>
            <w:vAlign w:val="center"/>
          </w:tcPr>
          <w:p w14:paraId="61C73DBE">
            <w:pPr>
              <w:pStyle w:val="1111"/>
              <w:bidi w:val="0"/>
              <w:rPr>
                <w:rFonts w:hint="default"/>
                <w:lang w:val="en-US"/>
              </w:rPr>
            </w:pPr>
            <w:r>
              <w:rPr>
                <w:rFonts w:hint="eastAsia"/>
                <w:lang w:val="en-US" w:eastAsia="zh-CN"/>
              </w:rPr>
              <w:t>463</w:t>
            </w:r>
          </w:p>
        </w:tc>
        <w:tc>
          <w:tcPr>
            <w:tcW w:w="612" w:type="pct"/>
            <w:tcBorders>
              <w:tl2br w:val="nil"/>
              <w:tr2bl w:val="nil"/>
            </w:tcBorders>
            <w:shd w:val="clear" w:color="auto" w:fill="auto"/>
            <w:noWrap/>
            <w:vAlign w:val="center"/>
          </w:tcPr>
          <w:p w14:paraId="719C38E6">
            <w:pPr>
              <w:pStyle w:val="1111"/>
              <w:bidi w:val="0"/>
              <w:rPr>
                <w:rFonts w:hint="eastAsia"/>
              </w:rPr>
            </w:pPr>
            <w:r>
              <w:rPr>
                <w:rFonts w:hint="eastAsia"/>
                <w:lang w:val="en-US" w:eastAsia="zh-CN"/>
              </w:rPr>
              <w:t>教育</w:t>
            </w:r>
          </w:p>
        </w:tc>
        <w:tc>
          <w:tcPr>
            <w:tcW w:w="599" w:type="pct"/>
            <w:tcBorders>
              <w:tl2br w:val="nil"/>
              <w:tr2bl w:val="nil"/>
            </w:tcBorders>
            <w:shd w:val="clear" w:color="auto" w:fill="auto"/>
            <w:vAlign w:val="center"/>
          </w:tcPr>
          <w:p w14:paraId="358D6B79">
            <w:pPr>
              <w:pStyle w:val="1111"/>
              <w:bidi w:val="0"/>
              <w:rPr>
                <w:rFonts w:hint="default"/>
              </w:rPr>
            </w:pPr>
            <w:r>
              <w:rPr>
                <w:rFonts w:hint="eastAsia"/>
                <w:lang w:val="en-US" w:eastAsia="zh-CN"/>
              </w:rPr>
              <w:t>-</w:t>
            </w:r>
          </w:p>
        </w:tc>
      </w:tr>
      <w:tr w14:paraId="2DA148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224183C8">
            <w:pPr>
              <w:pStyle w:val="1111"/>
              <w:bidi w:val="0"/>
              <w:rPr>
                <w:rFonts w:hint="eastAsia"/>
                <w:lang w:val="en-US" w:eastAsia="zh-CN"/>
              </w:rPr>
            </w:pPr>
          </w:p>
        </w:tc>
        <w:tc>
          <w:tcPr>
            <w:tcW w:w="345" w:type="pct"/>
            <w:tcBorders>
              <w:tl2br w:val="nil"/>
              <w:tr2bl w:val="nil"/>
            </w:tcBorders>
            <w:shd w:val="clear" w:color="auto" w:fill="auto"/>
            <w:noWrap/>
            <w:vAlign w:val="center"/>
          </w:tcPr>
          <w:p w14:paraId="2A1A4EB8">
            <w:pPr>
              <w:pStyle w:val="1111"/>
              <w:bidi w:val="0"/>
              <w:rPr>
                <w:rFonts w:hint="eastAsia"/>
              </w:rPr>
            </w:pPr>
            <w:r>
              <w:rPr>
                <w:rFonts w:hint="eastAsia"/>
                <w:lang w:val="en-US" w:eastAsia="zh-CN"/>
              </w:rPr>
              <w:t>3</w:t>
            </w:r>
          </w:p>
        </w:tc>
        <w:tc>
          <w:tcPr>
            <w:tcW w:w="1748" w:type="pct"/>
            <w:tcBorders>
              <w:tl2br w:val="nil"/>
              <w:tr2bl w:val="nil"/>
            </w:tcBorders>
            <w:shd w:val="clear" w:color="auto" w:fill="auto"/>
            <w:noWrap/>
            <w:vAlign w:val="center"/>
          </w:tcPr>
          <w:p w14:paraId="77C26521">
            <w:pPr>
              <w:pStyle w:val="1111"/>
              <w:bidi w:val="0"/>
              <w:rPr>
                <w:rFonts w:hint="eastAsia"/>
              </w:rPr>
            </w:pPr>
            <w:r>
              <w:rPr>
                <w:rFonts w:hint="eastAsia"/>
                <w:lang w:val="en-US" w:eastAsia="zh-CN"/>
              </w:rPr>
              <w:t>冠豪名苑</w:t>
            </w:r>
          </w:p>
        </w:tc>
        <w:tc>
          <w:tcPr>
            <w:tcW w:w="474" w:type="pct"/>
            <w:tcBorders>
              <w:tl2br w:val="nil"/>
              <w:tr2bl w:val="nil"/>
            </w:tcBorders>
            <w:shd w:val="clear" w:color="auto" w:fill="auto"/>
            <w:noWrap/>
            <w:vAlign w:val="center"/>
          </w:tcPr>
          <w:p w14:paraId="6532FE04">
            <w:pPr>
              <w:pStyle w:val="1111"/>
              <w:bidi w:val="0"/>
              <w:rPr>
                <w:rFonts w:hint="eastAsia"/>
              </w:rPr>
            </w:pPr>
            <w:r>
              <w:rPr>
                <w:rFonts w:hint="eastAsia"/>
                <w:lang w:val="en-US" w:eastAsia="zh-CN"/>
              </w:rPr>
              <w:t>SE</w:t>
            </w:r>
          </w:p>
        </w:tc>
        <w:tc>
          <w:tcPr>
            <w:tcW w:w="872" w:type="pct"/>
            <w:tcBorders>
              <w:tl2br w:val="nil"/>
              <w:tr2bl w:val="nil"/>
            </w:tcBorders>
            <w:shd w:val="clear" w:color="auto" w:fill="auto"/>
            <w:noWrap/>
            <w:vAlign w:val="center"/>
          </w:tcPr>
          <w:p w14:paraId="78C4DE7E">
            <w:pPr>
              <w:pStyle w:val="1111"/>
              <w:bidi w:val="0"/>
              <w:rPr>
                <w:rFonts w:hint="default"/>
                <w:lang w:val="en-US"/>
              </w:rPr>
            </w:pPr>
            <w:r>
              <w:rPr>
                <w:rFonts w:hint="eastAsia"/>
                <w:lang w:val="en-US" w:eastAsia="zh-CN"/>
              </w:rPr>
              <w:t>594</w:t>
            </w:r>
          </w:p>
        </w:tc>
        <w:tc>
          <w:tcPr>
            <w:tcW w:w="612" w:type="pct"/>
            <w:tcBorders>
              <w:tl2br w:val="nil"/>
              <w:tr2bl w:val="nil"/>
            </w:tcBorders>
            <w:shd w:val="clear" w:color="auto" w:fill="auto"/>
            <w:noWrap/>
            <w:vAlign w:val="center"/>
          </w:tcPr>
          <w:p w14:paraId="786F4B11">
            <w:pPr>
              <w:pStyle w:val="1111"/>
              <w:bidi w:val="0"/>
              <w:rPr>
                <w:rFonts w:hint="eastAsia"/>
              </w:rPr>
            </w:pPr>
            <w:r>
              <w:rPr>
                <w:rFonts w:hint="eastAsia"/>
                <w:lang w:val="en-US" w:eastAsia="zh-CN"/>
              </w:rPr>
              <w:t>居民</w:t>
            </w:r>
          </w:p>
        </w:tc>
        <w:tc>
          <w:tcPr>
            <w:tcW w:w="599" w:type="pct"/>
            <w:tcBorders>
              <w:tl2br w:val="nil"/>
              <w:tr2bl w:val="nil"/>
            </w:tcBorders>
            <w:shd w:val="clear" w:color="auto" w:fill="auto"/>
            <w:vAlign w:val="center"/>
          </w:tcPr>
          <w:p w14:paraId="08882DBF">
            <w:pPr>
              <w:pStyle w:val="1111"/>
              <w:bidi w:val="0"/>
              <w:rPr>
                <w:rFonts w:hint="default"/>
              </w:rPr>
            </w:pPr>
            <w:r>
              <w:rPr>
                <w:rFonts w:hint="default"/>
                <w:lang w:val="en-US" w:eastAsia="zh-CN"/>
              </w:rPr>
              <w:t>2645</w:t>
            </w:r>
          </w:p>
        </w:tc>
      </w:tr>
      <w:tr w14:paraId="27C003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0AB3DE70">
            <w:pPr>
              <w:pStyle w:val="1111"/>
              <w:bidi w:val="0"/>
              <w:rPr>
                <w:rFonts w:hint="eastAsia"/>
                <w:lang w:val="en-US" w:eastAsia="zh-CN"/>
              </w:rPr>
            </w:pPr>
          </w:p>
        </w:tc>
        <w:tc>
          <w:tcPr>
            <w:tcW w:w="345" w:type="pct"/>
            <w:tcBorders>
              <w:tl2br w:val="nil"/>
              <w:tr2bl w:val="nil"/>
            </w:tcBorders>
            <w:shd w:val="clear" w:color="auto" w:fill="auto"/>
            <w:noWrap/>
            <w:vAlign w:val="center"/>
          </w:tcPr>
          <w:p w14:paraId="3E1AD9FB">
            <w:pPr>
              <w:pStyle w:val="1111"/>
              <w:bidi w:val="0"/>
              <w:rPr>
                <w:rFonts w:hint="eastAsia"/>
              </w:rPr>
            </w:pPr>
            <w:r>
              <w:rPr>
                <w:rFonts w:hint="eastAsia"/>
                <w:lang w:val="en-US" w:eastAsia="zh-CN"/>
              </w:rPr>
              <w:t>4</w:t>
            </w:r>
          </w:p>
        </w:tc>
        <w:tc>
          <w:tcPr>
            <w:tcW w:w="1748" w:type="pct"/>
            <w:tcBorders>
              <w:tl2br w:val="nil"/>
              <w:tr2bl w:val="nil"/>
            </w:tcBorders>
            <w:shd w:val="clear" w:color="auto" w:fill="auto"/>
            <w:noWrap/>
            <w:vAlign w:val="center"/>
          </w:tcPr>
          <w:p w14:paraId="0649CB3B">
            <w:pPr>
              <w:pStyle w:val="1111"/>
              <w:bidi w:val="0"/>
              <w:rPr>
                <w:rFonts w:hint="eastAsia"/>
              </w:rPr>
            </w:pPr>
            <w:r>
              <w:rPr>
                <w:rFonts w:hint="eastAsia"/>
                <w:lang w:val="en-US" w:eastAsia="zh-CN"/>
              </w:rPr>
              <w:t>规划居住用地1</w:t>
            </w:r>
          </w:p>
        </w:tc>
        <w:tc>
          <w:tcPr>
            <w:tcW w:w="474" w:type="pct"/>
            <w:tcBorders>
              <w:tl2br w:val="nil"/>
              <w:tr2bl w:val="nil"/>
            </w:tcBorders>
            <w:shd w:val="clear" w:color="auto" w:fill="auto"/>
            <w:noWrap/>
            <w:vAlign w:val="center"/>
          </w:tcPr>
          <w:p w14:paraId="793AADA5">
            <w:pPr>
              <w:pStyle w:val="1111"/>
              <w:bidi w:val="0"/>
              <w:rPr>
                <w:rFonts w:hint="eastAsia"/>
              </w:rPr>
            </w:pPr>
            <w:r>
              <w:rPr>
                <w:rFonts w:hint="eastAsia"/>
                <w:lang w:val="en-US" w:eastAsia="zh-CN"/>
              </w:rPr>
              <w:t>NE</w:t>
            </w:r>
          </w:p>
        </w:tc>
        <w:tc>
          <w:tcPr>
            <w:tcW w:w="872" w:type="pct"/>
            <w:tcBorders>
              <w:tl2br w:val="nil"/>
              <w:tr2bl w:val="nil"/>
            </w:tcBorders>
            <w:shd w:val="clear" w:color="auto" w:fill="auto"/>
            <w:noWrap/>
            <w:vAlign w:val="center"/>
          </w:tcPr>
          <w:p w14:paraId="7B8D3804">
            <w:pPr>
              <w:pStyle w:val="1111"/>
              <w:bidi w:val="0"/>
              <w:rPr>
                <w:rFonts w:hint="default"/>
                <w:lang w:val="en-US"/>
              </w:rPr>
            </w:pPr>
            <w:r>
              <w:rPr>
                <w:rFonts w:hint="eastAsia"/>
                <w:lang w:val="en-US" w:eastAsia="zh-CN"/>
              </w:rPr>
              <w:t>720</w:t>
            </w:r>
          </w:p>
        </w:tc>
        <w:tc>
          <w:tcPr>
            <w:tcW w:w="612" w:type="pct"/>
            <w:tcBorders>
              <w:tl2br w:val="nil"/>
              <w:tr2bl w:val="nil"/>
            </w:tcBorders>
            <w:shd w:val="clear" w:color="auto" w:fill="auto"/>
            <w:noWrap/>
            <w:vAlign w:val="center"/>
          </w:tcPr>
          <w:p w14:paraId="4FF1893E">
            <w:pPr>
              <w:pStyle w:val="1111"/>
              <w:bidi w:val="0"/>
              <w:rPr>
                <w:rFonts w:hint="eastAsia"/>
              </w:rPr>
            </w:pPr>
            <w:r>
              <w:rPr>
                <w:rFonts w:hint="eastAsia"/>
                <w:lang w:val="en-US" w:eastAsia="zh-CN"/>
              </w:rPr>
              <w:t>居民</w:t>
            </w:r>
          </w:p>
        </w:tc>
        <w:tc>
          <w:tcPr>
            <w:tcW w:w="599" w:type="pct"/>
            <w:tcBorders>
              <w:tl2br w:val="nil"/>
              <w:tr2bl w:val="nil"/>
            </w:tcBorders>
            <w:shd w:val="clear" w:color="auto" w:fill="auto"/>
            <w:vAlign w:val="center"/>
          </w:tcPr>
          <w:p w14:paraId="61550970">
            <w:pPr>
              <w:pStyle w:val="1111"/>
              <w:bidi w:val="0"/>
              <w:rPr>
                <w:rFonts w:hint="default"/>
              </w:rPr>
            </w:pPr>
            <w:r>
              <w:rPr>
                <w:rFonts w:hint="eastAsia"/>
                <w:lang w:val="en-US" w:eastAsia="zh-CN"/>
              </w:rPr>
              <w:t>-</w:t>
            </w:r>
          </w:p>
        </w:tc>
      </w:tr>
      <w:tr w14:paraId="1BF08D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68C739AB">
            <w:pPr>
              <w:pStyle w:val="1111"/>
              <w:bidi w:val="0"/>
              <w:rPr>
                <w:rFonts w:hint="eastAsia"/>
                <w:lang w:val="en-US" w:eastAsia="zh-CN"/>
              </w:rPr>
            </w:pPr>
          </w:p>
        </w:tc>
        <w:tc>
          <w:tcPr>
            <w:tcW w:w="345" w:type="pct"/>
            <w:tcBorders>
              <w:tl2br w:val="nil"/>
              <w:tr2bl w:val="nil"/>
            </w:tcBorders>
            <w:shd w:val="clear" w:color="auto" w:fill="auto"/>
            <w:noWrap/>
            <w:vAlign w:val="center"/>
          </w:tcPr>
          <w:p w14:paraId="569E6EA5">
            <w:pPr>
              <w:pStyle w:val="1111"/>
              <w:bidi w:val="0"/>
              <w:rPr>
                <w:rFonts w:hint="eastAsia"/>
              </w:rPr>
            </w:pPr>
            <w:r>
              <w:rPr>
                <w:rFonts w:hint="eastAsia"/>
                <w:lang w:val="en-US" w:eastAsia="zh-CN"/>
              </w:rPr>
              <w:t>5</w:t>
            </w:r>
          </w:p>
        </w:tc>
        <w:tc>
          <w:tcPr>
            <w:tcW w:w="1748" w:type="pct"/>
            <w:tcBorders>
              <w:tl2br w:val="nil"/>
              <w:tr2bl w:val="nil"/>
            </w:tcBorders>
            <w:shd w:val="clear" w:color="auto" w:fill="auto"/>
            <w:noWrap/>
            <w:vAlign w:val="center"/>
          </w:tcPr>
          <w:p w14:paraId="3520E851">
            <w:pPr>
              <w:pStyle w:val="1111"/>
              <w:bidi w:val="0"/>
              <w:rPr>
                <w:rFonts w:hint="eastAsia"/>
              </w:rPr>
            </w:pPr>
            <w:r>
              <w:rPr>
                <w:rFonts w:hint="eastAsia"/>
                <w:lang w:val="en-US" w:eastAsia="zh-CN"/>
              </w:rPr>
              <w:t>瑞园青年公寓</w:t>
            </w:r>
          </w:p>
        </w:tc>
        <w:tc>
          <w:tcPr>
            <w:tcW w:w="474" w:type="pct"/>
            <w:tcBorders>
              <w:tl2br w:val="nil"/>
              <w:tr2bl w:val="nil"/>
            </w:tcBorders>
            <w:shd w:val="clear" w:color="auto" w:fill="auto"/>
            <w:noWrap/>
            <w:vAlign w:val="center"/>
          </w:tcPr>
          <w:p w14:paraId="3301C142">
            <w:pPr>
              <w:pStyle w:val="1111"/>
              <w:bidi w:val="0"/>
              <w:rPr>
                <w:rFonts w:hint="eastAsia"/>
              </w:rPr>
            </w:pPr>
            <w:r>
              <w:rPr>
                <w:rFonts w:hint="eastAsia"/>
                <w:lang w:val="en-US" w:eastAsia="zh-CN"/>
              </w:rPr>
              <w:t>NE</w:t>
            </w:r>
          </w:p>
        </w:tc>
        <w:tc>
          <w:tcPr>
            <w:tcW w:w="872" w:type="pct"/>
            <w:tcBorders>
              <w:tl2br w:val="nil"/>
              <w:tr2bl w:val="nil"/>
            </w:tcBorders>
            <w:shd w:val="clear" w:color="auto" w:fill="auto"/>
            <w:noWrap/>
            <w:vAlign w:val="center"/>
          </w:tcPr>
          <w:p w14:paraId="06A3590F">
            <w:pPr>
              <w:pStyle w:val="1111"/>
              <w:bidi w:val="0"/>
              <w:rPr>
                <w:rFonts w:hint="default"/>
                <w:lang w:val="en-US"/>
              </w:rPr>
            </w:pPr>
            <w:r>
              <w:rPr>
                <w:rFonts w:hint="eastAsia"/>
                <w:lang w:val="en-US" w:eastAsia="zh-CN"/>
              </w:rPr>
              <w:t>992</w:t>
            </w:r>
          </w:p>
        </w:tc>
        <w:tc>
          <w:tcPr>
            <w:tcW w:w="612" w:type="pct"/>
            <w:tcBorders>
              <w:tl2br w:val="nil"/>
              <w:tr2bl w:val="nil"/>
            </w:tcBorders>
            <w:shd w:val="clear" w:color="auto" w:fill="auto"/>
            <w:noWrap/>
            <w:vAlign w:val="center"/>
          </w:tcPr>
          <w:p w14:paraId="2AE4D55F">
            <w:pPr>
              <w:pStyle w:val="1111"/>
              <w:bidi w:val="0"/>
              <w:rPr>
                <w:rFonts w:hint="eastAsia"/>
              </w:rPr>
            </w:pPr>
            <w:r>
              <w:rPr>
                <w:rFonts w:hint="eastAsia"/>
                <w:lang w:val="en-US" w:eastAsia="zh-CN"/>
              </w:rPr>
              <w:t>居民</w:t>
            </w:r>
          </w:p>
        </w:tc>
        <w:tc>
          <w:tcPr>
            <w:tcW w:w="599" w:type="pct"/>
            <w:tcBorders>
              <w:tl2br w:val="nil"/>
              <w:tr2bl w:val="nil"/>
            </w:tcBorders>
            <w:shd w:val="clear" w:color="auto" w:fill="auto"/>
            <w:vAlign w:val="center"/>
          </w:tcPr>
          <w:p w14:paraId="535B662F">
            <w:pPr>
              <w:pStyle w:val="1111"/>
              <w:bidi w:val="0"/>
              <w:rPr>
                <w:rFonts w:hint="default"/>
              </w:rPr>
            </w:pPr>
            <w:r>
              <w:rPr>
                <w:rFonts w:hint="default"/>
                <w:lang w:val="en-US" w:eastAsia="zh-CN"/>
              </w:rPr>
              <w:t>1500</w:t>
            </w:r>
          </w:p>
        </w:tc>
      </w:tr>
      <w:tr w14:paraId="3D9E54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39B863FB">
            <w:pPr>
              <w:pStyle w:val="1111"/>
              <w:bidi w:val="0"/>
              <w:rPr>
                <w:rFonts w:hint="eastAsia"/>
                <w:lang w:val="en-US" w:eastAsia="zh-CN"/>
              </w:rPr>
            </w:pPr>
          </w:p>
        </w:tc>
        <w:tc>
          <w:tcPr>
            <w:tcW w:w="345" w:type="pct"/>
            <w:tcBorders>
              <w:tl2br w:val="nil"/>
              <w:tr2bl w:val="nil"/>
            </w:tcBorders>
            <w:shd w:val="clear" w:color="auto" w:fill="auto"/>
            <w:noWrap/>
            <w:vAlign w:val="center"/>
          </w:tcPr>
          <w:p w14:paraId="0D61B6F5">
            <w:pPr>
              <w:pStyle w:val="1111"/>
              <w:bidi w:val="0"/>
              <w:rPr>
                <w:rFonts w:hint="eastAsia"/>
              </w:rPr>
            </w:pPr>
            <w:r>
              <w:rPr>
                <w:rFonts w:hint="eastAsia"/>
                <w:lang w:val="en-US" w:eastAsia="zh-CN"/>
              </w:rPr>
              <w:t>6</w:t>
            </w:r>
          </w:p>
        </w:tc>
        <w:tc>
          <w:tcPr>
            <w:tcW w:w="1748" w:type="pct"/>
            <w:tcBorders>
              <w:tl2br w:val="nil"/>
              <w:tr2bl w:val="nil"/>
            </w:tcBorders>
            <w:shd w:val="clear" w:color="auto" w:fill="auto"/>
            <w:noWrap/>
            <w:vAlign w:val="center"/>
          </w:tcPr>
          <w:p w14:paraId="6F57854C">
            <w:pPr>
              <w:pStyle w:val="1111"/>
              <w:bidi w:val="0"/>
              <w:rPr>
                <w:rFonts w:hint="eastAsia"/>
              </w:rPr>
            </w:pPr>
            <w:r>
              <w:rPr>
                <w:rFonts w:hint="eastAsia"/>
                <w:lang w:val="en-US" w:eastAsia="zh-CN"/>
              </w:rPr>
              <w:t>金辉优步花园2期</w:t>
            </w:r>
          </w:p>
        </w:tc>
        <w:tc>
          <w:tcPr>
            <w:tcW w:w="474" w:type="pct"/>
            <w:tcBorders>
              <w:tl2br w:val="nil"/>
              <w:tr2bl w:val="nil"/>
            </w:tcBorders>
            <w:shd w:val="clear" w:color="auto" w:fill="auto"/>
            <w:noWrap/>
            <w:vAlign w:val="center"/>
          </w:tcPr>
          <w:p w14:paraId="2831B4D9">
            <w:pPr>
              <w:pStyle w:val="1111"/>
              <w:bidi w:val="0"/>
              <w:rPr>
                <w:rFonts w:hint="eastAsia"/>
              </w:rPr>
            </w:pPr>
            <w:r>
              <w:rPr>
                <w:rFonts w:hint="eastAsia"/>
                <w:lang w:val="en-US" w:eastAsia="zh-CN"/>
              </w:rPr>
              <w:t>NE</w:t>
            </w:r>
          </w:p>
        </w:tc>
        <w:tc>
          <w:tcPr>
            <w:tcW w:w="872" w:type="pct"/>
            <w:tcBorders>
              <w:tl2br w:val="nil"/>
              <w:tr2bl w:val="nil"/>
            </w:tcBorders>
            <w:shd w:val="clear" w:color="auto" w:fill="auto"/>
            <w:noWrap/>
            <w:vAlign w:val="center"/>
          </w:tcPr>
          <w:p w14:paraId="0AE01805">
            <w:pPr>
              <w:pStyle w:val="1111"/>
              <w:bidi w:val="0"/>
              <w:rPr>
                <w:rFonts w:hint="eastAsia"/>
              </w:rPr>
            </w:pPr>
            <w:r>
              <w:rPr>
                <w:rFonts w:hint="eastAsia"/>
                <w:lang w:val="en-US" w:eastAsia="zh-CN"/>
              </w:rPr>
              <w:t>1162</w:t>
            </w:r>
          </w:p>
        </w:tc>
        <w:tc>
          <w:tcPr>
            <w:tcW w:w="612" w:type="pct"/>
            <w:tcBorders>
              <w:tl2br w:val="nil"/>
              <w:tr2bl w:val="nil"/>
            </w:tcBorders>
            <w:shd w:val="clear" w:color="auto" w:fill="auto"/>
            <w:noWrap/>
            <w:vAlign w:val="center"/>
          </w:tcPr>
          <w:p w14:paraId="0937524A">
            <w:pPr>
              <w:pStyle w:val="1111"/>
              <w:bidi w:val="0"/>
              <w:rPr>
                <w:rFonts w:hint="eastAsia"/>
              </w:rPr>
            </w:pPr>
            <w:r>
              <w:rPr>
                <w:rFonts w:hint="eastAsia"/>
                <w:lang w:val="en-US" w:eastAsia="zh-CN"/>
              </w:rPr>
              <w:t>居民</w:t>
            </w:r>
          </w:p>
        </w:tc>
        <w:tc>
          <w:tcPr>
            <w:tcW w:w="599" w:type="pct"/>
            <w:tcBorders>
              <w:tl2br w:val="nil"/>
              <w:tr2bl w:val="nil"/>
            </w:tcBorders>
            <w:shd w:val="clear" w:color="auto" w:fill="auto"/>
            <w:vAlign w:val="center"/>
          </w:tcPr>
          <w:p w14:paraId="40B60357">
            <w:pPr>
              <w:pStyle w:val="1111"/>
              <w:bidi w:val="0"/>
              <w:rPr>
                <w:rFonts w:hint="default"/>
              </w:rPr>
            </w:pPr>
            <w:r>
              <w:rPr>
                <w:rFonts w:hint="default"/>
                <w:lang w:val="en-US" w:eastAsia="zh-CN"/>
              </w:rPr>
              <w:t>3819</w:t>
            </w:r>
          </w:p>
        </w:tc>
      </w:tr>
      <w:tr w14:paraId="7D236B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4AD1B56D">
            <w:pPr>
              <w:pStyle w:val="1111"/>
              <w:bidi w:val="0"/>
              <w:rPr>
                <w:rFonts w:hint="eastAsia"/>
                <w:lang w:val="en-US" w:eastAsia="zh-CN"/>
              </w:rPr>
            </w:pPr>
          </w:p>
        </w:tc>
        <w:tc>
          <w:tcPr>
            <w:tcW w:w="345" w:type="pct"/>
            <w:tcBorders>
              <w:tl2br w:val="nil"/>
              <w:tr2bl w:val="nil"/>
            </w:tcBorders>
            <w:shd w:val="clear" w:color="auto" w:fill="auto"/>
            <w:noWrap/>
            <w:vAlign w:val="center"/>
          </w:tcPr>
          <w:p w14:paraId="4B27582D">
            <w:pPr>
              <w:pStyle w:val="1111"/>
              <w:bidi w:val="0"/>
              <w:rPr>
                <w:rFonts w:hint="eastAsia"/>
              </w:rPr>
            </w:pPr>
            <w:r>
              <w:rPr>
                <w:rFonts w:hint="eastAsia"/>
                <w:lang w:val="en-US" w:eastAsia="zh-CN"/>
              </w:rPr>
              <w:t>7</w:t>
            </w:r>
          </w:p>
        </w:tc>
        <w:tc>
          <w:tcPr>
            <w:tcW w:w="1748" w:type="pct"/>
            <w:tcBorders>
              <w:tl2br w:val="nil"/>
              <w:tr2bl w:val="nil"/>
            </w:tcBorders>
            <w:shd w:val="clear" w:color="auto" w:fill="auto"/>
            <w:noWrap/>
            <w:vAlign w:val="center"/>
          </w:tcPr>
          <w:p w14:paraId="14254B1C">
            <w:pPr>
              <w:pStyle w:val="1111"/>
              <w:bidi w:val="0"/>
              <w:rPr>
                <w:rFonts w:hint="eastAsia"/>
              </w:rPr>
            </w:pPr>
            <w:r>
              <w:rPr>
                <w:rFonts w:hint="eastAsia"/>
                <w:lang w:val="en-US" w:eastAsia="zh-CN"/>
              </w:rPr>
              <w:t>新城花园</w:t>
            </w:r>
          </w:p>
        </w:tc>
        <w:tc>
          <w:tcPr>
            <w:tcW w:w="474" w:type="pct"/>
            <w:tcBorders>
              <w:tl2br w:val="nil"/>
              <w:tr2bl w:val="nil"/>
            </w:tcBorders>
            <w:shd w:val="clear" w:color="auto" w:fill="auto"/>
            <w:noWrap/>
            <w:vAlign w:val="center"/>
          </w:tcPr>
          <w:p w14:paraId="40485DED">
            <w:pPr>
              <w:pStyle w:val="1111"/>
              <w:bidi w:val="0"/>
              <w:rPr>
                <w:rFonts w:hint="eastAsia"/>
              </w:rPr>
            </w:pPr>
            <w:r>
              <w:rPr>
                <w:rFonts w:hint="eastAsia"/>
                <w:lang w:val="en-US" w:eastAsia="zh-CN"/>
              </w:rPr>
              <w:t>E</w:t>
            </w:r>
          </w:p>
        </w:tc>
        <w:tc>
          <w:tcPr>
            <w:tcW w:w="872" w:type="pct"/>
            <w:tcBorders>
              <w:tl2br w:val="nil"/>
              <w:tr2bl w:val="nil"/>
            </w:tcBorders>
            <w:shd w:val="clear" w:color="auto" w:fill="auto"/>
            <w:noWrap/>
            <w:vAlign w:val="center"/>
          </w:tcPr>
          <w:p w14:paraId="6770A4DF">
            <w:pPr>
              <w:pStyle w:val="1111"/>
              <w:bidi w:val="0"/>
              <w:rPr>
                <w:rFonts w:hint="eastAsia"/>
              </w:rPr>
            </w:pPr>
            <w:r>
              <w:rPr>
                <w:rFonts w:hint="eastAsia"/>
                <w:lang w:val="en-US" w:eastAsia="zh-CN"/>
              </w:rPr>
              <w:t>1173</w:t>
            </w:r>
          </w:p>
        </w:tc>
        <w:tc>
          <w:tcPr>
            <w:tcW w:w="612" w:type="pct"/>
            <w:tcBorders>
              <w:tl2br w:val="nil"/>
              <w:tr2bl w:val="nil"/>
            </w:tcBorders>
            <w:shd w:val="clear" w:color="auto" w:fill="auto"/>
            <w:noWrap/>
            <w:vAlign w:val="center"/>
          </w:tcPr>
          <w:p w14:paraId="39D7B12C">
            <w:pPr>
              <w:pStyle w:val="1111"/>
              <w:bidi w:val="0"/>
              <w:rPr>
                <w:rFonts w:hint="eastAsia"/>
              </w:rPr>
            </w:pPr>
            <w:r>
              <w:rPr>
                <w:rFonts w:hint="eastAsia"/>
                <w:lang w:val="en-US" w:eastAsia="zh-CN"/>
              </w:rPr>
              <w:t>居民</w:t>
            </w:r>
          </w:p>
        </w:tc>
        <w:tc>
          <w:tcPr>
            <w:tcW w:w="599" w:type="pct"/>
            <w:tcBorders>
              <w:tl2br w:val="nil"/>
              <w:tr2bl w:val="nil"/>
            </w:tcBorders>
            <w:shd w:val="clear" w:color="auto" w:fill="auto"/>
            <w:vAlign w:val="center"/>
          </w:tcPr>
          <w:p w14:paraId="6598DD1A">
            <w:pPr>
              <w:pStyle w:val="1111"/>
              <w:bidi w:val="0"/>
              <w:rPr>
                <w:rFonts w:hint="default"/>
              </w:rPr>
            </w:pPr>
            <w:r>
              <w:rPr>
                <w:rFonts w:hint="default"/>
                <w:lang w:val="en-US" w:eastAsia="zh-CN"/>
              </w:rPr>
              <w:t>3780</w:t>
            </w:r>
          </w:p>
        </w:tc>
      </w:tr>
      <w:tr w14:paraId="606FA0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50E452CE">
            <w:pPr>
              <w:pStyle w:val="1111"/>
              <w:bidi w:val="0"/>
              <w:rPr>
                <w:rFonts w:hint="eastAsia"/>
                <w:lang w:val="en-US" w:eastAsia="zh-CN"/>
              </w:rPr>
            </w:pPr>
          </w:p>
        </w:tc>
        <w:tc>
          <w:tcPr>
            <w:tcW w:w="345" w:type="pct"/>
            <w:tcBorders>
              <w:tl2br w:val="nil"/>
              <w:tr2bl w:val="nil"/>
            </w:tcBorders>
            <w:shd w:val="clear" w:color="auto" w:fill="auto"/>
            <w:noWrap/>
            <w:vAlign w:val="center"/>
          </w:tcPr>
          <w:p w14:paraId="305EE8AD">
            <w:pPr>
              <w:pStyle w:val="1111"/>
              <w:bidi w:val="0"/>
              <w:rPr>
                <w:rFonts w:hint="eastAsia"/>
              </w:rPr>
            </w:pPr>
            <w:r>
              <w:rPr>
                <w:rFonts w:hint="eastAsia"/>
                <w:lang w:val="en-US" w:eastAsia="zh-CN"/>
              </w:rPr>
              <w:t>8</w:t>
            </w:r>
          </w:p>
        </w:tc>
        <w:tc>
          <w:tcPr>
            <w:tcW w:w="1748" w:type="pct"/>
            <w:tcBorders>
              <w:tl2br w:val="nil"/>
              <w:tr2bl w:val="nil"/>
            </w:tcBorders>
            <w:shd w:val="clear" w:color="auto" w:fill="auto"/>
            <w:noWrap/>
            <w:vAlign w:val="center"/>
          </w:tcPr>
          <w:p w14:paraId="333E948F">
            <w:pPr>
              <w:pStyle w:val="1111"/>
              <w:bidi w:val="0"/>
              <w:rPr>
                <w:rFonts w:hint="eastAsia"/>
              </w:rPr>
            </w:pPr>
            <w:r>
              <w:rPr>
                <w:rFonts w:hint="eastAsia"/>
                <w:lang w:val="en-US" w:eastAsia="zh-CN"/>
              </w:rPr>
              <w:t>国家电网省电力公司职业技能培训基地</w:t>
            </w:r>
          </w:p>
        </w:tc>
        <w:tc>
          <w:tcPr>
            <w:tcW w:w="474" w:type="pct"/>
            <w:tcBorders>
              <w:tl2br w:val="nil"/>
              <w:tr2bl w:val="nil"/>
            </w:tcBorders>
            <w:shd w:val="clear" w:color="auto" w:fill="auto"/>
            <w:noWrap/>
            <w:vAlign w:val="center"/>
          </w:tcPr>
          <w:p w14:paraId="7CA7D34D">
            <w:pPr>
              <w:pStyle w:val="1111"/>
              <w:bidi w:val="0"/>
              <w:rPr>
                <w:rFonts w:hint="eastAsia"/>
              </w:rPr>
            </w:pPr>
            <w:r>
              <w:rPr>
                <w:rFonts w:hint="eastAsia"/>
                <w:lang w:val="en-US" w:eastAsia="zh-CN"/>
              </w:rPr>
              <w:t>NE</w:t>
            </w:r>
          </w:p>
        </w:tc>
        <w:tc>
          <w:tcPr>
            <w:tcW w:w="872" w:type="pct"/>
            <w:tcBorders>
              <w:tl2br w:val="nil"/>
              <w:tr2bl w:val="nil"/>
            </w:tcBorders>
            <w:shd w:val="clear" w:color="auto" w:fill="auto"/>
            <w:noWrap/>
            <w:vAlign w:val="center"/>
          </w:tcPr>
          <w:p w14:paraId="6F1B68C3">
            <w:pPr>
              <w:pStyle w:val="1111"/>
              <w:bidi w:val="0"/>
              <w:rPr>
                <w:rFonts w:hint="eastAsia"/>
              </w:rPr>
            </w:pPr>
            <w:r>
              <w:rPr>
                <w:rFonts w:hint="eastAsia"/>
                <w:lang w:val="en-US" w:eastAsia="zh-CN"/>
              </w:rPr>
              <w:t>1246</w:t>
            </w:r>
          </w:p>
        </w:tc>
        <w:tc>
          <w:tcPr>
            <w:tcW w:w="612" w:type="pct"/>
            <w:tcBorders>
              <w:tl2br w:val="nil"/>
              <w:tr2bl w:val="nil"/>
            </w:tcBorders>
            <w:shd w:val="clear" w:color="auto" w:fill="auto"/>
            <w:noWrap/>
            <w:vAlign w:val="center"/>
          </w:tcPr>
          <w:p w14:paraId="46F1E99D">
            <w:pPr>
              <w:pStyle w:val="1111"/>
              <w:bidi w:val="0"/>
              <w:rPr>
                <w:rFonts w:hint="eastAsia"/>
              </w:rPr>
            </w:pPr>
            <w:r>
              <w:rPr>
                <w:rFonts w:hint="eastAsia"/>
                <w:lang w:val="en-US" w:eastAsia="zh-CN"/>
              </w:rPr>
              <w:t>教育</w:t>
            </w:r>
          </w:p>
        </w:tc>
        <w:tc>
          <w:tcPr>
            <w:tcW w:w="599" w:type="pct"/>
            <w:tcBorders>
              <w:tl2br w:val="nil"/>
              <w:tr2bl w:val="nil"/>
            </w:tcBorders>
            <w:shd w:val="clear" w:color="auto" w:fill="auto"/>
            <w:vAlign w:val="center"/>
          </w:tcPr>
          <w:p w14:paraId="52DAF39F">
            <w:pPr>
              <w:pStyle w:val="1111"/>
              <w:bidi w:val="0"/>
              <w:rPr>
                <w:rFonts w:hint="default"/>
              </w:rPr>
            </w:pPr>
            <w:r>
              <w:rPr>
                <w:rFonts w:hint="default"/>
                <w:lang w:val="en-US" w:eastAsia="zh-CN"/>
              </w:rPr>
              <w:t>100</w:t>
            </w:r>
          </w:p>
        </w:tc>
      </w:tr>
      <w:tr w14:paraId="775E1A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1470E0D6">
            <w:pPr>
              <w:pStyle w:val="1111"/>
              <w:bidi w:val="0"/>
              <w:rPr>
                <w:rFonts w:hint="eastAsia"/>
                <w:lang w:val="en-US" w:eastAsia="zh-CN"/>
              </w:rPr>
            </w:pPr>
          </w:p>
        </w:tc>
        <w:tc>
          <w:tcPr>
            <w:tcW w:w="345" w:type="pct"/>
            <w:tcBorders>
              <w:tl2br w:val="nil"/>
              <w:tr2bl w:val="nil"/>
            </w:tcBorders>
            <w:shd w:val="clear" w:color="auto" w:fill="auto"/>
            <w:noWrap/>
            <w:vAlign w:val="center"/>
          </w:tcPr>
          <w:p w14:paraId="61643245">
            <w:pPr>
              <w:pStyle w:val="1111"/>
              <w:bidi w:val="0"/>
              <w:rPr>
                <w:rFonts w:hint="eastAsia"/>
              </w:rPr>
            </w:pPr>
            <w:r>
              <w:rPr>
                <w:rFonts w:hint="eastAsia"/>
                <w:lang w:val="en-US" w:eastAsia="zh-CN"/>
              </w:rPr>
              <w:t>9</w:t>
            </w:r>
          </w:p>
        </w:tc>
        <w:tc>
          <w:tcPr>
            <w:tcW w:w="1748" w:type="pct"/>
            <w:tcBorders>
              <w:tl2br w:val="nil"/>
              <w:tr2bl w:val="nil"/>
            </w:tcBorders>
            <w:shd w:val="clear" w:color="auto" w:fill="auto"/>
            <w:noWrap/>
            <w:vAlign w:val="center"/>
          </w:tcPr>
          <w:p w14:paraId="223A0BC5">
            <w:pPr>
              <w:pStyle w:val="1111"/>
              <w:bidi w:val="0"/>
              <w:rPr>
                <w:rFonts w:hint="eastAsia"/>
              </w:rPr>
            </w:pPr>
            <w:r>
              <w:rPr>
                <w:rFonts w:hint="eastAsia"/>
                <w:lang w:val="en-US" w:eastAsia="zh-CN"/>
              </w:rPr>
              <w:t>台北盐场小学</w:t>
            </w:r>
          </w:p>
        </w:tc>
        <w:tc>
          <w:tcPr>
            <w:tcW w:w="474" w:type="pct"/>
            <w:tcBorders>
              <w:tl2br w:val="nil"/>
              <w:tr2bl w:val="nil"/>
            </w:tcBorders>
            <w:shd w:val="clear" w:color="auto" w:fill="auto"/>
            <w:noWrap/>
            <w:vAlign w:val="center"/>
          </w:tcPr>
          <w:p w14:paraId="3C9F179D">
            <w:pPr>
              <w:pStyle w:val="1111"/>
              <w:bidi w:val="0"/>
              <w:rPr>
                <w:rFonts w:hint="eastAsia"/>
              </w:rPr>
            </w:pPr>
            <w:r>
              <w:rPr>
                <w:rFonts w:hint="eastAsia"/>
                <w:lang w:val="en-US" w:eastAsia="zh-CN"/>
              </w:rPr>
              <w:t>E</w:t>
            </w:r>
          </w:p>
        </w:tc>
        <w:tc>
          <w:tcPr>
            <w:tcW w:w="872" w:type="pct"/>
            <w:tcBorders>
              <w:tl2br w:val="nil"/>
              <w:tr2bl w:val="nil"/>
            </w:tcBorders>
            <w:shd w:val="clear" w:color="auto" w:fill="auto"/>
            <w:noWrap/>
            <w:vAlign w:val="center"/>
          </w:tcPr>
          <w:p w14:paraId="154DC56E">
            <w:pPr>
              <w:pStyle w:val="1111"/>
              <w:bidi w:val="0"/>
              <w:rPr>
                <w:rFonts w:hint="eastAsia"/>
              </w:rPr>
            </w:pPr>
            <w:r>
              <w:rPr>
                <w:rFonts w:hint="eastAsia"/>
                <w:lang w:val="en-US" w:eastAsia="zh-CN"/>
              </w:rPr>
              <w:t>1298</w:t>
            </w:r>
          </w:p>
        </w:tc>
        <w:tc>
          <w:tcPr>
            <w:tcW w:w="612" w:type="pct"/>
            <w:tcBorders>
              <w:tl2br w:val="nil"/>
              <w:tr2bl w:val="nil"/>
            </w:tcBorders>
            <w:shd w:val="clear" w:color="auto" w:fill="auto"/>
            <w:noWrap/>
            <w:vAlign w:val="center"/>
          </w:tcPr>
          <w:p w14:paraId="2E91F340">
            <w:pPr>
              <w:pStyle w:val="1111"/>
              <w:bidi w:val="0"/>
              <w:rPr>
                <w:rFonts w:hint="eastAsia"/>
              </w:rPr>
            </w:pPr>
            <w:r>
              <w:rPr>
                <w:rFonts w:hint="eastAsia"/>
                <w:lang w:val="en-US" w:eastAsia="zh-CN"/>
              </w:rPr>
              <w:t>教育</w:t>
            </w:r>
          </w:p>
        </w:tc>
        <w:tc>
          <w:tcPr>
            <w:tcW w:w="599" w:type="pct"/>
            <w:tcBorders>
              <w:tl2br w:val="nil"/>
              <w:tr2bl w:val="nil"/>
            </w:tcBorders>
            <w:shd w:val="clear" w:color="auto" w:fill="auto"/>
            <w:vAlign w:val="center"/>
          </w:tcPr>
          <w:p w14:paraId="23B5BBAB">
            <w:pPr>
              <w:pStyle w:val="1111"/>
              <w:bidi w:val="0"/>
              <w:rPr>
                <w:rFonts w:hint="default"/>
              </w:rPr>
            </w:pPr>
            <w:r>
              <w:rPr>
                <w:rFonts w:hint="default"/>
                <w:lang w:val="en-US" w:eastAsia="zh-CN"/>
              </w:rPr>
              <w:t>500</w:t>
            </w:r>
          </w:p>
        </w:tc>
      </w:tr>
      <w:tr w14:paraId="645BAC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2BFFF133">
            <w:pPr>
              <w:pStyle w:val="1111"/>
              <w:bidi w:val="0"/>
              <w:rPr>
                <w:rFonts w:hint="eastAsia"/>
                <w:lang w:val="en-US" w:eastAsia="zh-CN"/>
              </w:rPr>
            </w:pPr>
          </w:p>
        </w:tc>
        <w:tc>
          <w:tcPr>
            <w:tcW w:w="345" w:type="pct"/>
            <w:tcBorders>
              <w:tl2br w:val="nil"/>
              <w:tr2bl w:val="nil"/>
            </w:tcBorders>
            <w:shd w:val="clear" w:color="auto" w:fill="auto"/>
            <w:noWrap/>
            <w:vAlign w:val="center"/>
          </w:tcPr>
          <w:p w14:paraId="08C4A63A">
            <w:pPr>
              <w:pStyle w:val="1111"/>
              <w:bidi w:val="0"/>
              <w:rPr>
                <w:rFonts w:hint="eastAsia"/>
              </w:rPr>
            </w:pPr>
            <w:r>
              <w:rPr>
                <w:rFonts w:hint="eastAsia"/>
                <w:lang w:val="en-US" w:eastAsia="zh-CN"/>
              </w:rPr>
              <w:t>10</w:t>
            </w:r>
          </w:p>
        </w:tc>
        <w:tc>
          <w:tcPr>
            <w:tcW w:w="1748" w:type="pct"/>
            <w:tcBorders>
              <w:tl2br w:val="nil"/>
              <w:tr2bl w:val="nil"/>
            </w:tcBorders>
            <w:shd w:val="clear" w:color="auto" w:fill="auto"/>
            <w:noWrap/>
            <w:vAlign w:val="center"/>
          </w:tcPr>
          <w:p w14:paraId="7C4B8DD1">
            <w:pPr>
              <w:pStyle w:val="1111"/>
              <w:bidi w:val="0"/>
              <w:rPr>
                <w:rFonts w:hint="eastAsia"/>
              </w:rPr>
            </w:pPr>
            <w:r>
              <w:rPr>
                <w:rFonts w:hint="eastAsia"/>
                <w:lang w:val="en-US" w:eastAsia="zh-CN"/>
              </w:rPr>
              <w:t>昌圩湖花园</w:t>
            </w:r>
          </w:p>
        </w:tc>
        <w:tc>
          <w:tcPr>
            <w:tcW w:w="474" w:type="pct"/>
            <w:tcBorders>
              <w:tl2br w:val="nil"/>
              <w:tr2bl w:val="nil"/>
            </w:tcBorders>
            <w:shd w:val="clear" w:color="auto" w:fill="auto"/>
            <w:noWrap/>
            <w:vAlign w:val="center"/>
          </w:tcPr>
          <w:p w14:paraId="481DEEB7">
            <w:pPr>
              <w:pStyle w:val="1111"/>
              <w:bidi w:val="0"/>
              <w:rPr>
                <w:rFonts w:hint="eastAsia"/>
              </w:rPr>
            </w:pPr>
            <w:r>
              <w:rPr>
                <w:rFonts w:hint="eastAsia"/>
                <w:lang w:val="en-US" w:eastAsia="zh-CN"/>
              </w:rPr>
              <w:t>E</w:t>
            </w:r>
          </w:p>
        </w:tc>
        <w:tc>
          <w:tcPr>
            <w:tcW w:w="872" w:type="pct"/>
            <w:tcBorders>
              <w:tl2br w:val="nil"/>
              <w:tr2bl w:val="nil"/>
            </w:tcBorders>
            <w:shd w:val="clear" w:color="auto" w:fill="auto"/>
            <w:noWrap/>
            <w:vAlign w:val="center"/>
          </w:tcPr>
          <w:p w14:paraId="0B5AC3A1">
            <w:pPr>
              <w:pStyle w:val="1111"/>
              <w:bidi w:val="0"/>
              <w:rPr>
                <w:rFonts w:hint="eastAsia"/>
              </w:rPr>
            </w:pPr>
            <w:r>
              <w:rPr>
                <w:rFonts w:hint="eastAsia"/>
                <w:lang w:val="en-US" w:eastAsia="zh-CN"/>
              </w:rPr>
              <w:t>1299</w:t>
            </w:r>
          </w:p>
        </w:tc>
        <w:tc>
          <w:tcPr>
            <w:tcW w:w="612" w:type="pct"/>
            <w:tcBorders>
              <w:tl2br w:val="nil"/>
              <w:tr2bl w:val="nil"/>
            </w:tcBorders>
            <w:shd w:val="clear" w:color="auto" w:fill="auto"/>
            <w:noWrap/>
            <w:vAlign w:val="center"/>
          </w:tcPr>
          <w:p w14:paraId="45CF206E">
            <w:pPr>
              <w:pStyle w:val="1111"/>
              <w:bidi w:val="0"/>
              <w:rPr>
                <w:rFonts w:hint="eastAsia"/>
              </w:rPr>
            </w:pPr>
            <w:r>
              <w:rPr>
                <w:rFonts w:hint="eastAsia"/>
                <w:lang w:val="en-US" w:eastAsia="zh-CN"/>
              </w:rPr>
              <w:t>居民</w:t>
            </w:r>
          </w:p>
        </w:tc>
        <w:tc>
          <w:tcPr>
            <w:tcW w:w="599" w:type="pct"/>
            <w:tcBorders>
              <w:tl2br w:val="nil"/>
              <w:tr2bl w:val="nil"/>
            </w:tcBorders>
            <w:shd w:val="clear" w:color="auto" w:fill="auto"/>
            <w:vAlign w:val="center"/>
          </w:tcPr>
          <w:p w14:paraId="75D35CB2">
            <w:pPr>
              <w:pStyle w:val="1111"/>
              <w:bidi w:val="0"/>
              <w:rPr>
                <w:rFonts w:hint="default"/>
              </w:rPr>
            </w:pPr>
            <w:r>
              <w:rPr>
                <w:rFonts w:hint="default"/>
                <w:lang w:val="en-US" w:eastAsia="zh-CN"/>
              </w:rPr>
              <w:t>6480</w:t>
            </w:r>
          </w:p>
        </w:tc>
      </w:tr>
      <w:tr w14:paraId="26B7DE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7B0AABDE">
            <w:pPr>
              <w:pStyle w:val="1111"/>
              <w:bidi w:val="0"/>
              <w:rPr>
                <w:rFonts w:hint="eastAsia"/>
                <w:lang w:val="en-US" w:eastAsia="zh-CN"/>
              </w:rPr>
            </w:pPr>
          </w:p>
        </w:tc>
        <w:tc>
          <w:tcPr>
            <w:tcW w:w="345" w:type="pct"/>
            <w:tcBorders>
              <w:tl2br w:val="nil"/>
              <w:tr2bl w:val="nil"/>
            </w:tcBorders>
            <w:shd w:val="clear" w:color="auto" w:fill="auto"/>
            <w:noWrap/>
            <w:vAlign w:val="center"/>
          </w:tcPr>
          <w:p w14:paraId="5461B3EC">
            <w:pPr>
              <w:pStyle w:val="1111"/>
              <w:bidi w:val="0"/>
              <w:rPr>
                <w:rFonts w:hint="eastAsia"/>
              </w:rPr>
            </w:pPr>
            <w:r>
              <w:rPr>
                <w:rFonts w:hint="eastAsia"/>
                <w:lang w:val="en-US" w:eastAsia="zh-CN"/>
              </w:rPr>
              <w:t>11</w:t>
            </w:r>
          </w:p>
        </w:tc>
        <w:tc>
          <w:tcPr>
            <w:tcW w:w="1748" w:type="pct"/>
            <w:tcBorders>
              <w:tl2br w:val="nil"/>
              <w:tr2bl w:val="nil"/>
            </w:tcBorders>
            <w:shd w:val="clear" w:color="auto" w:fill="auto"/>
            <w:noWrap/>
            <w:vAlign w:val="center"/>
          </w:tcPr>
          <w:p w14:paraId="2FED7D8E">
            <w:pPr>
              <w:pStyle w:val="1111"/>
              <w:bidi w:val="0"/>
              <w:rPr>
                <w:rFonts w:hint="eastAsia"/>
              </w:rPr>
            </w:pPr>
            <w:r>
              <w:rPr>
                <w:rFonts w:hint="eastAsia"/>
                <w:lang w:val="en-US" w:eastAsia="zh-CN"/>
              </w:rPr>
              <w:t>规划居住用地2</w:t>
            </w:r>
          </w:p>
        </w:tc>
        <w:tc>
          <w:tcPr>
            <w:tcW w:w="474" w:type="pct"/>
            <w:tcBorders>
              <w:tl2br w:val="nil"/>
              <w:tr2bl w:val="nil"/>
            </w:tcBorders>
            <w:shd w:val="clear" w:color="auto" w:fill="auto"/>
            <w:noWrap/>
            <w:vAlign w:val="center"/>
          </w:tcPr>
          <w:p w14:paraId="005D0CAF">
            <w:pPr>
              <w:pStyle w:val="1111"/>
              <w:bidi w:val="0"/>
              <w:rPr>
                <w:rFonts w:hint="eastAsia"/>
              </w:rPr>
            </w:pPr>
            <w:r>
              <w:rPr>
                <w:rFonts w:hint="eastAsia"/>
                <w:lang w:val="en-US" w:eastAsia="zh-CN"/>
              </w:rPr>
              <w:t>SE</w:t>
            </w:r>
          </w:p>
        </w:tc>
        <w:tc>
          <w:tcPr>
            <w:tcW w:w="872" w:type="pct"/>
            <w:tcBorders>
              <w:tl2br w:val="nil"/>
              <w:tr2bl w:val="nil"/>
            </w:tcBorders>
            <w:shd w:val="clear" w:color="auto" w:fill="auto"/>
            <w:noWrap/>
            <w:vAlign w:val="center"/>
          </w:tcPr>
          <w:p w14:paraId="1FE35177">
            <w:pPr>
              <w:pStyle w:val="1111"/>
              <w:bidi w:val="0"/>
              <w:rPr>
                <w:rFonts w:hint="eastAsia"/>
              </w:rPr>
            </w:pPr>
            <w:r>
              <w:rPr>
                <w:rFonts w:hint="eastAsia"/>
                <w:lang w:val="en-US" w:eastAsia="zh-CN"/>
              </w:rPr>
              <w:t>1303</w:t>
            </w:r>
          </w:p>
        </w:tc>
        <w:tc>
          <w:tcPr>
            <w:tcW w:w="612" w:type="pct"/>
            <w:tcBorders>
              <w:tl2br w:val="nil"/>
              <w:tr2bl w:val="nil"/>
            </w:tcBorders>
            <w:shd w:val="clear" w:color="auto" w:fill="auto"/>
            <w:noWrap/>
            <w:vAlign w:val="center"/>
          </w:tcPr>
          <w:p w14:paraId="0D95C3C6">
            <w:pPr>
              <w:pStyle w:val="1111"/>
              <w:bidi w:val="0"/>
              <w:rPr>
                <w:rFonts w:hint="eastAsia"/>
              </w:rPr>
            </w:pPr>
            <w:r>
              <w:rPr>
                <w:rFonts w:hint="eastAsia"/>
                <w:lang w:val="en-US" w:eastAsia="zh-CN"/>
              </w:rPr>
              <w:t>居民</w:t>
            </w:r>
          </w:p>
        </w:tc>
        <w:tc>
          <w:tcPr>
            <w:tcW w:w="599" w:type="pct"/>
            <w:tcBorders>
              <w:tl2br w:val="nil"/>
              <w:tr2bl w:val="nil"/>
            </w:tcBorders>
            <w:shd w:val="clear" w:color="auto" w:fill="auto"/>
            <w:vAlign w:val="center"/>
          </w:tcPr>
          <w:p w14:paraId="2EE96FE2">
            <w:pPr>
              <w:pStyle w:val="1111"/>
              <w:bidi w:val="0"/>
              <w:rPr>
                <w:rFonts w:hint="default"/>
              </w:rPr>
            </w:pPr>
            <w:r>
              <w:rPr>
                <w:rFonts w:hint="eastAsia"/>
                <w:lang w:val="en-US" w:eastAsia="zh-CN"/>
              </w:rPr>
              <w:t>-</w:t>
            </w:r>
          </w:p>
        </w:tc>
      </w:tr>
      <w:tr w14:paraId="7ADE12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0416640A">
            <w:pPr>
              <w:pStyle w:val="1111"/>
              <w:bidi w:val="0"/>
              <w:rPr>
                <w:rFonts w:hint="eastAsia"/>
                <w:lang w:val="en-US" w:eastAsia="zh-CN"/>
              </w:rPr>
            </w:pPr>
          </w:p>
        </w:tc>
        <w:tc>
          <w:tcPr>
            <w:tcW w:w="345" w:type="pct"/>
            <w:tcBorders>
              <w:tl2br w:val="nil"/>
              <w:tr2bl w:val="nil"/>
            </w:tcBorders>
            <w:shd w:val="clear" w:color="auto" w:fill="auto"/>
            <w:noWrap/>
            <w:vAlign w:val="center"/>
          </w:tcPr>
          <w:p w14:paraId="6007B4B6">
            <w:pPr>
              <w:pStyle w:val="1111"/>
              <w:bidi w:val="0"/>
              <w:rPr>
                <w:rFonts w:hint="eastAsia"/>
              </w:rPr>
            </w:pPr>
            <w:r>
              <w:rPr>
                <w:rFonts w:hint="eastAsia"/>
                <w:lang w:val="en-US" w:eastAsia="zh-CN"/>
              </w:rPr>
              <w:t>12</w:t>
            </w:r>
          </w:p>
        </w:tc>
        <w:tc>
          <w:tcPr>
            <w:tcW w:w="1748" w:type="pct"/>
            <w:tcBorders>
              <w:tl2br w:val="nil"/>
              <w:tr2bl w:val="nil"/>
            </w:tcBorders>
            <w:shd w:val="clear" w:color="auto" w:fill="auto"/>
            <w:noWrap/>
            <w:vAlign w:val="center"/>
          </w:tcPr>
          <w:p w14:paraId="30971010">
            <w:pPr>
              <w:pStyle w:val="1111"/>
              <w:bidi w:val="0"/>
              <w:rPr>
                <w:rFonts w:hint="eastAsia"/>
              </w:rPr>
            </w:pPr>
            <w:r>
              <w:rPr>
                <w:rFonts w:hint="eastAsia"/>
                <w:lang w:val="en-US" w:eastAsia="zh-CN"/>
              </w:rPr>
              <w:t>同科玉兰园</w:t>
            </w:r>
          </w:p>
        </w:tc>
        <w:tc>
          <w:tcPr>
            <w:tcW w:w="474" w:type="pct"/>
            <w:tcBorders>
              <w:tl2br w:val="nil"/>
              <w:tr2bl w:val="nil"/>
            </w:tcBorders>
            <w:shd w:val="clear" w:color="auto" w:fill="auto"/>
            <w:noWrap/>
            <w:vAlign w:val="center"/>
          </w:tcPr>
          <w:p w14:paraId="456AD24F">
            <w:pPr>
              <w:pStyle w:val="1111"/>
              <w:bidi w:val="0"/>
              <w:rPr>
                <w:rFonts w:hint="eastAsia"/>
              </w:rPr>
            </w:pPr>
            <w:r>
              <w:rPr>
                <w:rFonts w:hint="eastAsia"/>
                <w:lang w:val="en-US" w:eastAsia="zh-CN"/>
              </w:rPr>
              <w:t>NE</w:t>
            </w:r>
          </w:p>
        </w:tc>
        <w:tc>
          <w:tcPr>
            <w:tcW w:w="872" w:type="pct"/>
            <w:tcBorders>
              <w:tl2br w:val="nil"/>
              <w:tr2bl w:val="nil"/>
            </w:tcBorders>
            <w:shd w:val="clear" w:color="auto" w:fill="auto"/>
            <w:noWrap/>
            <w:vAlign w:val="center"/>
          </w:tcPr>
          <w:p w14:paraId="535F29AC">
            <w:pPr>
              <w:pStyle w:val="1111"/>
              <w:bidi w:val="0"/>
              <w:rPr>
                <w:rFonts w:hint="eastAsia"/>
              </w:rPr>
            </w:pPr>
            <w:r>
              <w:rPr>
                <w:rFonts w:hint="eastAsia"/>
                <w:lang w:val="en-US" w:eastAsia="zh-CN"/>
              </w:rPr>
              <w:t>1330</w:t>
            </w:r>
          </w:p>
        </w:tc>
        <w:tc>
          <w:tcPr>
            <w:tcW w:w="612" w:type="pct"/>
            <w:tcBorders>
              <w:tl2br w:val="nil"/>
              <w:tr2bl w:val="nil"/>
            </w:tcBorders>
            <w:shd w:val="clear" w:color="auto" w:fill="auto"/>
            <w:noWrap/>
            <w:vAlign w:val="center"/>
          </w:tcPr>
          <w:p w14:paraId="75E06967">
            <w:pPr>
              <w:pStyle w:val="1111"/>
              <w:bidi w:val="0"/>
              <w:rPr>
                <w:rFonts w:hint="eastAsia"/>
              </w:rPr>
            </w:pPr>
            <w:r>
              <w:rPr>
                <w:rFonts w:hint="eastAsia"/>
                <w:lang w:val="en-US" w:eastAsia="zh-CN"/>
              </w:rPr>
              <w:t>居民</w:t>
            </w:r>
          </w:p>
        </w:tc>
        <w:tc>
          <w:tcPr>
            <w:tcW w:w="599" w:type="pct"/>
            <w:tcBorders>
              <w:tl2br w:val="nil"/>
              <w:tr2bl w:val="nil"/>
            </w:tcBorders>
            <w:shd w:val="clear" w:color="auto" w:fill="auto"/>
            <w:vAlign w:val="center"/>
          </w:tcPr>
          <w:p w14:paraId="444EC529">
            <w:pPr>
              <w:pStyle w:val="1111"/>
              <w:bidi w:val="0"/>
              <w:rPr>
                <w:rFonts w:hint="default"/>
              </w:rPr>
            </w:pPr>
            <w:r>
              <w:rPr>
                <w:rFonts w:hint="default"/>
                <w:lang w:val="en-US" w:eastAsia="zh-CN"/>
              </w:rPr>
              <w:t>2484</w:t>
            </w:r>
          </w:p>
        </w:tc>
      </w:tr>
      <w:tr w14:paraId="7D42D4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1181A797">
            <w:pPr>
              <w:pStyle w:val="1111"/>
              <w:bidi w:val="0"/>
              <w:rPr>
                <w:rFonts w:hint="eastAsia"/>
                <w:lang w:val="en-US" w:eastAsia="zh-CN"/>
              </w:rPr>
            </w:pPr>
          </w:p>
        </w:tc>
        <w:tc>
          <w:tcPr>
            <w:tcW w:w="345" w:type="pct"/>
            <w:tcBorders>
              <w:tl2br w:val="nil"/>
              <w:tr2bl w:val="nil"/>
            </w:tcBorders>
            <w:shd w:val="clear" w:color="auto" w:fill="auto"/>
            <w:noWrap/>
            <w:vAlign w:val="center"/>
          </w:tcPr>
          <w:p w14:paraId="0BE8F413">
            <w:pPr>
              <w:pStyle w:val="1111"/>
              <w:bidi w:val="0"/>
              <w:rPr>
                <w:rFonts w:hint="eastAsia"/>
              </w:rPr>
            </w:pPr>
            <w:r>
              <w:rPr>
                <w:rFonts w:hint="eastAsia"/>
                <w:lang w:val="en-US" w:eastAsia="zh-CN"/>
              </w:rPr>
              <w:t>13</w:t>
            </w:r>
          </w:p>
        </w:tc>
        <w:tc>
          <w:tcPr>
            <w:tcW w:w="1748" w:type="pct"/>
            <w:tcBorders>
              <w:tl2br w:val="nil"/>
              <w:tr2bl w:val="nil"/>
            </w:tcBorders>
            <w:shd w:val="clear" w:color="auto" w:fill="auto"/>
            <w:noWrap/>
            <w:vAlign w:val="center"/>
          </w:tcPr>
          <w:p w14:paraId="641B4B6A">
            <w:pPr>
              <w:pStyle w:val="1111"/>
              <w:bidi w:val="0"/>
              <w:rPr>
                <w:rFonts w:hint="eastAsia"/>
              </w:rPr>
            </w:pPr>
            <w:r>
              <w:rPr>
                <w:rFonts w:hint="eastAsia"/>
                <w:lang w:val="en-US" w:eastAsia="zh-CN"/>
              </w:rPr>
              <w:t>盐坨里</w:t>
            </w:r>
          </w:p>
        </w:tc>
        <w:tc>
          <w:tcPr>
            <w:tcW w:w="474" w:type="pct"/>
            <w:tcBorders>
              <w:tl2br w:val="nil"/>
              <w:tr2bl w:val="nil"/>
            </w:tcBorders>
            <w:shd w:val="clear" w:color="auto" w:fill="auto"/>
            <w:noWrap/>
            <w:vAlign w:val="center"/>
          </w:tcPr>
          <w:p w14:paraId="75B5B77A">
            <w:pPr>
              <w:pStyle w:val="1111"/>
              <w:bidi w:val="0"/>
              <w:rPr>
                <w:rFonts w:hint="eastAsia"/>
              </w:rPr>
            </w:pPr>
            <w:r>
              <w:rPr>
                <w:rFonts w:hint="eastAsia"/>
                <w:lang w:val="en-US" w:eastAsia="zh-CN"/>
              </w:rPr>
              <w:t>S</w:t>
            </w:r>
          </w:p>
        </w:tc>
        <w:tc>
          <w:tcPr>
            <w:tcW w:w="872" w:type="pct"/>
            <w:tcBorders>
              <w:tl2br w:val="nil"/>
              <w:tr2bl w:val="nil"/>
            </w:tcBorders>
            <w:shd w:val="clear" w:color="auto" w:fill="auto"/>
            <w:noWrap/>
            <w:vAlign w:val="center"/>
          </w:tcPr>
          <w:p w14:paraId="2B69AA14">
            <w:pPr>
              <w:pStyle w:val="1111"/>
              <w:bidi w:val="0"/>
              <w:rPr>
                <w:rFonts w:hint="eastAsia"/>
              </w:rPr>
            </w:pPr>
            <w:r>
              <w:rPr>
                <w:rFonts w:hint="eastAsia"/>
                <w:lang w:val="en-US" w:eastAsia="zh-CN"/>
              </w:rPr>
              <w:t>1333</w:t>
            </w:r>
          </w:p>
        </w:tc>
        <w:tc>
          <w:tcPr>
            <w:tcW w:w="612" w:type="pct"/>
            <w:tcBorders>
              <w:tl2br w:val="nil"/>
              <w:tr2bl w:val="nil"/>
            </w:tcBorders>
            <w:shd w:val="clear" w:color="auto" w:fill="auto"/>
            <w:noWrap/>
            <w:vAlign w:val="center"/>
          </w:tcPr>
          <w:p w14:paraId="542BB99A">
            <w:pPr>
              <w:pStyle w:val="1111"/>
              <w:bidi w:val="0"/>
              <w:rPr>
                <w:rFonts w:hint="eastAsia"/>
              </w:rPr>
            </w:pPr>
            <w:r>
              <w:rPr>
                <w:rFonts w:hint="eastAsia"/>
                <w:lang w:val="en-US" w:eastAsia="zh-CN"/>
              </w:rPr>
              <w:t>居民</w:t>
            </w:r>
          </w:p>
        </w:tc>
        <w:tc>
          <w:tcPr>
            <w:tcW w:w="599" w:type="pct"/>
            <w:tcBorders>
              <w:tl2br w:val="nil"/>
              <w:tr2bl w:val="nil"/>
            </w:tcBorders>
            <w:shd w:val="clear" w:color="auto" w:fill="auto"/>
            <w:vAlign w:val="center"/>
          </w:tcPr>
          <w:p w14:paraId="2670FB8B">
            <w:pPr>
              <w:pStyle w:val="1111"/>
              <w:bidi w:val="0"/>
              <w:rPr>
                <w:rFonts w:hint="default"/>
              </w:rPr>
            </w:pPr>
            <w:r>
              <w:rPr>
                <w:rFonts w:hint="eastAsia"/>
                <w:lang w:val="en-US" w:eastAsia="zh-CN"/>
              </w:rPr>
              <w:t>-</w:t>
            </w:r>
          </w:p>
        </w:tc>
      </w:tr>
      <w:tr w14:paraId="544EDE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2484C23B">
            <w:pPr>
              <w:pStyle w:val="1111"/>
              <w:bidi w:val="0"/>
              <w:rPr>
                <w:rFonts w:hint="eastAsia"/>
                <w:lang w:val="en-US" w:eastAsia="zh-CN"/>
              </w:rPr>
            </w:pPr>
          </w:p>
        </w:tc>
        <w:tc>
          <w:tcPr>
            <w:tcW w:w="345" w:type="pct"/>
            <w:tcBorders>
              <w:tl2br w:val="nil"/>
              <w:tr2bl w:val="nil"/>
            </w:tcBorders>
            <w:shd w:val="clear" w:color="auto" w:fill="auto"/>
            <w:noWrap/>
            <w:vAlign w:val="center"/>
          </w:tcPr>
          <w:p w14:paraId="784430BA">
            <w:pPr>
              <w:pStyle w:val="1111"/>
              <w:bidi w:val="0"/>
              <w:rPr>
                <w:rFonts w:hint="eastAsia"/>
              </w:rPr>
            </w:pPr>
            <w:r>
              <w:rPr>
                <w:rFonts w:hint="eastAsia"/>
                <w:lang w:val="en-US" w:eastAsia="zh-CN"/>
              </w:rPr>
              <w:t>14</w:t>
            </w:r>
          </w:p>
        </w:tc>
        <w:tc>
          <w:tcPr>
            <w:tcW w:w="1748" w:type="pct"/>
            <w:tcBorders>
              <w:tl2br w:val="nil"/>
              <w:tr2bl w:val="nil"/>
            </w:tcBorders>
            <w:shd w:val="clear" w:color="auto" w:fill="auto"/>
            <w:noWrap/>
            <w:vAlign w:val="center"/>
          </w:tcPr>
          <w:p w14:paraId="78014398">
            <w:pPr>
              <w:pStyle w:val="1111"/>
              <w:bidi w:val="0"/>
              <w:rPr>
                <w:rFonts w:hint="eastAsia"/>
              </w:rPr>
            </w:pPr>
            <w:r>
              <w:rPr>
                <w:rFonts w:hint="eastAsia"/>
                <w:lang w:val="en-US" w:eastAsia="zh-CN"/>
              </w:rPr>
              <w:t>居民</w:t>
            </w:r>
          </w:p>
        </w:tc>
        <w:tc>
          <w:tcPr>
            <w:tcW w:w="474" w:type="pct"/>
            <w:tcBorders>
              <w:tl2br w:val="nil"/>
              <w:tr2bl w:val="nil"/>
            </w:tcBorders>
            <w:shd w:val="clear" w:color="auto" w:fill="auto"/>
            <w:noWrap/>
            <w:vAlign w:val="center"/>
          </w:tcPr>
          <w:p w14:paraId="67D9B83C">
            <w:pPr>
              <w:pStyle w:val="1111"/>
              <w:bidi w:val="0"/>
              <w:rPr>
                <w:rFonts w:hint="eastAsia"/>
              </w:rPr>
            </w:pPr>
            <w:r>
              <w:rPr>
                <w:rFonts w:hint="eastAsia"/>
                <w:lang w:val="en-US" w:eastAsia="zh-CN"/>
              </w:rPr>
              <w:t>SE</w:t>
            </w:r>
          </w:p>
        </w:tc>
        <w:tc>
          <w:tcPr>
            <w:tcW w:w="872" w:type="pct"/>
            <w:tcBorders>
              <w:tl2br w:val="nil"/>
              <w:tr2bl w:val="nil"/>
            </w:tcBorders>
            <w:shd w:val="clear" w:color="auto" w:fill="auto"/>
            <w:noWrap/>
            <w:vAlign w:val="center"/>
          </w:tcPr>
          <w:p w14:paraId="7AC96798">
            <w:pPr>
              <w:pStyle w:val="1111"/>
              <w:bidi w:val="0"/>
              <w:rPr>
                <w:rFonts w:hint="eastAsia"/>
              </w:rPr>
            </w:pPr>
            <w:r>
              <w:rPr>
                <w:rFonts w:hint="eastAsia"/>
                <w:lang w:val="en-US" w:eastAsia="zh-CN"/>
              </w:rPr>
              <w:t>1398</w:t>
            </w:r>
          </w:p>
        </w:tc>
        <w:tc>
          <w:tcPr>
            <w:tcW w:w="612" w:type="pct"/>
            <w:tcBorders>
              <w:tl2br w:val="nil"/>
              <w:tr2bl w:val="nil"/>
            </w:tcBorders>
            <w:shd w:val="clear" w:color="auto" w:fill="auto"/>
            <w:noWrap/>
            <w:vAlign w:val="center"/>
          </w:tcPr>
          <w:p w14:paraId="490CBFDD">
            <w:pPr>
              <w:pStyle w:val="1111"/>
              <w:bidi w:val="0"/>
              <w:rPr>
                <w:rFonts w:hint="eastAsia"/>
              </w:rPr>
            </w:pPr>
            <w:r>
              <w:rPr>
                <w:rFonts w:hint="eastAsia"/>
                <w:lang w:val="en-US" w:eastAsia="zh-CN"/>
              </w:rPr>
              <w:t>居民</w:t>
            </w:r>
          </w:p>
        </w:tc>
        <w:tc>
          <w:tcPr>
            <w:tcW w:w="599" w:type="pct"/>
            <w:tcBorders>
              <w:tl2br w:val="nil"/>
              <w:tr2bl w:val="nil"/>
            </w:tcBorders>
            <w:shd w:val="clear" w:color="auto" w:fill="auto"/>
            <w:vAlign w:val="center"/>
          </w:tcPr>
          <w:p w14:paraId="022129E9">
            <w:pPr>
              <w:pStyle w:val="1111"/>
              <w:bidi w:val="0"/>
              <w:rPr>
                <w:rFonts w:hint="default"/>
              </w:rPr>
            </w:pPr>
            <w:r>
              <w:rPr>
                <w:rFonts w:hint="default"/>
                <w:lang w:val="en-US" w:eastAsia="zh-CN"/>
              </w:rPr>
              <w:t>25</w:t>
            </w:r>
          </w:p>
        </w:tc>
      </w:tr>
      <w:tr w14:paraId="2668F9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40378A23">
            <w:pPr>
              <w:pStyle w:val="1111"/>
              <w:bidi w:val="0"/>
              <w:rPr>
                <w:rFonts w:hint="eastAsia"/>
                <w:lang w:val="en-US" w:eastAsia="zh-CN"/>
              </w:rPr>
            </w:pPr>
          </w:p>
        </w:tc>
        <w:tc>
          <w:tcPr>
            <w:tcW w:w="345" w:type="pct"/>
            <w:tcBorders>
              <w:tl2br w:val="nil"/>
              <w:tr2bl w:val="nil"/>
            </w:tcBorders>
            <w:shd w:val="clear" w:color="auto" w:fill="auto"/>
            <w:noWrap/>
            <w:vAlign w:val="center"/>
          </w:tcPr>
          <w:p w14:paraId="7FF8AA85">
            <w:pPr>
              <w:pStyle w:val="1111"/>
              <w:bidi w:val="0"/>
              <w:rPr>
                <w:rFonts w:hint="eastAsia"/>
              </w:rPr>
            </w:pPr>
            <w:r>
              <w:rPr>
                <w:rFonts w:hint="eastAsia"/>
                <w:lang w:val="en-US" w:eastAsia="zh-CN"/>
              </w:rPr>
              <w:t>15</w:t>
            </w:r>
          </w:p>
        </w:tc>
        <w:tc>
          <w:tcPr>
            <w:tcW w:w="1748" w:type="pct"/>
            <w:tcBorders>
              <w:tl2br w:val="nil"/>
              <w:tr2bl w:val="nil"/>
            </w:tcBorders>
            <w:shd w:val="clear" w:color="auto" w:fill="auto"/>
            <w:noWrap/>
            <w:vAlign w:val="center"/>
          </w:tcPr>
          <w:p w14:paraId="4693119E">
            <w:pPr>
              <w:pStyle w:val="1111"/>
              <w:bidi w:val="0"/>
              <w:rPr>
                <w:rFonts w:hint="eastAsia"/>
              </w:rPr>
            </w:pPr>
            <w:r>
              <w:rPr>
                <w:rFonts w:hint="eastAsia"/>
                <w:lang w:val="en-US" w:eastAsia="zh-CN"/>
              </w:rPr>
              <w:t>规划幼托用地</w:t>
            </w:r>
          </w:p>
        </w:tc>
        <w:tc>
          <w:tcPr>
            <w:tcW w:w="474" w:type="pct"/>
            <w:tcBorders>
              <w:tl2br w:val="nil"/>
              <w:tr2bl w:val="nil"/>
            </w:tcBorders>
            <w:shd w:val="clear" w:color="auto" w:fill="auto"/>
            <w:noWrap/>
            <w:vAlign w:val="center"/>
          </w:tcPr>
          <w:p w14:paraId="0B0D32A1">
            <w:pPr>
              <w:pStyle w:val="1111"/>
              <w:bidi w:val="0"/>
              <w:rPr>
                <w:rFonts w:hint="eastAsia"/>
              </w:rPr>
            </w:pPr>
            <w:r>
              <w:rPr>
                <w:rFonts w:hint="eastAsia"/>
                <w:lang w:val="en-US" w:eastAsia="zh-CN"/>
              </w:rPr>
              <w:t>SE</w:t>
            </w:r>
          </w:p>
        </w:tc>
        <w:tc>
          <w:tcPr>
            <w:tcW w:w="872" w:type="pct"/>
            <w:tcBorders>
              <w:tl2br w:val="nil"/>
              <w:tr2bl w:val="nil"/>
            </w:tcBorders>
            <w:shd w:val="clear" w:color="auto" w:fill="auto"/>
            <w:noWrap/>
            <w:vAlign w:val="center"/>
          </w:tcPr>
          <w:p w14:paraId="01E63C8C">
            <w:pPr>
              <w:pStyle w:val="1111"/>
              <w:bidi w:val="0"/>
              <w:rPr>
                <w:rFonts w:hint="eastAsia"/>
              </w:rPr>
            </w:pPr>
            <w:r>
              <w:rPr>
                <w:rFonts w:hint="eastAsia"/>
                <w:lang w:val="en-US" w:eastAsia="zh-CN"/>
              </w:rPr>
              <w:t>1490</w:t>
            </w:r>
          </w:p>
        </w:tc>
        <w:tc>
          <w:tcPr>
            <w:tcW w:w="612" w:type="pct"/>
            <w:tcBorders>
              <w:tl2br w:val="nil"/>
              <w:tr2bl w:val="nil"/>
            </w:tcBorders>
            <w:shd w:val="clear" w:color="auto" w:fill="auto"/>
            <w:noWrap/>
            <w:vAlign w:val="center"/>
          </w:tcPr>
          <w:p w14:paraId="0D738B76">
            <w:pPr>
              <w:pStyle w:val="1111"/>
              <w:bidi w:val="0"/>
              <w:rPr>
                <w:rFonts w:hint="eastAsia"/>
              </w:rPr>
            </w:pPr>
            <w:r>
              <w:rPr>
                <w:rFonts w:hint="eastAsia"/>
                <w:lang w:val="en-US" w:eastAsia="zh-CN"/>
              </w:rPr>
              <w:t>教育</w:t>
            </w:r>
          </w:p>
        </w:tc>
        <w:tc>
          <w:tcPr>
            <w:tcW w:w="599" w:type="pct"/>
            <w:tcBorders>
              <w:tl2br w:val="nil"/>
              <w:tr2bl w:val="nil"/>
            </w:tcBorders>
            <w:shd w:val="clear" w:color="auto" w:fill="auto"/>
            <w:vAlign w:val="center"/>
          </w:tcPr>
          <w:p w14:paraId="5AEF7A89">
            <w:pPr>
              <w:pStyle w:val="1111"/>
              <w:bidi w:val="0"/>
              <w:rPr>
                <w:rFonts w:hint="default"/>
              </w:rPr>
            </w:pPr>
            <w:r>
              <w:rPr>
                <w:rFonts w:hint="eastAsia"/>
                <w:lang w:val="en-US" w:eastAsia="zh-CN"/>
              </w:rPr>
              <w:t>-</w:t>
            </w:r>
          </w:p>
        </w:tc>
      </w:tr>
      <w:tr w14:paraId="13EE2C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05B3505C">
            <w:pPr>
              <w:pStyle w:val="1111"/>
              <w:bidi w:val="0"/>
              <w:rPr>
                <w:rFonts w:hint="eastAsia"/>
                <w:lang w:val="en-US" w:eastAsia="zh-CN"/>
              </w:rPr>
            </w:pPr>
          </w:p>
        </w:tc>
        <w:tc>
          <w:tcPr>
            <w:tcW w:w="345" w:type="pct"/>
            <w:tcBorders>
              <w:tl2br w:val="nil"/>
              <w:tr2bl w:val="nil"/>
            </w:tcBorders>
            <w:shd w:val="clear" w:color="auto" w:fill="auto"/>
            <w:noWrap/>
            <w:vAlign w:val="center"/>
          </w:tcPr>
          <w:p w14:paraId="449C1159">
            <w:pPr>
              <w:pStyle w:val="1111"/>
              <w:bidi w:val="0"/>
              <w:rPr>
                <w:rFonts w:hint="eastAsia"/>
              </w:rPr>
            </w:pPr>
            <w:r>
              <w:rPr>
                <w:rFonts w:hint="eastAsia"/>
                <w:lang w:val="en-US" w:eastAsia="zh-CN"/>
              </w:rPr>
              <w:t>16</w:t>
            </w:r>
          </w:p>
        </w:tc>
        <w:tc>
          <w:tcPr>
            <w:tcW w:w="1748" w:type="pct"/>
            <w:tcBorders>
              <w:tl2br w:val="nil"/>
              <w:tr2bl w:val="nil"/>
            </w:tcBorders>
            <w:shd w:val="clear" w:color="auto" w:fill="auto"/>
            <w:noWrap/>
            <w:vAlign w:val="center"/>
          </w:tcPr>
          <w:p w14:paraId="4ECB21AC">
            <w:pPr>
              <w:pStyle w:val="1111"/>
              <w:bidi w:val="0"/>
              <w:rPr>
                <w:rFonts w:hint="eastAsia"/>
              </w:rPr>
            </w:pPr>
            <w:r>
              <w:rPr>
                <w:rFonts w:hint="eastAsia"/>
                <w:lang w:val="en-US" w:eastAsia="zh-CN"/>
              </w:rPr>
              <w:t>裕泰新村</w:t>
            </w:r>
          </w:p>
        </w:tc>
        <w:tc>
          <w:tcPr>
            <w:tcW w:w="474" w:type="pct"/>
            <w:tcBorders>
              <w:tl2br w:val="nil"/>
              <w:tr2bl w:val="nil"/>
            </w:tcBorders>
            <w:shd w:val="clear" w:color="auto" w:fill="auto"/>
            <w:noWrap/>
            <w:vAlign w:val="center"/>
          </w:tcPr>
          <w:p w14:paraId="3F92E768">
            <w:pPr>
              <w:pStyle w:val="1111"/>
              <w:bidi w:val="0"/>
              <w:rPr>
                <w:rFonts w:hint="eastAsia"/>
              </w:rPr>
            </w:pPr>
            <w:r>
              <w:rPr>
                <w:rFonts w:hint="eastAsia"/>
                <w:lang w:val="en-US" w:eastAsia="zh-CN"/>
              </w:rPr>
              <w:t>SE</w:t>
            </w:r>
          </w:p>
        </w:tc>
        <w:tc>
          <w:tcPr>
            <w:tcW w:w="872" w:type="pct"/>
            <w:tcBorders>
              <w:tl2br w:val="nil"/>
              <w:tr2bl w:val="nil"/>
            </w:tcBorders>
            <w:shd w:val="clear" w:color="auto" w:fill="auto"/>
            <w:noWrap/>
            <w:vAlign w:val="center"/>
          </w:tcPr>
          <w:p w14:paraId="521DBD79">
            <w:pPr>
              <w:pStyle w:val="1111"/>
              <w:bidi w:val="0"/>
              <w:rPr>
                <w:rFonts w:hint="eastAsia"/>
              </w:rPr>
            </w:pPr>
            <w:r>
              <w:rPr>
                <w:rFonts w:hint="eastAsia"/>
                <w:lang w:val="en-US" w:eastAsia="zh-CN"/>
              </w:rPr>
              <w:t>1525</w:t>
            </w:r>
          </w:p>
        </w:tc>
        <w:tc>
          <w:tcPr>
            <w:tcW w:w="612" w:type="pct"/>
            <w:tcBorders>
              <w:tl2br w:val="nil"/>
              <w:tr2bl w:val="nil"/>
            </w:tcBorders>
            <w:shd w:val="clear" w:color="auto" w:fill="auto"/>
            <w:noWrap/>
            <w:vAlign w:val="center"/>
          </w:tcPr>
          <w:p w14:paraId="3A964588">
            <w:pPr>
              <w:pStyle w:val="1111"/>
              <w:bidi w:val="0"/>
              <w:rPr>
                <w:rFonts w:hint="eastAsia"/>
              </w:rPr>
            </w:pPr>
            <w:r>
              <w:rPr>
                <w:rFonts w:hint="eastAsia"/>
                <w:lang w:val="en-US" w:eastAsia="zh-CN"/>
              </w:rPr>
              <w:t>居民</w:t>
            </w:r>
          </w:p>
        </w:tc>
        <w:tc>
          <w:tcPr>
            <w:tcW w:w="599" w:type="pct"/>
            <w:tcBorders>
              <w:tl2br w:val="nil"/>
              <w:tr2bl w:val="nil"/>
            </w:tcBorders>
            <w:shd w:val="clear" w:color="auto" w:fill="auto"/>
            <w:vAlign w:val="center"/>
          </w:tcPr>
          <w:p w14:paraId="024AE5B1">
            <w:pPr>
              <w:pStyle w:val="1111"/>
              <w:bidi w:val="0"/>
              <w:rPr>
                <w:rFonts w:hint="default"/>
              </w:rPr>
            </w:pPr>
            <w:r>
              <w:rPr>
                <w:rFonts w:hint="default"/>
                <w:lang w:val="en-US" w:eastAsia="zh-CN"/>
              </w:rPr>
              <w:t>540</w:t>
            </w:r>
          </w:p>
        </w:tc>
      </w:tr>
      <w:tr w14:paraId="584063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5AE50FAF">
            <w:pPr>
              <w:pStyle w:val="1111"/>
              <w:bidi w:val="0"/>
              <w:rPr>
                <w:rFonts w:hint="eastAsia"/>
                <w:lang w:val="en-US" w:eastAsia="zh-CN"/>
              </w:rPr>
            </w:pPr>
          </w:p>
        </w:tc>
        <w:tc>
          <w:tcPr>
            <w:tcW w:w="345" w:type="pct"/>
            <w:tcBorders>
              <w:tl2br w:val="nil"/>
              <w:tr2bl w:val="nil"/>
            </w:tcBorders>
            <w:shd w:val="clear" w:color="auto" w:fill="auto"/>
            <w:noWrap/>
            <w:vAlign w:val="center"/>
          </w:tcPr>
          <w:p w14:paraId="65898250">
            <w:pPr>
              <w:pStyle w:val="1111"/>
              <w:bidi w:val="0"/>
              <w:rPr>
                <w:rFonts w:hint="eastAsia"/>
              </w:rPr>
            </w:pPr>
            <w:r>
              <w:rPr>
                <w:rFonts w:hint="eastAsia"/>
                <w:lang w:val="en-US" w:eastAsia="zh-CN"/>
              </w:rPr>
              <w:t>17</w:t>
            </w:r>
          </w:p>
        </w:tc>
        <w:tc>
          <w:tcPr>
            <w:tcW w:w="1748" w:type="pct"/>
            <w:tcBorders>
              <w:tl2br w:val="nil"/>
              <w:tr2bl w:val="nil"/>
            </w:tcBorders>
            <w:shd w:val="clear" w:color="auto" w:fill="auto"/>
            <w:noWrap/>
            <w:vAlign w:val="center"/>
          </w:tcPr>
          <w:p w14:paraId="0F952920">
            <w:pPr>
              <w:pStyle w:val="1111"/>
              <w:bidi w:val="0"/>
              <w:rPr>
                <w:rFonts w:hint="eastAsia"/>
              </w:rPr>
            </w:pPr>
            <w:r>
              <w:rPr>
                <w:rFonts w:hint="eastAsia"/>
                <w:lang w:val="en-US" w:eastAsia="zh-CN"/>
              </w:rPr>
              <w:t>新海高中开发区分校区用地</w:t>
            </w:r>
          </w:p>
        </w:tc>
        <w:tc>
          <w:tcPr>
            <w:tcW w:w="474" w:type="pct"/>
            <w:tcBorders>
              <w:tl2br w:val="nil"/>
              <w:tr2bl w:val="nil"/>
            </w:tcBorders>
            <w:shd w:val="clear" w:color="auto" w:fill="auto"/>
            <w:noWrap/>
            <w:vAlign w:val="center"/>
          </w:tcPr>
          <w:p w14:paraId="403A7356">
            <w:pPr>
              <w:pStyle w:val="1111"/>
              <w:bidi w:val="0"/>
              <w:rPr>
                <w:rFonts w:hint="eastAsia"/>
              </w:rPr>
            </w:pPr>
            <w:r>
              <w:rPr>
                <w:rFonts w:hint="eastAsia"/>
                <w:lang w:val="en-US" w:eastAsia="zh-CN"/>
              </w:rPr>
              <w:t>SE</w:t>
            </w:r>
          </w:p>
        </w:tc>
        <w:tc>
          <w:tcPr>
            <w:tcW w:w="872" w:type="pct"/>
            <w:tcBorders>
              <w:tl2br w:val="nil"/>
              <w:tr2bl w:val="nil"/>
            </w:tcBorders>
            <w:shd w:val="clear" w:color="auto" w:fill="auto"/>
            <w:noWrap/>
            <w:vAlign w:val="center"/>
          </w:tcPr>
          <w:p w14:paraId="44DF2876">
            <w:pPr>
              <w:pStyle w:val="1111"/>
              <w:bidi w:val="0"/>
              <w:rPr>
                <w:rFonts w:hint="eastAsia"/>
              </w:rPr>
            </w:pPr>
            <w:r>
              <w:rPr>
                <w:rFonts w:hint="eastAsia"/>
                <w:lang w:val="en-US" w:eastAsia="zh-CN"/>
              </w:rPr>
              <w:t>1575</w:t>
            </w:r>
          </w:p>
        </w:tc>
        <w:tc>
          <w:tcPr>
            <w:tcW w:w="612" w:type="pct"/>
            <w:tcBorders>
              <w:tl2br w:val="nil"/>
              <w:tr2bl w:val="nil"/>
            </w:tcBorders>
            <w:shd w:val="clear" w:color="auto" w:fill="auto"/>
            <w:noWrap/>
            <w:vAlign w:val="center"/>
          </w:tcPr>
          <w:p w14:paraId="31AA10DB">
            <w:pPr>
              <w:pStyle w:val="1111"/>
              <w:bidi w:val="0"/>
              <w:rPr>
                <w:rFonts w:hint="eastAsia"/>
              </w:rPr>
            </w:pPr>
            <w:r>
              <w:rPr>
                <w:rFonts w:hint="eastAsia"/>
                <w:lang w:val="en-US" w:eastAsia="zh-CN"/>
              </w:rPr>
              <w:t>教育</w:t>
            </w:r>
          </w:p>
        </w:tc>
        <w:tc>
          <w:tcPr>
            <w:tcW w:w="599" w:type="pct"/>
            <w:tcBorders>
              <w:tl2br w:val="nil"/>
              <w:tr2bl w:val="nil"/>
            </w:tcBorders>
            <w:shd w:val="clear" w:color="auto" w:fill="auto"/>
            <w:vAlign w:val="center"/>
          </w:tcPr>
          <w:p w14:paraId="26D6623C">
            <w:pPr>
              <w:pStyle w:val="1111"/>
              <w:bidi w:val="0"/>
              <w:rPr>
                <w:rFonts w:hint="default"/>
              </w:rPr>
            </w:pPr>
            <w:r>
              <w:rPr>
                <w:rFonts w:hint="eastAsia"/>
                <w:lang w:val="en-US" w:eastAsia="zh-CN"/>
              </w:rPr>
              <w:t>-</w:t>
            </w:r>
          </w:p>
        </w:tc>
      </w:tr>
      <w:tr w14:paraId="4DB37E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01C1E842">
            <w:pPr>
              <w:pStyle w:val="1111"/>
              <w:bidi w:val="0"/>
              <w:rPr>
                <w:rFonts w:hint="eastAsia"/>
                <w:lang w:val="en-US" w:eastAsia="zh-CN"/>
              </w:rPr>
            </w:pPr>
          </w:p>
        </w:tc>
        <w:tc>
          <w:tcPr>
            <w:tcW w:w="345" w:type="pct"/>
            <w:tcBorders>
              <w:tl2br w:val="nil"/>
              <w:tr2bl w:val="nil"/>
            </w:tcBorders>
            <w:shd w:val="clear" w:color="auto" w:fill="auto"/>
            <w:noWrap/>
            <w:vAlign w:val="center"/>
          </w:tcPr>
          <w:p w14:paraId="3E6B678E">
            <w:pPr>
              <w:pStyle w:val="1111"/>
              <w:bidi w:val="0"/>
              <w:rPr>
                <w:rFonts w:hint="eastAsia"/>
              </w:rPr>
            </w:pPr>
            <w:r>
              <w:rPr>
                <w:rFonts w:hint="eastAsia"/>
                <w:lang w:val="en-US" w:eastAsia="zh-CN"/>
              </w:rPr>
              <w:t>18</w:t>
            </w:r>
          </w:p>
        </w:tc>
        <w:tc>
          <w:tcPr>
            <w:tcW w:w="1748" w:type="pct"/>
            <w:tcBorders>
              <w:tl2br w:val="nil"/>
              <w:tr2bl w:val="nil"/>
            </w:tcBorders>
            <w:shd w:val="clear" w:color="auto" w:fill="auto"/>
            <w:noWrap/>
            <w:vAlign w:val="center"/>
          </w:tcPr>
          <w:p w14:paraId="66697CCE">
            <w:pPr>
              <w:pStyle w:val="1111"/>
              <w:bidi w:val="0"/>
              <w:rPr>
                <w:rFonts w:hint="eastAsia"/>
              </w:rPr>
            </w:pPr>
            <w:r>
              <w:rPr>
                <w:rFonts w:hint="eastAsia"/>
                <w:lang w:val="en-US" w:eastAsia="zh-CN"/>
              </w:rPr>
              <w:t>苍梧小学开发区分校</w:t>
            </w:r>
          </w:p>
        </w:tc>
        <w:tc>
          <w:tcPr>
            <w:tcW w:w="474" w:type="pct"/>
            <w:tcBorders>
              <w:tl2br w:val="nil"/>
              <w:tr2bl w:val="nil"/>
            </w:tcBorders>
            <w:shd w:val="clear" w:color="auto" w:fill="auto"/>
            <w:noWrap/>
            <w:vAlign w:val="center"/>
          </w:tcPr>
          <w:p w14:paraId="08E5531C">
            <w:pPr>
              <w:pStyle w:val="1111"/>
              <w:bidi w:val="0"/>
              <w:rPr>
                <w:rFonts w:hint="eastAsia"/>
              </w:rPr>
            </w:pPr>
            <w:r>
              <w:rPr>
                <w:rFonts w:hint="eastAsia"/>
                <w:lang w:val="en-US" w:eastAsia="zh-CN"/>
              </w:rPr>
              <w:t>S</w:t>
            </w:r>
          </w:p>
        </w:tc>
        <w:tc>
          <w:tcPr>
            <w:tcW w:w="872" w:type="pct"/>
            <w:tcBorders>
              <w:tl2br w:val="nil"/>
              <w:tr2bl w:val="nil"/>
            </w:tcBorders>
            <w:shd w:val="clear" w:color="auto" w:fill="auto"/>
            <w:noWrap/>
            <w:vAlign w:val="center"/>
          </w:tcPr>
          <w:p w14:paraId="350DB6BE">
            <w:pPr>
              <w:pStyle w:val="1111"/>
              <w:bidi w:val="0"/>
              <w:rPr>
                <w:rFonts w:hint="eastAsia"/>
              </w:rPr>
            </w:pPr>
            <w:r>
              <w:rPr>
                <w:rFonts w:hint="eastAsia"/>
                <w:lang w:val="en-US" w:eastAsia="zh-CN"/>
              </w:rPr>
              <w:t>1594</w:t>
            </w:r>
          </w:p>
        </w:tc>
        <w:tc>
          <w:tcPr>
            <w:tcW w:w="612" w:type="pct"/>
            <w:tcBorders>
              <w:tl2br w:val="nil"/>
              <w:tr2bl w:val="nil"/>
            </w:tcBorders>
            <w:shd w:val="clear" w:color="auto" w:fill="auto"/>
            <w:noWrap/>
            <w:vAlign w:val="center"/>
          </w:tcPr>
          <w:p w14:paraId="745B9F3E">
            <w:pPr>
              <w:pStyle w:val="1111"/>
              <w:bidi w:val="0"/>
              <w:rPr>
                <w:rFonts w:hint="eastAsia"/>
              </w:rPr>
            </w:pPr>
            <w:r>
              <w:rPr>
                <w:rFonts w:hint="eastAsia"/>
                <w:lang w:val="en-US" w:eastAsia="zh-CN"/>
              </w:rPr>
              <w:t>教育</w:t>
            </w:r>
          </w:p>
        </w:tc>
        <w:tc>
          <w:tcPr>
            <w:tcW w:w="599" w:type="pct"/>
            <w:tcBorders>
              <w:tl2br w:val="nil"/>
              <w:tr2bl w:val="nil"/>
            </w:tcBorders>
            <w:shd w:val="clear" w:color="auto" w:fill="auto"/>
            <w:vAlign w:val="center"/>
          </w:tcPr>
          <w:p w14:paraId="33593D94">
            <w:pPr>
              <w:pStyle w:val="1111"/>
              <w:bidi w:val="0"/>
              <w:rPr>
                <w:rFonts w:hint="default"/>
              </w:rPr>
            </w:pPr>
            <w:r>
              <w:rPr>
                <w:rFonts w:hint="eastAsia"/>
                <w:lang w:val="en-US" w:eastAsia="zh-CN"/>
              </w:rPr>
              <w:t>-</w:t>
            </w:r>
          </w:p>
        </w:tc>
      </w:tr>
      <w:tr w14:paraId="092AB2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0CC3AE80">
            <w:pPr>
              <w:pStyle w:val="1111"/>
              <w:bidi w:val="0"/>
              <w:rPr>
                <w:rFonts w:hint="eastAsia"/>
                <w:lang w:val="en-US" w:eastAsia="zh-CN"/>
              </w:rPr>
            </w:pPr>
          </w:p>
        </w:tc>
        <w:tc>
          <w:tcPr>
            <w:tcW w:w="345" w:type="pct"/>
            <w:tcBorders>
              <w:tl2br w:val="nil"/>
              <w:tr2bl w:val="nil"/>
            </w:tcBorders>
            <w:shd w:val="clear" w:color="auto" w:fill="auto"/>
            <w:noWrap/>
            <w:vAlign w:val="center"/>
          </w:tcPr>
          <w:p w14:paraId="3E45FD6C">
            <w:pPr>
              <w:pStyle w:val="1111"/>
              <w:bidi w:val="0"/>
              <w:rPr>
                <w:rFonts w:hint="eastAsia"/>
              </w:rPr>
            </w:pPr>
            <w:r>
              <w:rPr>
                <w:rFonts w:hint="eastAsia"/>
                <w:lang w:val="en-US" w:eastAsia="zh-CN"/>
              </w:rPr>
              <w:t>19</w:t>
            </w:r>
          </w:p>
        </w:tc>
        <w:tc>
          <w:tcPr>
            <w:tcW w:w="1748" w:type="pct"/>
            <w:tcBorders>
              <w:tl2br w:val="nil"/>
              <w:tr2bl w:val="nil"/>
            </w:tcBorders>
            <w:shd w:val="clear" w:color="auto" w:fill="auto"/>
            <w:noWrap/>
            <w:vAlign w:val="center"/>
          </w:tcPr>
          <w:p w14:paraId="4A61F895">
            <w:pPr>
              <w:pStyle w:val="1111"/>
              <w:bidi w:val="0"/>
              <w:rPr>
                <w:rFonts w:hint="eastAsia"/>
              </w:rPr>
            </w:pPr>
            <w:r>
              <w:rPr>
                <w:rFonts w:hint="eastAsia"/>
                <w:lang w:val="en-US" w:eastAsia="zh-CN"/>
              </w:rPr>
              <w:t>金辉优步花园3期</w:t>
            </w:r>
          </w:p>
        </w:tc>
        <w:tc>
          <w:tcPr>
            <w:tcW w:w="474" w:type="pct"/>
            <w:tcBorders>
              <w:tl2br w:val="nil"/>
              <w:tr2bl w:val="nil"/>
            </w:tcBorders>
            <w:shd w:val="clear" w:color="auto" w:fill="auto"/>
            <w:noWrap/>
            <w:vAlign w:val="center"/>
          </w:tcPr>
          <w:p w14:paraId="075F6640">
            <w:pPr>
              <w:pStyle w:val="1111"/>
              <w:bidi w:val="0"/>
              <w:rPr>
                <w:rFonts w:hint="eastAsia"/>
              </w:rPr>
            </w:pPr>
            <w:r>
              <w:rPr>
                <w:rFonts w:hint="eastAsia"/>
                <w:lang w:val="en-US" w:eastAsia="zh-CN"/>
              </w:rPr>
              <w:t>NE</w:t>
            </w:r>
          </w:p>
        </w:tc>
        <w:tc>
          <w:tcPr>
            <w:tcW w:w="872" w:type="pct"/>
            <w:tcBorders>
              <w:tl2br w:val="nil"/>
              <w:tr2bl w:val="nil"/>
            </w:tcBorders>
            <w:shd w:val="clear" w:color="auto" w:fill="auto"/>
            <w:noWrap/>
            <w:vAlign w:val="center"/>
          </w:tcPr>
          <w:p w14:paraId="578200DD">
            <w:pPr>
              <w:pStyle w:val="1111"/>
              <w:bidi w:val="0"/>
              <w:rPr>
                <w:rFonts w:hint="eastAsia"/>
              </w:rPr>
            </w:pPr>
            <w:r>
              <w:rPr>
                <w:rFonts w:hint="eastAsia"/>
                <w:lang w:val="en-US" w:eastAsia="zh-CN"/>
              </w:rPr>
              <w:t>1604</w:t>
            </w:r>
          </w:p>
        </w:tc>
        <w:tc>
          <w:tcPr>
            <w:tcW w:w="612" w:type="pct"/>
            <w:tcBorders>
              <w:tl2br w:val="nil"/>
              <w:tr2bl w:val="nil"/>
            </w:tcBorders>
            <w:shd w:val="clear" w:color="auto" w:fill="auto"/>
            <w:noWrap/>
            <w:vAlign w:val="center"/>
          </w:tcPr>
          <w:p w14:paraId="55F53DED">
            <w:pPr>
              <w:pStyle w:val="1111"/>
              <w:bidi w:val="0"/>
              <w:rPr>
                <w:rFonts w:hint="eastAsia"/>
              </w:rPr>
            </w:pPr>
            <w:r>
              <w:rPr>
                <w:rFonts w:hint="eastAsia"/>
                <w:lang w:val="en-US" w:eastAsia="zh-CN"/>
              </w:rPr>
              <w:t>居民</w:t>
            </w:r>
          </w:p>
        </w:tc>
        <w:tc>
          <w:tcPr>
            <w:tcW w:w="599" w:type="pct"/>
            <w:tcBorders>
              <w:tl2br w:val="nil"/>
              <w:tr2bl w:val="nil"/>
            </w:tcBorders>
            <w:shd w:val="clear" w:color="auto" w:fill="auto"/>
            <w:vAlign w:val="center"/>
          </w:tcPr>
          <w:p w14:paraId="6B2B0490">
            <w:pPr>
              <w:pStyle w:val="1111"/>
              <w:bidi w:val="0"/>
              <w:rPr>
                <w:rFonts w:hint="default"/>
              </w:rPr>
            </w:pPr>
            <w:r>
              <w:rPr>
                <w:rFonts w:hint="default"/>
                <w:lang w:val="en-US" w:eastAsia="zh-CN"/>
              </w:rPr>
              <w:t>1080</w:t>
            </w:r>
          </w:p>
        </w:tc>
      </w:tr>
      <w:tr w14:paraId="16CE7F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15A4300C">
            <w:pPr>
              <w:pStyle w:val="1111"/>
              <w:bidi w:val="0"/>
              <w:rPr>
                <w:rFonts w:hint="eastAsia"/>
                <w:lang w:val="en-US" w:eastAsia="zh-CN"/>
              </w:rPr>
            </w:pPr>
          </w:p>
        </w:tc>
        <w:tc>
          <w:tcPr>
            <w:tcW w:w="345" w:type="pct"/>
            <w:tcBorders>
              <w:tl2br w:val="nil"/>
              <w:tr2bl w:val="nil"/>
            </w:tcBorders>
            <w:shd w:val="clear" w:color="auto" w:fill="auto"/>
            <w:noWrap/>
            <w:vAlign w:val="center"/>
          </w:tcPr>
          <w:p w14:paraId="65F8FBDB">
            <w:pPr>
              <w:pStyle w:val="1111"/>
              <w:bidi w:val="0"/>
              <w:rPr>
                <w:rFonts w:hint="eastAsia"/>
              </w:rPr>
            </w:pPr>
            <w:r>
              <w:rPr>
                <w:rFonts w:hint="eastAsia"/>
                <w:lang w:val="en-US" w:eastAsia="zh-CN"/>
              </w:rPr>
              <w:t>20</w:t>
            </w:r>
          </w:p>
        </w:tc>
        <w:tc>
          <w:tcPr>
            <w:tcW w:w="1748" w:type="pct"/>
            <w:tcBorders>
              <w:tl2br w:val="nil"/>
              <w:tr2bl w:val="nil"/>
            </w:tcBorders>
            <w:shd w:val="clear" w:color="auto" w:fill="auto"/>
            <w:noWrap/>
            <w:vAlign w:val="center"/>
          </w:tcPr>
          <w:p w14:paraId="6023C38B">
            <w:pPr>
              <w:pStyle w:val="1111"/>
              <w:bidi w:val="0"/>
              <w:rPr>
                <w:rFonts w:hint="eastAsia"/>
              </w:rPr>
            </w:pPr>
            <w:r>
              <w:rPr>
                <w:rFonts w:hint="eastAsia"/>
                <w:lang w:val="en-US" w:eastAsia="zh-CN"/>
              </w:rPr>
              <w:t>恒大御峰</w:t>
            </w:r>
          </w:p>
        </w:tc>
        <w:tc>
          <w:tcPr>
            <w:tcW w:w="474" w:type="pct"/>
            <w:tcBorders>
              <w:tl2br w:val="nil"/>
              <w:tr2bl w:val="nil"/>
            </w:tcBorders>
            <w:shd w:val="clear" w:color="auto" w:fill="auto"/>
            <w:noWrap/>
            <w:vAlign w:val="center"/>
          </w:tcPr>
          <w:p w14:paraId="7EA6E14F">
            <w:pPr>
              <w:pStyle w:val="1111"/>
              <w:bidi w:val="0"/>
              <w:rPr>
                <w:rFonts w:hint="eastAsia"/>
              </w:rPr>
            </w:pPr>
            <w:r>
              <w:rPr>
                <w:rFonts w:hint="eastAsia"/>
                <w:lang w:val="en-US" w:eastAsia="zh-CN"/>
              </w:rPr>
              <w:t>S</w:t>
            </w:r>
          </w:p>
        </w:tc>
        <w:tc>
          <w:tcPr>
            <w:tcW w:w="872" w:type="pct"/>
            <w:tcBorders>
              <w:tl2br w:val="nil"/>
              <w:tr2bl w:val="nil"/>
            </w:tcBorders>
            <w:shd w:val="clear" w:color="auto" w:fill="auto"/>
            <w:noWrap/>
            <w:vAlign w:val="center"/>
          </w:tcPr>
          <w:p w14:paraId="6A9B0FF9">
            <w:pPr>
              <w:pStyle w:val="1111"/>
              <w:bidi w:val="0"/>
              <w:rPr>
                <w:rFonts w:hint="eastAsia"/>
              </w:rPr>
            </w:pPr>
            <w:r>
              <w:rPr>
                <w:rFonts w:hint="eastAsia"/>
                <w:lang w:val="en-US" w:eastAsia="zh-CN"/>
              </w:rPr>
              <w:t>1605</w:t>
            </w:r>
          </w:p>
        </w:tc>
        <w:tc>
          <w:tcPr>
            <w:tcW w:w="612" w:type="pct"/>
            <w:tcBorders>
              <w:tl2br w:val="nil"/>
              <w:tr2bl w:val="nil"/>
            </w:tcBorders>
            <w:shd w:val="clear" w:color="auto" w:fill="auto"/>
            <w:noWrap/>
            <w:vAlign w:val="center"/>
          </w:tcPr>
          <w:p w14:paraId="4D35D763">
            <w:pPr>
              <w:pStyle w:val="1111"/>
              <w:bidi w:val="0"/>
              <w:rPr>
                <w:rFonts w:hint="eastAsia"/>
              </w:rPr>
            </w:pPr>
            <w:r>
              <w:rPr>
                <w:rFonts w:hint="eastAsia"/>
                <w:lang w:val="en-US" w:eastAsia="zh-CN"/>
              </w:rPr>
              <w:t>居民</w:t>
            </w:r>
          </w:p>
        </w:tc>
        <w:tc>
          <w:tcPr>
            <w:tcW w:w="599" w:type="pct"/>
            <w:tcBorders>
              <w:tl2br w:val="nil"/>
              <w:tr2bl w:val="nil"/>
            </w:tcBorders>
            <w:shd w:val="clear" w:color="auto" w:fill="auto"/>
            <w:vAlign w:val="center"/>
          </w:tcPr>
          <w:p w14:paraId="09F60FA5">
            <w:pPr>
              <w:pStyle w:val="1111"/>
              <w:bidi w:val="0"/>
              <w:rPr>
                <w:rFonts w:hint="default"/>
              </w:rPr>
            </w:pPr>
            <w:r>
              <w:rPr>
                <w:rFonts w:hint="default"/>
                <w:lang w:val="en-US" w:eastAsia="zh-CN"/>
              </w:rPr>
              <w:t>2028</w:t>
            </w:r>
          </w:p>
        </w:tc>
      </w:tr>
      <w:tr w14:paraId="786ACB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1DCDC4E2">
            <w:pPr>
              <w:pStyle w:val="1111"/>
              <w:bidi w:val="0"/>
              <w:rPr>
                <w:rFonts w:hint="eastAsia"/>
                <w:lang w:val="en-US" w:eastAsia="zh-CN"/>
              </w:rPr>
            </w:pPr>
          </w:p>
        </w:tc>
        <w:tc>
          <w:tcPr>
            <w:tcW w:w="345" w:type="pct"/>
            <w:tcBorders>
              <w:tl2br w:val="nil"/>
              <w:tr2bl w:val="nil"/>
            </w:tcBorders>
            <w:shd w:val="clear" w:color="auto" w:fill="auto"/>
            <w:noWrap/>
            <w:vAlign w:val="center"/>
          </w:tcPr>
          <w:p w14:paraId="1ACA1884">
            <w:pPr>
              <w:pStyle w:val="1111"/>
              <w:bidi w:val="0"/>
              <w:rPr>
                <w:rFonts w:hint="eastAsia"/>
              </w:rPr>
            </w:pPr>
            <w:r>
              <w:rPr>
                <w:rFonts w:hint="eastAsia"/>
                <w:lang w:val="en-US" w:eastAsia="zh-CN"/>
              </w:rPr>
              <w:t>21</w:t>
            </w:r>
          </w:p>
        </w:tc>
        <w:tc>
          <w:tcPr>
            <w:tcW w:w="1748" w:type="pct"/>
            <w:tcBorders>
              <w:tl2br w:val="nil"/>
              <w:tr2bl w:val="nil"/>
            </w:tcBorders>
            <w:shd w:val="clear" w:color="auto" w:fill="auto"/>
            <w:noWrap/>
            <w:vAlign w:val="center"/>
          </w:tcPr>
          <w:p w14:paraId="267FE5DD">
            <w:pPr>
              <w:pStyle w:val="1111"/>
              <w:bidi w:val="0"/>
              <w:rPr>
                <w:rFonts w:hint="eastAsia"/>
              </w:rPr>
            </w:pPr>
            <w:r>
              <w:rPr>
                <w:rFonts w:hint="eastAsia"/>
                <w:lang w:val="en-US" w:eastAsia="zh-CN"/>
              </w:rPr>
              <w:t>同科汇丰小镇桂花园</w:t>
            </w:r>
          </w:p>
        </w:tc>
        <w:tc>
          <w:tcPr>
            <w:tcW w:w="474" w:type="pct"/>
            <w:tcBorders>
              <w:tl2br w:val="nil"/>
              <w:tr2bl w:val="nil"/>
            </w:tcBorders>
            <w:shd w:val="clear" w:color="auto" w:fill="auto"/>
            <w:noWrap/>
            <w:vAlign w:val="center"/>
          </w:tcPr>
          <w:p w14:paraId="66651F30">
            <w:pPr>
              <w:pStyle w:val="1111"/>
              <w:bidi w:val="0"/>
              <w:rPr>
                <w:rFonts w:hint="eastAsia"/>
              </w:rPr>
            </w:pPr>
            <w:r>
              <w:rPr>
                <w:rFonts w:hint="eastAsia"/>
                <w:lang w:val="en-US" w:eastAsia="zh-CN"/>
              </w:rPr>
              <w:t>NE</w:t>
            </w:r>
          </w:p>
        </w:tc>
        <w:tc>
          <w:tcPr>
            <w:tcW w:w="872" w:type="pct"/>
            <w:tcBorders>
              <w:tl2br w:val="nil"/>
              <w:tr2bl w:val="nil"/>
            </w:tcBorders>
            <w:shd w:val="clear" w:color="auto" w:fill="auto"/>
            <w:noWrap/>
            <w:vAlign w:val="center"/>
          </w:tcPr>
          <w:p w14:paraId="768303BF">
            <w:pPr>
              <w:pStyle w:val="1111"/>
              <w:bidi w:val="0"/>
              <w:rPr>
                <w:rFonts w:hint="eastAsia"/>
              </w:rPr>
            </w:pPr>
            <w:r>
              <w:rPr>
                <w:rFonts w:hint="eastAsia"/>
                <w:lang w:val="en-US" w:eastAsia="zh-CN"/>
              </w:rPr>
              <w:t>1641</w:t>
            </w:r>
          </w:p>
        </w:tc>
        <w:tc>
          <w:tcPr>
            <w:tcW w:w="612" w:type="pct"/>
            <w:tcBorders>
              <w:tl2br w:val="nil"/>
              <w:tr2bl w:val="nil"/>
            </w:tcBorders>
            <w:shd w:val="clear" w:color="auto" w:fill="auto"/>
            <w:noWrap/>
            <w:vAlign w:val="center"/>
          </w:tcPr>
          <w:p w14:paraId="75EAB9E0">
            <w:pPr>
              <w:pStyle w:val="1111"/>
              <w:bidi w:val="0"/>
              <w:rPr>
                <w:rFonts w:hint="eastAsia"/>
              </w:rPr>
            </w:pPr>
            <w:r>
              <w:rPr>
                <w:rFonts w:hint="eastAsia"/>
                <w:lang w:val="en-US" w:eastAsia="zh-CN"/>
              </w:rPr>
              <w:t>居民</w:t>
            </w:r>
          </w:p>
        </w:tc>
        <w:tc>
          <w:tcPr>
            <w:tcW w:w="599" w:type="pct"/>
            <w:tcBorders>
              <w:tl2br w:val="nil"/>
              <w:tr2bl w:val="nil"/>
            </w:tcBorders>
            <w:shd w:val="clear" w:color="auto" w:fill="auto"/>
            <w:vAlign w:val="center"/>
          </w:tcPr>
          <w:p w14:paraId="5E3238AB">
            <w:pPr>
              <w:pStyle w:val="1111"/>
              <w:bidi w:val="0"/>
              <w:rPr>
                <w:rFonts w:hint="default"/>
              </w:rPr>
            </w:pPr>
            <w:r>
              <w:rPr>
                <w:rFonts w:hint="eastAsia"/>
                <w:lang w:val="en-US" w:eastAsia="zh-CN"/>
              </w:rPr>
              <w:t>-</w:t>
            </w:r>
          </w:p>
        </w:tc>
      </w:tr>
      <w:tr w14:paraId="45281D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7E63E9F1">
            <w:pPr>
              <w:pStyle w:val="1111"/>
              <w:bidi w:val="0"/>
              <w:rPr>
                <w:rFonts w:hint="eastAsia"/>
                <w:lang w:val="en-US" w:eastAsia="zh-CN"/>
              </w:rPr>
            </w:pPr>
          </w:p>
        </w:tc>
        <w:tc>
          <w:tcPr>
            <w:tcW w:w="345" w:type="pct"/>
            <w:tcBorders>
              <w:tl2br w:val="nil"/>
              <w:tr2bl w:val="nil"/>
            </w:tcBorders>
            <w:shd w:val="clear" w:color="auto" w:fill="auto"/>
            <w:noWrap/>
            <w:vAlign w:val="center"/>
          </w:tcPr>
          <w:p w14:paraId="4FD24918">
            <w:pPr>
              <w:pStyle w:val="1111"/>
              <w:bidi w:val="0"/>
              <w:rPr>
                <w:rFonts w:hint="eastAsia"/>
              </w:rPr>
            </w:pPr>
            <w:r>
              <w:rPr>
                <w:rFonts w:hint="eastAsia"/>
                <w:lang w:val="en-US" w:eastAsia="zh-CN"/>
              </w:rPr>
              <w:t>22</w:t>
            </w:r>
          </w:p>
        </w:tc>
        <w:tc>
          <w:tcPr>
            <w:tcW w:w="1748" w:type="pct"/>
            <w:tcBorders>
              <w:tl2br w:val="nil"/>
              <w:tr2bl w:val="nil"/>
            </w:tcBorders>
            <w:shd w:val="clear" w:color="auto" w:fill="auto"/>
            <w:noWrap/>
            <w:vAlign w:val="center"/>
          </w:tcPr>
          <w:p w14:paraId="233BA15E">
            <w:pPr>
              <w:pStyle w:val="1111"/>
              <w:bidi w:val="0"/>
              <w:rPr>
                <w:rFonts w:hint="eastAsia"/>
              </w:rPr>
            </w:pPr>
            <w:r>
              <w:rPr>
                <w:rFonts w:hint="eastAsia"/>
                <w:lang w:val="en-US" w:eastAsia="zh-CN"/>
              </w:rPr>
              <w:t>规划居住用地3</w:t>
            </w:r>
          </w:p>
        </w:tc>
        <w:tc>
          <w:tcPr>
            <w:tcW w:w="474" w:type="pct"/>
            <w:tcBorders>
              <w:tl2br w:val="nil"/>
              <w:tr2bl w:val="nil"/>
            </w:tcBorders>
            <w:shd w:val="clear" w:color="auto" w:fill="auto"/>
            <w:noWrap/>
            <w:vAlign w:val="center"/>
          </w:tcPr>
          <w:p w14:paraId="63B5B8CA">
            <w:pPr>
              <w:pStyle w:val="1111"/>
              <w:bidi w:val="0"/>
              <w:rPr>
                <w:rFonts w:hint="eastAsia"/>
              </w:rPr>
            </w:pPr>
            <w:r>
              <w:rPr>
                <w:rFonts w:hint="eastAsia"/>
                <w:lang w:val="en-US" w:eastAsia="zh-CN"/>
              </w:rPr>
              <w:t>E</w:t>
            </w:r>
          </w:p>
        </w:tc>
        <w:tc>
          <w:tcPr>
            <w:tcW w:w="872" w:type="pct"/>
            <w:tcBorders>
              <w:tl2br w:val="nil"/>
              <w:tr2bl w:val="nil"/>
            </w:tcBorders>
            <w:shd w:val="clear" w:color="auto" w:fill="auto"/>
            <w:noWrap/>
            <w:vAlign w:val="center"/>
          </w:tcPr>
          <w:p w14:paraId="0CD92944">
            <w:pPr>
              <w:pStyle w:val="1111"/>
              <w:bidi w:val="0"/>
              <w:rPr>
                <w:rFonts w:hint="eastAsia"/>
              </w:rPr>
            </w:pPr>
            <w:r>
              <w:rPr>
                <w:rFonts w:hint="eastAsia"/>
                <w:lang w:val="en-US" w:eastAsia="zh-CN"/>
              </w:rPr>
              <w:t>1706</w:t>
            </w:r>
          </w:p>
        </w:tc>
        <w:tc>
          <w:tcPr>
            <w:tcW w:w="612" w:type="pct"/>
            <w:tcBorders>
              <w:tl2br w:val="nil"/>
              <w:tr2bl w:val="nil"/>
            </w:tcBorders>
            <w:shd w:val="clear" w:color="auto" w:fill="auto"/>
            <w:noWrap/>
            <w:vAlign w:val="center"/>
          </w:tcPr>
          <w:p w14:paraId="1EC7833B">
            <w:pPr>
              <w:pStyle w:val="1111"/>
              <w:bidi w:val="0"/>
              <w:rPr>
                <w:rFonts w:hint="eastAsia"/>
              </w:rPr>
            </w:pPr>
            <w:r>
              <w:rPr>
                <w:rFonts w:hint="eastAsia"/>
                <w:lang w:val="en-US" w:eastAsia="zh-CN"/>
              </w:rPr>
              <w:t>居民</w:t>
            </w:r>
          </w:p>
        </w:tc>
        <w:tc>
          <w:tcPr>
            <w:tcW w:w="599" w:type="pct"/>
            <w:tcBorders>
              <w:tl2br w:val="nil"/>
              <w:tr2bl w:val="nil"/>
            </w:tcBorders>
            <w:shd w:val="clear" w:color="auto" w:fill="auto"/>
            <w:vAlign w:val="center"/>
          </w:tcPr>
          <w:p w14:paraId="1F9FBE81">
            <w:pPr>
              <w:pStyle w:val="1111"/>
              <w:bidi w:val="0"/>
              <w:rPr>
                <w:rFonts w:hint="default"/>
              </w:rPr>
            </w:pPr>
            <w:r>
              <w:rPr>
                <w:rFonts w:hint="eastAsia"/>
                <w:lang w:val="en-US" w:eastAsia="zh-CN"/>
              </w:rPr>
              <w:t>-</w:t>
            </w:r>
          </w:p>
        </w:tc>
      </w:tr>
      <w:tr w14:paraId="187902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52E45553">
            <w:pPr>
              <w:pStyle w:val="1111"/>
              <w:bidi w:val="0"/>
              <w:rPr>
                <w:rFonts w:hint="eastAsia"/>
                <w:lang w:val="en-US" w:eastAsia="zh-CN"/>
              </w:rPr>
            </w:pPr>
          </w:p>
        </w:tc>
        <w:tc>
          <w:tcPr>
            <w:tcW w:w="345" w:type="pct"/>
            <w:tcBorders>
              <w:tl2br w:val="nil"/>
              <w:tr2bl w:val="nil"/>
            </w:tcBorders>
            <w:shd w:val="clear" w:color="auto" w:fill="auto"/>
            <w:noWrap/>
            <w:vAlign w:val="center"/>
          </w:tcPr>
          <w:p w14:paraId="32076091">
            <w:pPr>
              <w:pStyle w:val="1111"/>
              <w:bidi w:val="0"/>
              <w:rPr>
                <w:rFonts w:hint="eastAsia"/>
              </w:rPr>
            </w:pPr>
            <w:r>
              <w:rPr>
                <w:rFonts w:hint="eastAsia"/>
                <w:lang w:val="en-US" w:eastAsia="zh-CN"/>
              </w:rPr>
              <w:t>23</w:t>
            </w:r>
          </w:p>
        </w:tc>
        <w:tc>
          <w:tcPr>
            <w:tcW w:w="1748" w:type="pct"/>
            <w:tcBorders>
              <w:tl2br w:val="nil"/>
              <w:tr2bl w:val="nil"/>
            </w:tcBorders>
            <w:shd w:val="clear" w:color="auto" w:fill="auto"/>
            <w:noWrap/>
            <w:vAlign w:val="center"/>
          </w:tcPr>
          <w:p w14:paraId="5D82F3F7">
            <w:pPr>
              <w:pStyle w:val="1111"/>
              <w:bidi w:val="0"/>
              <w:rPr>
                <w:rFonts w:hint="eastAsia"/>
              </w:rPr>
            </w:pPr>
            <w:r>
              <w:rPr>
                <w:rFonts w:hint="eastAsia"/>
                <w:lang w:val="en-US" w:eastAsia="zh-CN"/>
              </w:rPr>
              <w:t>规划居住用地3</w:t>
            </w:r>
          </w:p>
        </w:tc>
        <w:tc>
          <w:tcPr>
            <w:tcW w:w="474" w:type="pct"/>
            <w:tcBorders>
              <w:tl2br w:val="nil"/>
              <w:tr2bl w:val="nil"/>
            </w:tcBorders>
            <w:shd w:val="clear" w:color="auto" w:fill="auto"/>
            <w:noWrap/>
            <w:vAlign w:val="center"/>
          </w:tcPr>
          <w:p w14:paraId="41A6E98B">
            <w:pPr>
              <w:pStyle w:val="1111"/>
              <w:bidi w:val="0"/>
              <w:rPr>
                <w:rFonts w:hint="eastAsia"/>
              </w:rPr>
            </w:pPr>
            <w:r>
              <w:rPr>
                <w:rFonts w:hint="eastAsia"/>
                <w:lang w:val="en-US" w:eastAsia="zh-CN"/>
              </w:rPr>
              <w:t>E</w:t>
            </w:r>
          </w:p>
        </w:tc>
        <w:tc>
          <w:tcPr>
            <w:tcW w:w="872" w:type="pct"/>
            <w:tcBorders>
              <w:tl2br w:val="nil"/>
              <w:tr2bl w:val="nil"/>
            </w:tcBorders>
            <w:shd w:val="clear" w:color="auto" w:fill="auto"/>
            <w:noWrap/>
            <w:vAlign w:val="center"/>
          </w:tcPr>
          <w:p w14:paraId="507CD3EB">
            <w:pPr>
              <w:pStyle w:val="1111"/>
              <w:bidi w:val="0"/>
              <w:rPr>
                <w:rFonts w:hint="eastAsia"/>
              </w:rPr>
            </w:pPr>
            <w:r>
              <w:rPr>
                <w:rFonts w:hint="eastAsia"/>
                <w:lang w:val="en-US" w:eastAsia="zh-CN"/>
              </w:rPr>
              <w:t>1708</w:t>
            </w:r>
          </w:p>
        </w:tc>
        <w:tc>
          <w:tcPr>
            <w:tcW w:w="612" w:type="pct"/>
            <w:tcBorders>
              <w:tl2br w:val="nil"/>
              <w:tr2bl w:val="nil"/>
            </w:tcBorders>
            <w:shd w:val="clear" w:color="auto" w:fill="auto"/>
            <w:noWrap/>
            <w:vAlign w:val="center"/>
          </w:tcPr>
          <w:p w14:paraId="6E22C9FC">
            <w:pPr>
              <w:pStyle w:val="1111"/>
              <w:bidi w:val="0"/>
              <w:rPr>
                <w:rFonts w:hint="eastAsia"/>
              </w:rPr>
            </w:pPr>
            <w:r>
              <w:rPr>
                <w:rFonts w:hint="eastAsia"/>
                <w:lang w:val="en-US" w:eastAsia="zh-CN"/>
              </w:rPr>
              <w:t>居民</w:t>
            </w:r>
          </w:p>
        </w:tc>
        <w:tc>
          <w:tcPr>
            <w:tcW w:w="599" w:type="pct"/>
            <w:tcBorders>
              <w:tl2br w:val="nil"/>
              <w:tr2bl w:val="nil"/>
            </w:tcBorders>
            <w:shd w:val="clear" w:color="auto" w:fill="auto"/>
            <w:vAlign w:val="center"/>
          </w:tcPr>
          <w:p w14:paraId="5E653B19">
            <w:pPr>
              <w:pStyle w:val="1111"/>
              <w:bidi w:val="0"/>
              <w:rPr>
                <w:rFonts w:hint="default"/>
              </w:rPr>
            </w:pPr>
            <w:r>
              <w:rPr>
                <w:rFonts w:hint="eastAsia"/>
                <w:lang w:val="en-US" w:eastAsia="zh-CN"/>
              </w:rPr>
              <w:t>-</w:t>
            </w:r>
          </w:p>
        </w:tc>
      </w:tr>
      <w:tr w14:paraId="1B23FE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36E43B70">
            <w:pPr>
              <w:pStyle w:val="1111"/>
              <w:bidi w:val="0"/>
              <w:rPr>
                <w:rFonts w:hint="eastAsia"/>
                <w:lang w:val="en-US" w:eastAsia="zh-CN"/>
              </w:rPr>
            </w:pPr>
          </w:p>
        </w:tc>
        <w:tc>
          <w:tcPr>
            <w:tcW w:w="345" w:type="pct"/>
            <w:tcBorders>
              <w:tl2br w:val="nil"/>
              <w:tr2bl w:val="nil"/>
            </w:tcBorders>
            <w:shd w:val="clear" w:color="auto" w:fill="auto"/>
            <w:noWrap/>
            <w:vAlign w:val="center"/>
          </w:tcPr>
          <w:p w14:paraId="6EC53171">
            <w:pPr>
              <w:pStyle w:val="1111"/>
              <w:bidi w:val="0"/>
              <w:rPr>
                <w:rFonts w:hint="eastAsia"/>
              </w:rPr>
            </w:pPr>
            <w:r>
              <w:rPr>
                <w:rFonts w:hint="eastAsia"/>
                <w:lang w:val="en-US" w:eastAsia="zh-CN"/>
              </w:rPr>
              <w:t>24</w:t>
            </w:r>
          </w:p>
        </w:tc>
        <w:tc>
          <w:tcPr>
            <w:tcW w:w="1748" w:type="pct"/>
            <w:tcBorders>
              <w:tl2br w:val="nil"/>
              <w:tr2bl w:val="nil"/>
            </w:tcBorders>
            <w:shd w:val="clear" w:color="auto" w:fill="auto"/>
            <w:noWrap/>
            <w:vAlign w:val="center"/>
          </w:tcPr>
          <w:p w14:paraId="33D0490C">
            <w:pPr>
              <w:pStyle w:val="1111"/>
              <w:bidi w:val="0"/>
              <w:rPr>
                <w:rFonts w:hint="eastAsia"/>
              </w:rPr>
            </w:pPr>
            <w:r>
              <w:rPr>
                <w:rFonts w:hint="eastAsia"/>
                <w:lang w:val="en-US" w:eastAsia="zh-CN"/>
              </w:rPr>
              <w:t>云邸</w:t>
            </w:r>
          </w:p>
        </w:tc>
        <w:tc>
          <w:tcPr>
            <w:tcW w:w="474" w:type="pct"/>
            <w:tcBorders>
              <w:tl2br w:val="nil"/>
              <w:tr2bl w:val="nil"/>
            </w:tcBorders>
            <w:shd w:val="clear" w:color="auto" w:fill="auto"/>
            <w:noWrap/>
            <w:vAlign w:val="center"/>
          </w:tcPr>
          <w:p w14:paraId="3141C750">
            <w:pPr>
              <w:pStyle w:val="1111"/>
              <w:bidi w:val="0"/>
              <w:rPr>
                <w:rFonts w:hint="eastAsia"/>
              </w:rPr>
            </w:pPr>
            <w:r>
              <w:rPr>
                <w:rFonts w:hint="eastAsia"/>
                <w:lang w:val="en-US" w:eastAsia="zh-CN"/>
              </w:rPr>
              <w:t>SE</w:t>
            </w:r>
          </w:p>
        </w:tc>
        <w:tc>
          <w:tcPr>
            <w:tcW w:w="872" w:type="pct"/>
            <w:tcBorders>
              <w:tl2br w:val="nil"/>
              <w:tr2bl w:val="nil"/>
            </w:tcBorders>
            <w:shd w:val="clear" w:color="auto" w:fill="auto"/>
            <w:noWrap/>
            <w:vAlign w:val="center"/>
          </w:tcPr>
          <w:p w14:paraId="63C9821E">
            <w:pPr>
              <w:pStyle w:val="1111"/>
              <w:bidi w:val="0"/>
              <w:rPr>
                <w:rFonts w:hint="eastAsia"/>
              </w:rPr>
            </w:pPr>
            <w:r>
              <w:rPr>
                <w:rFonts w:hint="eastAsia"/>
                <w:lang w:val="en-US" w:eastAsia="zh-CN"/>
              </w:rPr>
              <w:t>1723</w:t>
            </w:r>
          </w:p>
        </w:tc>
        <w:tc>
          <w:tcPr>
            <w:tcW w:w="612" w:type="pct"/>
            <w:tcBorders>
              <w:tl2br w:val="nil"/>
              <w:tr2bl w:val="nil"/>
            </w:tcBorders>
            <w:shd w:val="clear" w:color="auto" w:fill="auto"/>
            <w:noWrap/>
            <w:vAlign w:val="center"/>
          </w:tcPr>
          <w:p w14:paraId="2745EACE">
            <w:pPr>
              <w:pStyle w:val="1111"/>
              <w:bidi w:val="0"/>
              <w:rPr>
                <w:rFonts w:hint="eastAsia"/>
              </w:rPr>
            </w:pPr>
            <w:r>
              <w:rPr>
                <w:rFonts w:hint="eastAsia"/>
                <w:lang w:val="en-US" w:eastAsia="zh-CN"/>
              </w:rPr>
              <w:t>居民</w:t>
            </w:r>
          </w:p>
        </w:tc>
        <w:tc>
          <w:tcPr>
            <w:tcW w:w="599" w:type="pct"/>
            <w:tcBorders>
              <w:tl2br w:val="nil"/>
              <w:tr2bl w:val="nil"/>
            </w:tcBorders>
            <w:shd w:val="clear" w:color="auto" w:fill="auto"/>
            <w:vAlign w:val="center"/>
          </w:tcPr>
          <w:p w14:paraId="4AFF4CB9">
            <w:pPr>
              <w:pStyle w:val="1111"/>
              <w:bidi w:val="0"/>
              <w:rPr>
                <w:rFonts w:hint="default"/>
              </w:rPr>
            </w:pPr>
            <w:r>
              <w:rPr>
                <w:rFonts w:hint="eastAsia"/>
                <w:lang w:val="en-US" w:eastAsia="zh-CN"/>
              </w:rPr>
              <w:t>-</w:t>
            </w:r>
          </w:p>
        </w:tc>
      </w:tr>
      <w:tr w14:paraId="2BED9A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5C3D3CDE">
            <w:pPr>
              <w:pStyle w:val="1111"/>
              <w:bidi w:val="0"/>
              <w:rPr>
                <w:rFonts w:hint="eastAsia"/>
                <w:lang w:val="en-US" w:eastAsia="zh-CN"/>
              </w:rPr>
            </w:pPr>
          </w:p>
        </w:tc>
        <w:tc>
          <w:tcPr>
            <w:tcW w:w="345" w:type="pct"/>
            <w:tcBorders>
              <w:tl2br w:val="nil"/>
              <w:tr2bl w:val="nil"/>
            </w:tcBorders>
            <w:shd w:val="clear" w:color="auto" w:fill="auto"/>
            <w:noWrap/>
            <w:vAlign w:val="center"/>
          </w:tcPr>
          <w:p w14:paraId="2088F1F6">
            <w:pPr>
              <w:pStyle w:val="1111"/>
              <w:bidi w:val="0"/>
              <w:rPr>
                <w:rFonts w:hint="eastAsia"/>
              </w:rPr>
            </w:pPr>
            <w:r>
              <w:rPr>
                <w:rFonts w:hint="eastAsia"/>
                <w:lang w:val="en-US" w:eastAsia="zh-CN"/>
              </w:rPr>
              <w:t>25</w:t>
            </w:r>
          </w:p>
        </w:tc>
        <w:tc>
          <w:tcPr>
            <w:tcW w:w="1748" w:type="pct"/>
            <w:tcBorders>
              <w:tl2br w:val="nil"/>
              <w:tr2bl w:val="nil"/>
            </w:tcBorders>
            <w:shd w:val="clear" w:color="auto" w:fill="auto"/>
            <w:noWrap/>
            <w:vAlign w:val="center"/>
          </w:tcPr>
          <w:p w14:paraId="53FBBBFA">
            <w:pPr>
              <w:pStyle w:val="1111"/>
              <w:bidi w:val="0"/>
              <w:rPr>
                <w:rFonts w:hint="eastAsia"/>
              </w:rPr>
            </w:pPr>
            <w:r>
              <w:rPr>
                <w:rFonts w:hint="eastAsia"/>
                <w:lang w:val="en-US" w:eastAsia="zh-CN"/>
              </w:rPr>
              <w:t>金辉优步花园</w:t>
            </w:r>
          </w:p>
        </w:tc>
        <w:tc>
          <w:tcPr>
            <w:tcW w:w="474" w:type="pct"/>
            <w:tcBorders>
              <w:tl2br w:val="nil"/>
              <w:tr2bl w:val="nil"/>
            </w:tcBorders>
            <w:shd w:val="clear" w:color="auto" w:fill="auto"/>
            <w:noWrap/>
            <w:vAlign w:val="center"/>
          </w:tcPr>
          <w:p w14:paraId="41FAD313">
            <w:pPr>
              <w:pStyle w:val="1111"/>
              <w:bidi w:val="0"/>
              <w:rPr>
                <w:rFonts w:hint="eastAsia"/>
              </w:rPr>
            </w:pPr>
            <w:r>
              <w:rPr>
                <w:rFonts w:hint="eastAsia"/>
                <w:lang w:val="en-US" w:eastAsia="zh-CN"/>
              </w:rPr>
              <w:t>NE</w:t>
            </w:r>
          </w:p>
        </w:tc>
        <w:tc>
          <w:tcPr>
            <w:tcW w:w="872" w:type="pct"/>
            <w:tcBorders>
              <w:tl2br w:val="nil"/>
              <w:tr2bl w:val="nil"/>
            </w:tcBorders>
            <w:shd w:val="clear" w:color="auto" w:fill="auto"/>
            <w:noWrap/>
            <w:vAlign w:val="center"/>
          </w:tcPr>
          <w:p w14:paraId="611B979E">
            <w:pPr>
              <w:pStyle w:val="1111"/>
              <w:bidi w:val="0"/>
              <w:rPr>
                <w:rFonts w:hint="eastAsia"/>
              </w:rPr>
            </w:pPr>
            <w:r>
              <w:rPr>
                <w:rFonts w:hint="eastAsia"/>
                <w:lang w:val="en-US" w:eastAsia="zh-CN"/>
              </w:rPr>
              <w:t>1729</w:t>
            </w:r>
          </w:p>
        </w:tc>
        <w:tc>
          <w:tcPr>
            <w:tcW w:w="612" w:type="pct"/>
            <w:tcBorders>
              <w:tl2br w:val="nil"/>
              <w:tr2bl w:val="nil"/>
            </w:tcBorders>
            <w:shd w:val="clear" w:color="auto" w:fill="auto"/>
            <w:noWrap/>
            <w:vAlign w:val="center"/>
          </w:tcPr>
          <w:p w14:paraId="45A73146">
            <w:pPr>
              <w:pStyle w:val="1111"/>
              <w:bidi w:val="0"/>
              <w:rPr>
                <w:rFonts w:hint="eastAsia"/>
              </w:rPr>
            </w:pPr>
            <w:r>
              <w:rPr>
                <w:rFonts w:hint="eastAsia"/>
                <w:lang w:val="en-US" w:eastAsia="zh-CN"/>
              </w:rPr>
              <w:t>居民</w:t>
            </w:r>
          </w:p>
        </w:tc>
        <w:tc>
          <w:tcPr>
            <w:tcW w:w="599" w:type="pct"/>
            <w:tcBorders>
              <w:tl2br w:val="nil"/>
              <w:tr2bl w:val="nil"/>
            </w:tcBorders>
            <w:shd w:val="clear" w:color="auto" w:fill="auto"/>
            <w:vAlign w:val="center"/>
          </w:tcPr>
          <w:p w14:paraId="4538045C">
            <w:pPr>
              <w:pStyle w:val="1111"/>
              <w:bidi w:val="0"/>
              <w:rPr>
                <w:rFonts w:hint="default"/>
              </w:rPr>
            </w:pPr>
            <w:r>
              <w:rPr>
                <w:rFonts w:hint="default"/>
                <w:lang w:val="en-US" w:eastAsia="zh-CN"/>
              </w:rPr>
              <w:t>2808</w:t>
            </w:r>
          </w:p>
        </w:tc>
      </w:tr>
      <w:tr w14:paraId="6594D1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73F17D61">
            <w:pPr>
              <w:pStyle w:val="1111"/>
              <w:bidi w:val="0"/>
              <w:rPr>
                <w:rFonts w:hint="eastAsia"/>
                <w:lang w:val="en-US" w:eastAsia="zh-CN"/>
              </w:rPr>
            </w:pPr>
          </w:p>
        </w:tc>
        <w:tc>
          <w:tcPr>
            <w:tcW w:w="345" w:type="pct"/>
            <w:tcBorders>
              <w:tl2br w:val="nil"/>
              <w:tr2bl w:val="nil"/>
            </w:tcBorders>
            <w:shd w:val="clear" w:color="auto" w:fill="auto"/>
            <w:noWrap/>
            <w:vAlign w:val="center"/>
          </w:tcPr>
          <w:p w14:paraId="2BA0C6D3">
            <w:pPr>
              <w:pStyle w:val="1111"/>
              <w:bidi w:val="0"/>
              <w:rPr>
                <w:rFonts w:hint="eastAsia"/>
              </w:rPr>
            </w:pPr>
            <w:r>
              <w:rPr>
                <w:rFonts w:hint="eastAsia"/>
                <w:lang w:val="en-US" w:eastAsia="zh-CN"/>
              </w:rPr>
              <w:t>26</w:t>
            </w:r>
          </w:p>
        </w:tc>
        <w:tc>
          <w:tcPr>
            <w:tcW w:w="1748" w:type="pct"/>
            <w:tcBorders>
              <w:tl2br w:val="nil"/>
              <w:tr2bl w:val="nil"/>
            </w:tcBorders>
            <w:shd w:val="clear" w:color="auto" w:fill="auto"/>
            <w:noWrap/>
            <w:vAlign w:val="center"/>
          </w:tcPr>
          <w:p w14:paraId="21ABDC24">
            <w:pPr>
              <w:pStyle w:val="1111"/>
              <w:bidi w:val="0"/>
              <w:rPr>
                <w:rFonts w:hint="eastAsia"/>
              </w:rPr>
            </w:pPr>
            <w:r>
              <w:rPr>
                <w:rFonts w:hint="eastAsia"/>
                <w:lang w:val="en-US" w:eastAsia="zh-CN"/>
              </w:rPr>
              <w:t>规划小学用地</w:t>
            </w:r>
          </w:p>
        </w:tc>
        <w:tc>
          <w:tcPr>
            <w:tcW w:w="474" w:type="pct"/>
            <w:tcBorders>
              <w:tl2br w:val="nil"/>
              <w:tr2bl w:val="nil"/>
            </w:tcBorders>
            <w:shd w:val="clear" w:color="auto" w:fill="auto"/>
            <w:noWrap/>
            <w:vAlign w:val="center"/>
          </w:tcPr>
          <w:p w14:paraId="0CF2C971">
            <w:pPr>
              <w:pStyle w:val="1111"/>
              <w:bidi w:val="0"/>
              <w:rPr>
                <w:rFonts w:hint="eastAsia"/>
              </w:rPr>
            </w:pPr>
            <w:r>
              <w:rPr>
                <w:rFonts w:hint="eastAsia"/>
                <w:lang w:val="en-US" w:eastAsia="zh-CN"/>
              </w:rPr>
              <w:t>NE</w:t>
            </w:r>
          </w:p>
        </w:tc>
        <w:tc>
          <w:tcPr>
            <w:tcW w:w="872" w:type="pct"/>
            <w:tcBorders>
              <w:tl2br w:val="nil"/>
              <w:tr2bl w:val="nil"/>
            </w:tcBorders>
            <w:shd w:val="clear" w:color="auto" w:fill="auto"/>
            <w:noWrap/>
            <w:vAlign w:val="center"/>
          </w:tcPr>
          <w:p w14:paraId="572B536B">
            <w:pPr>
              <w:pStyle w:val="1111"/>
              <w:bidi w:val="0"/>
              <w:rPr>
                <w:rFonts w:hint="eastAsia"/>
              </w:rPr>
            </w:pPr>
            <w:r>
              <w:rPr>
                <w:rFonts w:hint="eastAsia"/>
                <w:lang w:val="en-US" w:eastAsia="zh-CN"/>
              </w:rPr>
              <w:t>1751</w:t>
            </w:r>
          </w:p>
        </w:tc>
        <w:tc>
          <w:tcPr>
            <w:tcW w:w="612" w:type="pct"/>
            <w:tcBorders>
              <w:tl2br w:val="nil"/>
              <w:tr2bl w:val="nil"/>
            </w:tcBorders>
            <w:shd w:val="clear" w:color="auto" w:fill="auto"/>
            <w:noWrap/>
            <w:vAlign w:val="center"/>
          </w:tcPr>
          <w:p w14:paraId="03E22F44">
            <w:pPr>
              <w:pStyle w:val="1111"/>
              <w:bidi w:val="0"/>
              <w:rPr>
                <w:rFonts w:hint="eastAsia"/>
              </w:rPr>
            </w:pPr>
            <w:r>
              <w:rPr>
                <w:rFonts w:hint="eastAsia"/>
                <w:lang w:val="en-US" w:eastAsia="zh-CN"/>
              </w:rPr>
              <w:t>教育</w:t>
            </w:r>
          </w:p>
        </w:tc>
        <w:tc>
          <w:tcPr>
            <w:tcW w:w="599" w:type="pct"/>
            <w:tcBorders>
              <w:tl2br w:val="nil"/>
              <w:tr2bl w:val="nil"/>
            </w:tcBorders>
            <w:shd w:val="clear" w:color="auto" w:fill="auto"/>
            <w:vAlign w:val="center"/>
          </w:tcPr>
          <w:p w14:paraId="3A5EA413">
            <w:pPr>
              <w:pStyle w:val="1111"/>
              <w:bidi w:val="0"/>
              <w:rPr>
                <w:rFonts w:hint="default"/>
              </w:rPr>
            </w:pPr>
            <w:r>
              <w:rPr>
                <w:rFonts w:hint="eastAsia"/>
                <w:lang w:val="en-US" w:eastAsia="zh-CN"/>
              </w:rPr>
              <w:t>-</w:t>
            </w:r>
          </w:p>
        </w:tc>
      </w:tr>
      <w:tr w14:paraId="280017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41371534">
            <w:pPr>
              <w:pStyle w:val="1111"/>
              <w:bidi w:val="0"/>
              <w:rPr>
                <w:rFonts w:hint="eastAsia"/>
                <w:lang w:val="en-US" w:eastAsia="zh-CN"/>
              </w:rPr>
            </w:pPr>
          </w:p>
        </w:tc>
        <w:tc>
          <w:tcPr>
            <w:tcW w:w="345" w:type="pct"/>
            <w:tcBorders>
              <w:tl2br w:val="nil"/>
              <w:tr2bl w:val="nil"/>
            </w:tcBorders>
            <w:shd w:val="clear" w:color="auto" w:fill="auto"/>
            <w:noWrap/>
            <w:vAlign w:val="center"/>
          </w:tcPr>
          <w:p w14:paraId="3286184E">
            <w:pPr>
              <w:pStyle w:val="1111"/>
              <w:bidi w:val="0"/>
              <w:rPr>
                <w:rFonts w:hint="eastAsia"/>
              </w:rPr>
            </w:pPr>
            <w:r>
              <w:rPr>
                <w:rFonts w:hint="eastAsia"/>
                <w:lang w:val="en-US" w:eastAsia="zh-CN"/>
              </w:rPr>
              <w:t>27</w:t>
            </w:r>
          </w:p>
        </w:tc>
        <w:tc>
          <w:tcPr>
            <w:tcW w:w="1748" w:type="pct"/>
            <w:tcBorders>
              <w:tl2br w:val="nil"/>
              <w:tr2bl w:val="nil"/>
            </w:tcBorders>
            <w:shd w:val="clear" w:color="auto" w:fill="auto"/>
            <w:noWrap/>
            <w:vAlign w:val="center"/>
          </w:tcPr>
          <w:p w14:paraId="57DF97D7">
            <w:pPr>
              <w:pStyle w:val="1111"/>
              <w:bidi w:val="0"/>
              <w:rPr>
                <w:rFonts w:hint="eastAsia"/>
              </w:rPr>
            </w:pPr>
            <w:r>
              <w:rPr>
                <w:rFonts w:hint="eastAsia"/>
                <w:lang w:val="en-US" w:eastAsia="zh-CN"/>
              </w:rPr>
              <w:t>绿地璀璨天城西区</w:t>
            </w:r>
          </w:p>
        </w:tc>
        <w:tc>
          <w:tcPr>
            <w:tcW w:w="474" w:type="pct"/>
            <w:tcBorders>
              <w:tl2br w:val="nil"/>
              <w:tr2bl w:val="nil"/>
            </w:tcBorders>
            <w:shd w:val="clear" w:color="auto" w:fill="auto"/>
            <w:noWrap/>
            <w:vAlign w:val="center"/>
          </w:tcPr>
          <w:p w14:paraId="710AE085">
            <w:pPr>
              <w:pStyle w:val="1111"/>
              <w:bidi w:val="0"/>
              <w:rPr>
                <w:rFonts w:hint="eastAsia"/>
              </w:rPr>
            </w:pPr>
            <w:r>
              <w:rPr>
                <w:rFonts w:hint="eastAsia"/>
                <w:lang w:val="en-US" w:eastAsia="zh-CN"/>
              </w:rPr>
              <w:t>NE</w:t>
            </w:r>
          </w:p>
        </w:tc>
        <w:tc>
          <w:tcPr>
            <w:tcW w:w="872" w:type="pct"/>
            <w:tcBorders>
              <w:tl2br w:val="nil"/>
              <w:tr2bl w:val="nil"/>
            </w:tcBorders>
            <w:shd w:val="clear" w:color="auto" w:fill="auto"/>
            <w:noWrap/>
            <w:vAlign w:val="center"/>
          </w:tcPr>
          <w:p w14:paraId="4365215F">
            <w:pPr>
              <w:pStyle w:val="1111"/>
              <w:bidi w:val="0"/>
              <w:rPr>
                <w:rFonts w:hint="eastAsia"/>
              </w:rPr>
            </w:pPr>
            <w:r>
              <w:rPr>
                <w:rFonts w:hint="eastAsia"/>
                <w:lang w:val="en-US" w:eastAsia="zh-CN"/>
              </w:rPr>
              <w:t>1831</w:t>
            </w:r>
          </w:p>
        </w:tc>
        <w:tc>
          <w:tcPr>
            <w:tcW w:w="612" w:type="pct"/>
            <w:tcBorders>
              <w:tl2br w:val="nil"/>
              <w:tr2bl w:val="nil"/>
            </w:tcBorders>
            <w:shd w:val="clear" w:color="auto" w:fill="auto"/>
            <w:noWrap/>
            <w:vAlign w:val="center"/>
          </w:tcPr>
          <w:p w14:paraId="30E6C117">
            <w:pPr>
              <w:pStyle w:val="1111"/>
              <w:bidi w:val="0"/>
              <w:rPr>
                <w:rFonts w:hint="eastAsia"/>
              </w:rPr>
            </w:pPr>
            <w:r>
              <w:rPr>
                <w:rFonts w:hint="eastAsia"/>
                <w:lang w:val="en-US" w:eastAsia="zh-CN"/>
              </w:rPr>
              <w:t>居民</w:t>
            </w:r>
          </w:p>
        </w:tc>
        <w:tc>
          <w:tcPr>
            <w:tcW w:w="599" w:type="pct"/>
            <w:tcBorders>
              <w:tl2br w:val="nil"/>
              <w:tr2bl w:val="nil"/>
            </w:tcBorders>
            <w:shd w:val="clear" w:color="auto" w:fill="auto"/>
            <w:vAlign w:val="center"/>
          </w:tcPr>
          <w:p w14:paraId="5A9EECCB">
            <w:pPr>
              <w:pStyle w:val="1111"/>
              <w:bidi w:val="0"/>
              <w:rPr>
                <w:rFonts w:hint="default"/>
              </w:rPr>
            </w:pPr>
            <w:r>
              <w:rPr>
                <w:rFonts w:hint="default"/>
                <w:lang w:val="en-US" w:eastAsia="zh-CN"/>
              </w:rPr>
              <w:t>1998</w:t>
            </w:r>
          </w:p>
        </w:tc>
      </w:tr>
      <w:tr w14:paraId="183C59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75D778A4">
            <w:pPr>
              <w:pStyle w:val="1111"/>
              <w:bidi w:val="0"/>
              <w:rPr>
                <w:rFonts w:hint="eastAsia"/>
                <w:lang w:val="en-US" w:eastAsia="zh-CN"/>
              </w:rPr>
            </w:pPr>
          </w:p>
        </w:tc>
        <w:tc>
          <w:tcPr>
            <w:tcW w:w="345" w:type="pct"/>
            <w:tcBorders>
              <w:tl2br w:val="nil"/>
              <w:tr2bl w:val="nil"/>
            </w:tcBorders>
            <w:shd w:val="clear" w:color="auto" w:fill="auto"/>
            <w:noWrap/>
            <w:vAlign w:val="center"/>
          </w:tcPr>
          <w:p w14:paraId="34F54760">
            <w:pPr>
              <w:pStyle w:val="1111"/>
              <w:bidi w:val="0"/>
              <w:rPr>
                <w:rFonts w:hint="eastAsia"/>
              </w:rPr>
            </w:pPr>
            <w:r>
              <w:rPr>
                <w:rFonts w:hint="eastAsia"/>
                <w:lang w:val="en-US" w:eastAsia="zh-CN"/>
              </w:rPr>
              <w:t>28</w:t>
            </w:r>
          </w:p>
        </w:tc>
        <w:tc>
          <w:tcPr>
            <w:tcW w:w="1748" w:type="pct"/>
            <w:tcBorders>
              <w:tl2br w:val="nil"/>
              <w:tr2bl w:val="nil"/>
            </w:tcBorders>
            <w:shd w:val="clear" w:color="auto" w:fill="auto"/>
            <w:noWrap/>
            <w:vAlign w:val="center"/>
          </w:tcPr>
          <w:p w14:paraId="3409C029">
            <w:pPr>
              <w:pStyle w:val="1111"/>
              <w:bidi w:val="0"/>
              <w:rPr>
                <w:rFonts w:hint="eastAsia"/>
              </w:rPr>
            </w:pPr>
            <w:r>
              <w:rPr>
                <w:rFonts w:hint="eastAsia"/>
                <w:lang w:val="en-US" w:eastAsia="zh-CN"/>
              </w:rPr>
              <w:t>钟声绿地国际幼儿院</w:t>
            </w:r>
          </w:p>
        </w:tc>
        <w:tc>
          <w:tcPr>
            <w:tcW w:w="474" w:type="pct"/>
            <w:tcBorders>
              <w:tl2br w:val="nil"/>
              <w:tr2bl w:val="nil"/>
            </w:tcBorders>
            <w:shd w:val="clear" w:color="auto" w:fill="auto"/>
            <w:noWrap/>
            <w:vAlign w:val="center"/>
          </w:tcPr>
          <w:p w14:paraId="39617BE7">
            <w:pPr>
              <w:pStyle w:val="1111"/>
              <w:bidi w:val="0"/>
              <w:rPr>
                <w:rFonts w:hint="eastAsia"/>
              </w:rPr>
            </w:pPr>
            <w:r>
              <w:rPr>
                <w:rFonts w:hint="eastAsia"/>
                <w:lang w:val="en-US" w:eastAsia="zh-CN"/>
              </w:rPr>
              <w:t>NE</w:t>
            </w:r>
          </w:p>
        </w:tc>
        <w:tc>
          <w:tcPr>
            <w:tcW w:w="872" w:type="pct"/>
            <w:tcBorders>
              <w:tl2br w:val="nil"/>
              <w:tr2bl w:val="nil"/>
            </w:tcBorders>
            <w:shd w:val="clear" w:color="auto" w:fill="auto"/>
            <w:noWrap/>
            <w:vAlign w:val="center"/>
          </w:tcPr>
          <w:p w14:paraId="0190C4C0">
            <w:pPr>
              <w:pStyle w:val="1111"/>
              <w:bidi w:val="0"/>
              <w:rPr>
                <w:rFonts w:hint="eastAsia"/>
              </w:rPr>
            </w:pPr>
            <w:r>
              <w:rPr>
                <w:rFonts w:hint="eastAsia"/>
                <w:lang w:val="en-US" w:eastAsia="zh-CN"/>
              </w:rPr>
              <w:t>1918</w:t>
            </w:r>
          </w:p>
        </w:tc>
        <w:tc>
          <w:tcPr>
            <w:tcW w:w="612" w:type="pct"/>
            <w:tcBorders>
              <w:tl2br w:val="nil"/>
              <w:tr2bl w:val="nil"/>
            </w:tcBorders>
            <w:shd w:val="clear" w:color="auto" w:fill="auto"/>
            <w:noWrap/>
            <w:vAlign w:val="center"/>
          </w:tcPr>
          <w:p w14:paraId="7935D4AE">
            <w:pPr>
              <w:pStyle w:val="1111"/>
              <w:bidi w:val="0"/>
              <w:rPr>
                <w:rFonts w:hint="eastAsia"/>
              </w:rPr>
            </w:pPr>
            <w:r>
              <w:rPr>
                <w:rFonts w:hint="eastAsia"/>
                <w:lang w:val="en-US" w:eastAsia="zh-CN"/>
              </w:rPr>
              <w:t>教育</w:t>
            </w:r>
          </w:p>
        </w:tc>
        <w:tc>
          <w:tcPr>
            <w:tcW w:w="599" w:type="pct"/>
            <w:tcBorders>
              <w:tl2br w:val="nil"/>
              <w:tr2bl w:val="nil"/>
            </w:tcBorders>
            <w:shd w:val="clear" w:color="auto" w:fill="auto"/>
            <w:vAlign w:val="center"/>
          </w:tcPr>
          <w:p w14:paraId="67263C6C">
            <w:pPr>
              <w:pStyle w:val="1111"/>
              <w:bidi w:val="0"/>
              <w:rPr>
                <w:rFonts w:hint="default"/>
              </w:rPr>
            </w:pPr>
            <w:r>
              <w:rPr>
                <w:rFonts w:hint="default"/>
                <w:lang w:val="en-US" w:eastAsia="zh-CN"/>
              </w:rPr>
              <w:t>200</w:t>
            </w:r>
          </w:p>
        </w:tc>
      </w:tr>
      <w:tr w14:paraId="70DF2E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1C412DFB">
            <w:pPr>
              <w:pStyle w:val="1111"/>
              <w:bidi w:val="0"/>
              <w:rPr>
                <w:rFonts w:hint="eastAsia"/>
                <w:lang w:val="en-US" w:eastAsia="zh-CN"/>
              </w:rPr>
            </w:pPr>
          </w:p>
        </w:tc>
        <w:tc>
          <w:tcPr>
            <w:tcW w:w="345" w:type="pct"/>
            <w:tcBorders>
              <w:tl2br w:val="nil"/>
              <w:tr2bl w:val="nil"/>
            </w:tcBorders>
            <w:shd w:val="clear" w:color="auto" w:fill="auto"/>
            <w:noWrap/>
            <w:vAlign w:val="center"/>
          </w:tcPr>
          <w:p w14:paraId="17E1DE18">
            <w:pPr>
              <w:pStyle w:val="1111"/>
              <w:bidi w:val="0"/>
              <w:rPr>
                <w:rFonts w:hint="eastAsia"/>
              </w:rPr>
            </w:pPr>
            <w:r>
              <w:rPr>
                <w:rFonts w:hint="eastAsia"/>
                <w:lang w:val="en-US" w:eastAsia="zh-CN"/>
              </w:rPr>
              <w:t>29</w:t>
            </w:r>
          </w:p>
        </w:tc>
        <w:tc>
          <w:tcPr>
            <w:tcW w:w="1748" w:type="pct"/>
            <w:tcBorders>
              <w:tl2br w:val="nil"/>
              <w:tr2bl w:val="nil"/>
            </w:tcBorders>
            <w:shd w:val="clear" w:color="auto" w:fill="auto"/>
            <w:noWrap/>
            <w:vAlign w:val="center"/>
          </w:tcPr>
          <w:p w14:paraId="155F488D">
            <w:pPr>
              <w:pStyle w:val="1111"/>
              <w:bidi w:val="0"/>
              <w:rPr>
                <w:rFonts w:hint="eastAsia"/>
              </w:rPr>
            </w:pPr>
            <w:r>
              <w:rPr>
                <w:rFonts w:hint="eastAsia"/>
                <w:lang w:val="en-US" w:eastAsia="zh-CN"/>
              </w:rPr>
              <w:t>同科汇丰小镇玫瑰园</w:t>
            </w:r>
          </w:p>
        </w:tc>
        <w:tc>
          <w:tcPr>
            <w:tcW w:w="474" w:type="pct"/>
            <w:tcBorders>
              <w:tl2br w:val="nil"/>
              <w:tr2bl w:val="nil"/>
            </w:tcBorders>
            <w:shd w:val="clear" w:color="auto" w:fill="auto"/>
            <w:noWrap/>
            <w:vAlign w:val="center"/>
          </w:tcPr>
          <w:p w14:paraId="26BFFAC2">
            <w:pPr>
              <w:pStyle w:val="1111"/>
              <w:bidi w:val="0"/>
              <w:rPr>
                <w:rFonts w:hint="eastAsia"/>
              </w:rPr>
            </w:pPr>
            <w:r>
              <w:rPr>
                <w:rFonts w:hint="eastAsia"/>
                <w:lang w:val="en-US" w:eastAsia="zh-CN"/>
              </w:rPr>
              <w:t>NE</w:t>
            </w:r>
          </w:p>
        </w:tc>
        <w:tc>
          <w:tcPr>
            <w:tcW w:w="872" w:type="pct"/>
            <w:tcBorders>
              <w:tl2br w:val="nil"/>
              <w:tr2bl w:val="nil"/>
            </w:tcBorders>
            <w:shd w:val="clear" w:color="auto" w:fill="auto"/>
            <w:noWrap/>
            <w:vAlign w:val="center"/>
          </w:tcPr>
          <w:p w14:paraId="24CD217B">
            <w:pPr>
              <w:pStyle w:val="1111"/>
              <w:bidi w:val="0"/>
              <w:rPr>
                <w:rFonts w:hint="eastAsia"/>
              </w:rPr>
            </w:pPr>
            <w:r>
              <w:rPr>
                <w:rFonts w:hint="eastAsia"/>
                <w:lang w:val="en-US" w:eastAsia="zh-CN"/>
              </w:rPr>
              <w:t>1963</w:t>
            </w:r>
          </w:p>
        </w:tc>
        <w:tc>
          <w:tcPr>
            <w:tcW w:w="612" w:type="pct"/>
            <w:tcBorders>
              <w:tl2br w:val="nil"/>
              <w:tr2bl w:val="nil"/>
            </w:tcBorders>
            <w:shd w:val="clear" w:color="auto" w:fill="auto"/>
            <w:noWrap/>
            <w:vAlign w:val="center"/>
          </w:tcPr>
          <w:p w14:paraId="114BF096">
            <w:pPr>
              <w:pStyle w:val="1111"/>
              <w:bidi w:val="0"/>
              <w:rPr>
                <w:rFonts w:hint="eastAsia"/>
              </w:rPr>
            </w:pPr>
            <w:r>
              <w:rPr>
                <w:rFonts w:hint="eastAsia"/>
                <w:lang w:val="en-US" w:eastAsia="zh-CN"/>
              </w:rPr>
              <w:t>居民</w:t>
            </w:r>
          </w:p>
        </w:tc>
        <w:tc>
          <w:tcPr>
            <w:tcW w:w="599" w:type="pct"/>
            <w:tcBorders>
              <w:tl2br w:val="nil"/>
              <w:tr2bl w:val="nil"/>
            </w:tcBorders>
            <w:shd w:val="clear" w:color="auto" w:fill="auto"/>
            <w:vAlign w:val="center"/>
          </w:tcPr>
          <w:p w14:paraId="050B9F97">
            <w:pPr>
              <w:pStyle w:val="1111"/>
              <w:bidi w:val="0"/>
              <w:rPr>
                <w:rFonts w:hint="default"/>
              </w:rPr>
            </w:pPr>
            <w:r>
              <w:rPr>
                <w:rFonts w:hint="eastAsia"/>
                <w:lang w:val="en-US" w:eastAsia="zh-CN"/>
              </w:rPr>
              <w:t>-</w:t>
            </w:r>
          </w:p>
        </w:tc>
      </w:tr>
      <w:tr w14:paraId="06B208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16029EB2">
            <w:pPr>
              <w:pStyle w:val="1111"/>
              <w:bidi w:val="0"/>
              <w:rPr>
                <w:rFonts w:hint="eastAsia"/>
                <w:lang w:val="en-US" w:eastAsia="zh-CN"/>
              </w:rPr>
            </w:pPr>
          </w:p>
        </w:tc>
        <w:tc>
          <w:tcPr>
            <w:tcW w:w="345" w:type="pct"/>
            <w:tcBorders>
              <w:tl2br w:val="nil"/>
              <w:tr2bl w:val="nil"/>
            </w:tcBorders>
            <w:shd w:val="clear" w:color="auto" w:fill="auto"/>
            <w:noWrap/>
            <w:vAlign w:val="center"/>
          </w:tcPr>
          <w:p w14:paraId="2A2B3BBC">
            <w:pPr>
              <w:pStyle w:val="1111"/>
              <w:bidi w:val="0"/>
              <w:rPr>
                <w:rFonts w:hint="eastAsia"/>
              </w:rPr>
            </w:pPr>
            <w:r>
              <w:rPr>
                <w:rFonts w:hint="eastAsia"/>
                <w:lang w:val="en-US" w:eastAsia="zh-CN"/>
              </w:rPr>
              <w:t>30</w:t>
            </w:r>
          </w:p>
        </w:tc>
        <w:tc>
          <w:tcPr>
            <w:tcW w:w="1748" w:type="pct"/>
            <w:tcBorders>
              <w:tl2br w:val="nil"/>
              <w:tr2bl w:val="nil"/>
            </w:tcBorders>
            <w:shd w:val="clear" w:color="auto" w:fill="auto"/>
            <w:noWrap/>
            <w:vAlign w:val="center"/>
          </w:tcPr>
          <w:p w14:paraId="1515A584">
            <w:pPr>
              <w:pStyle w:val="1111"/>
              <w:bidi w:val="0"/>
              <w:rPr>
                <w:rFonts w:hint="eastAsia"/>
              </w:rPr>
            </w:pPr>
            <w:r>
              <w:rPr>
                <w:rFonts w:hint="eastAsia"/>
                <w:lang w:val="en-US" w:eastAsia="zh-CN"/>
              </w:rPr>
              <w:t>连云港市第一人民医院（开发区院区）</w:t>
            </w:r>
          </w:p>
        </w:tc>
        <w:tc>
          <w:tcPr>
            <w:tcW w:w="474" w:type="pct"/>
            <w:tcBorders>
              <w:tl2br w:val="nil"/>
              <w:tr2bl w:val="nil"/>
            </w:tcBorders>
            <w:shd w:val="clear" w:color="auto" w:fill="auto"/>
            <w:noWrap/>
            <w:vAlign w:val="center"/>
          </w:tcPr>
          <w:p w14:paraId="0E68A98B">
            <w:pPr>
              <w:pStyle w:val="1111"/>
              <w:bidi w:val="0"/>
              <w:rPr>
                <w:rFonts w:hint="eastAsia"/>
              </w:rPr>
            </w:pPr>
            <w:r>
              <w:rPr>
                <w:rFonts w:hint="eastAsia"/>
                <w:lang w:val="en-US" w:eastAsia="zh-CN"/>
              </w:rPr>
              <w:t>SE</w:t>
            </w:r>
          </w:p>
        </w:tc>
        <w:tc>
          <w:tcPr>
            <w:tcW w:w="872" w:type="pct"/>
            <w:tcBorders>
              <w:tl2br w:val="nil"/>
              <w:tr2bl w:val="nil"/>
            </w:tcBorders>
            <w:shd w:val="clear" w:color="auto" w:fill="auto"/>
            <w:noWrap/>
            <w:vAlign w:val="center"/>
          </w:tcPr>
          <w:p w14:paraId="4C7C831A">
            <w:pPr>
              <w:pStyle w:val="1111"/>
              <w:bidi w:val="0"/>
              <w:rPr>
                <w:rFonts w:hint="eastAsia"/>
              </w:rPr>
            </w:pPr>
            <w:r>
              <w:rPr>
                <w:rFonts w:hint="eastAsia"/>
                <w:lang w:val="en-US" w:eastAsia="zh-CN"/>
              </w:rPr>
              <w:t>1965</w:t>
            </w:r>
          </w:p>
        </w:tc>
        <w:tc>
          <w:tcPr>
            <w:tcW w:w="612" w:type="pct"/>
            <w:tcBorders>
              <w:tl2br w:val="nil"/>
              <w:tr2bl w:val="nil"/>
            </w:tcBorders>
            <w:shd w:val="clear" w:color="auto" w:fill="auto"/>
            <w:noWrap/>
            <w:vAlign w:val="center"/>
          </w:tcPr>
          <w:p w14:paraId="56A43122">
            <w:pPr>
              <w:pStyle w:val="1111"/>
              <w:bidi w:val="0"/>
              <w:rPr>
                <w:rFonts w:hint="eastAsia"/>
              </w:rPr>
            </w:pPr>
            <w:r>
              <w:rPr>
                <w:rFonts w:hint="eastAsia"/>
                <w:lang w:val="en-US" w:eastAsia="zh-CN"/>
              </w:rPr>
              <w:t>医疗区</w:t>
            </w:r>
          </w:p>
        </w:tc>
        <w:tc>
          <w:tcPr>
            <w:tcW w:w="599" w:type="pct"/>
            <w:tcBorders>
              <w:tl2br w:val="nil"/>
              <w:tr2bl w:val="nil"/>
            </w:tcBorders>
            <w:shd w:val="clear" w:color="auto" w:fill="auto"/>
            <w:vAlign w:val="center"/>
          </w:tcPr>
          <w:p w14:paraId="4837F352">
            <w:pPr>
              <w:pStyle w:val="1111"/>
              <w:bidi w:val="0"/>
              <w:rPr>
                <w:rFonts w:hint="default"/>
              </w:rPr>
            </w:pPr>
            <w:r>
              <w:rPr>
                <w:rFonts w:hint="default"/>
                <w:lang w:val="en-US" w:eastAsia="zh-CN"/>
              </w:rPr>
              <w:t>500</w:t>
            </w:r>
          </w:p>
        </w:tc>
      </w:tr>
      <w:tr w14:paraId="5EA338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3A6FD023">
            <w:pPr>
              <w:pStyle w:val="1111"/>
              <w:bidi w:val="0"/>
              <w:rPr>
                <w:rFonts w:hint="eastAsia"/>
                <w:lang w:val="en-US" w:eastAsia="zh-CN"/>
              </w:rPr>
            </w:pPr>
          </w:p>
        </w:tc>
        <w:tc>
          <w:tcPr>
            <w:tcW w:w="345" w:type="pct"/>
            <w:tcBorders>
              <w:tl2br w:val="nil"/>
              <w:tr2bl w:val="nil"/>
            </w:tcBorders>
            <w:shd w:val="clear" w:color="auto" w:fill="auto"/>
            <w:noWrap/>
            <w:vAlign w:val="center"/>
          </w:tcPr>
          <w:p w14:paraId="7DB6CFDF">
            <w:pPr>
              <w:pStyle w:val="1111"/>
              <w:bidi w:val="0"/>
              <w:rPr>
                <w:rFonts w:hint="eastAsia"/>
              </w:rPr>
            </w:pPr>
            <w:r>
              <w:rPr>
                <w:rFonts w:hint="eastAsia"/>
                <w:lang w:val="en-US" w:eastAsia="zh-CN"/>
              </w:rPr>
              <w:t>31</w:t>
            </w:r>
          </w:p>
        </w:tc>
        <w:tc>
          <w:tcPr>
            <w:tcW w:w="1748" w:type="pct"/>
            <w:tcBorders>
              <w:tl2br w:val="nil"/>
              <w:tr2bl w:val="nil"/>
            </w:tcBorders>
            <w:shd w:val="clear" w:color="auto" w:fill="auto"/>
            <w:noWrap/>
            <w:vAlign w:val="center"/>
          </w:tcPr>
          <w:p w14:paraId="49CB4CD4">
            <w:pPr>
              <w:pStyle w:val="1111"/>
              <w:bidi w:val="0"/>
              <w:rPr>
                <w:rFonts w:hint="eastAsia"/>
              </w:rPr>
            </w:pPr>
            <w:r>
              <w:rPr>
                <w:rFonts w:hint="eastAsia"/>
                <w:lang w:val="en-US" w:eastAsia="zh-CN"/>
              </w:rPr>
              <w:t>金辉·云庭水岸</w:t>
            </w:r>
          </w:p>
        </w:tc>
        <w:tc>
          <w:tcPr>
            <w:tcW w:w="474" w:type="pct"/>
            <w:tcBorders>
              <w:tl2br w:val="nil"/>
              <w:tr2bl w:val="nil"/>
            </w:tcBorders>
            <w:shd w:val="clear" w:color="auto" w:fill="auto"/>
            <w:noWrap/>
            <w:vAlign w:val="center"/>
          </w:tcPr>
          <w:p w14:paraId="037FCAE9">
            <w:pPr>
              <w:pStyle w:val="1111"/>
              <w:bidi w:val="0"/>
              <w:rPr>
                <w:rFonts w:hint="eastAsia"/>
              </w:rPr>
            </w:pPr>
            <w:r>
              <w:rPr>
                <w:rFonts w:hint="eastAsia"/>
                <w:lang w:val="en-US" w:eastAsia="zh-CN"/>
              </w:rPr>
              <w:t>E</w:t>
            </w:r>
          </w:p>
        </w:tc>
        <w:tc>
          <w:tcPr>
            <w:tcW w:w="872" w:type="pct"/>
            <w:tcBorders>
              <w:tl2br w:val="nil"/>
              <w:tr2bl w:val="nil"/>
            </w:tcBorders>
            <w:shd w:val="clear" w:color="auto" w:fill="auto"/>
            <w:noWrap/>
            <w:vAlign w:val="center"/>
          </w:tcPr>
          <w:p w14:paraId="5D8370D7">
            <w:pPr>
              <w:pStyle w:val="1111"/>
              <w:bidi w:val="0"/>
              <w:rPr>
                <w:rFonts w:hint="eastAsia"/>
              </w:rPr>
            </w:pPr>
            <w:r>
              <w:rPr>
                <w:rFonts w:hint="eastAsia"/>
                <w:lang w:val="en-US" w:eastAsia="zh-CN"/>
              </w:rPr>
              <w:t>1980</w:t>
            </w:r>
          </w:p>
        </w:tc>
        <w:tc>
          <w:tcPr>
            <w:tcW w:w="612" w:type="pct"/>
            <w:tcBorders>
              <w:tl2br w:val="nil"/>
              <w:tr2bl w:val="nil"/>
            </w:tcBorders>
            <w:shd w:val="clear" w:color="auto" w:fill="auto"/>
            <w:noWrap/>
            <w:vAlign w:val="center"/>
          </w:tcPr>
          <w:p w14:paraId="1A44B4FE">
            <w:pPr>
              <w:pStyle w:val="1111"/>
              <w:bidi w:val="0"/>
              <w:rPr>
                <w:rFonts w:hint="eastAsia"/>
              </w:rPr>
            </w:pPr>
            <w:r>
              <w:rPr>
                <w:rFonts w:hint="eastAsia"/>
                <w:lang w:val="en-US" w:eastAsia="zh-CN"/>
              </w:rPr>
              <w:t>居民</w:t>
            </w:r>
          </w:p>
        </w:tc>
        <w:tc>
          <w:tcPr>
            <w:tcW w:w="599" w:type="pct"/>
            <w:tcBorders>
              <w:tl2br w:val="nil"/>
              <w:tr2bl w:val="nil"/>
            </w:tcBorders>
            <w:shd w:val="clear" w:color="auto" w:fill="auto"/>
            <w:vAlign w:val="center"/>
          </w:tcPr>
          <w:p w14:paraId="552389B1">
            <w:pPr>
              <w:pStyle w:val="1111"/>
              <w:bidi w:val="0"/>
              <w:rPr>
                <w:rFonts w:hint="default"/>
              </w:rPr>
            </w:pPr>
            <w:r>
              <w:rPr>
                <w:rFonts w:hint="eastAsia"/>
                <w:lang w:val="en-US" w:eastAsia="zh-CN"/>
              </w:rPr>
              <w:t>-</w:t>
            </w:r>
          </w:p>
        </w:tc>
      </w:tr>
      <w:tr w14:paraId="64006F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6C8A3B4A">
            <w:pPr>
              <w:pStyle w:val="1111"/>
              <w:bidi w:val="0"/>
              <w:rPr>
                <w:rFonts w:hint="eastAsia"/>
                <w:lang w:val="en-US" w:eastAsia="zh-CN"/>
              </w:rPr>
            </w:pPr>
          </w:p>
        </w:tc>
        <w:tc>
          <w:tcPr>
            <w:tcW w:w="345" w:type="pct"/>
            <w:tcBorders>
              <w:tl2br w:val="nil"/>
              <w:tr2bl w:val="nil"/>
            </w:tcBorders>
            <w:shd w:val="clear" w:color="auto" w:fill="auto"/>
            <w:noWrap/>
            <w:vAlign w:val="center"/>
          </w:tcPr>
          <w:p w14:paraId="1F4A06FB">
            <w:pPr>
              <w:pStyle w:val="1111"/>
              <w:bidi w:val="0"/>
              <w:rPr>
                <w:rFonts w:hint="eastAsia"/>
              </w:rPr>
            </w:pPr>
            <w:r>
              <w:rPr>
                <w:rFonts w:hint="eastAsia"/>
                <w:lang w:val="en-US" w:eastAsia="zh-CN"/>
              </w:rPr>
              <w:t>32</w:t>
            </w:r>
          </w:p>
        </w:tc>
        <w:tc>
          <w:tcPr>
            <w:tcW w:w="1748" w:type="pct"/>
            <w:tcBorders>
              <w:tl2br w:val="nil"/>
              <w:tr2bl w:val="nil"/>
            </w:tcBorders>
            <w:shd w:val="clear" w:color="auto" w:fill="auto"/>
            <w:noWrap/>
            <w:vAlign w:val="center"/>
          </w:tcPr>
          <w:p w14:paraId="655E1B59">
            <w:pPr>
              <w:pStyle w:val="1111"/>
              <w:bidi w:val="0"/>
              <w:rPr>
                <w:rFonts w:hint="eastAsia"/>
              </w:rPr>
            </w:pPr>
            <w:r>
              <w:rPr>
                <w:rFonts w:hint="eastAsia"/>
                <w:lang w:val="en-US" w:eastAsia="zh-CN"/>
              </w:rPr>
              <w:t>新航社区</w:t>
            </w:r>
          </w:p>
        </w:tc>
        <w:tc>
          <w:tcPr>
            <w:tcW w:w="474" w:type="pct"/>
            <w:tcBorders>
              <w:tl2br w:val="nil"/>
              <w:tr2bl w:val="nil"/>
            </w:tcBorders>
            <w:shd w:val="clear" w:color="auto" w:fill="auto"/>
            <w:noWrap/>
            <w:vAlign w:val="center"/>
          </w:tcPr>
          <w:p w14:paraId="35DE881A">
            <w:pPr>
              <w:pStyle w:val="1111"/>
              <w:bidi w:val="0"/>
              <w:rPr>
                <w:rFonts w:hint="eastAsia"/>
              </w:rPr>
            </w:pPr>
            <w:r>
              <w:rPr>
                <w:rFonts w:hint="eastAsia"/>
                <w:lang w:val="en-US" w:eastAsia="zh-CN"/>
              </w:rPr>
              <w:t>SE</w:t>
            </w:r>
          </w:p>
        </w:tc>
        <w:tc>
          <w:tcPr>
            <w:tcW w:w="872" w:type="pct"/>
            <w:tcBorders>
              <w:tl2br w:val="nil"/>
              <w:tr2bl w:val="nil"/>
            </w:tcBorders>
            <w:shd w:val="clear" w:color="auto" w:fill="auto"/>
            <w:noWrap/>
            <w:vAlign w:val="center"/>
          </w:tcPr>
          <w:p w14:paraId="082BB77E">
            <w:pPr>
              <w:pStyle w:val="1111"/>
              <w:bidi w:val="0"/>
              <w:rPr>
                <w:rFonts w:hint="eastAsia"/>
              </w:rPr>
            </w:pPr>
            <w:r>
              <w:rPr>
                <w:rFonts w:hint="eastAsia"/>
                <w:lang w:val="en-US" w:eastAsia="zh-CN"/>
              </w:rPr>
              <w:t>1980</w:t>
            </w:r>
          </w:p>
        </w:tc>
        <w:tc>
          <w:tcPr>
            <w:tcW w:w="612" w:type="pct"/>
            <w:tcBorders>
              <w:tl2br w:val="nil"/>
              <w:tr2bl w:val="nil"/>
            </w:tcBorders>
            <w:shd w:val="clear" w:color="auto" w:fill="auto"/>
            <w:noWrap/>
            <w:vAlign w:val="center"/>
          </w:tcPr>
          <w:p w14:paraId="7783FE15">
            <w:pPr>
              <w:pStyle w:val="1111"/>
              <w:bidi w:val="0"/>
              <w:rPr>
                <w:rFonts w:hint="eastAsia"/>
              </w:rPr>
            </w:pPr>
            <w:r>
              <w:rPr>
                <w:rFonts w:hint="eastAsia"/>
                <w:lang w:val="en-US" w:eastAsia="zh-CN"/>
              </w:rPr>
              <w:t>居民</w:t>
            </w:r>
          </w:p>
        </w:tc>
        <w:tc>
          <w:tcPr>
            <w:tcW w:w="599" w:type="pct"/>
            <w:tcBorders>
              <w:tl2br w:val="nil"/>
              <w:tr2bl w:val="nil"/>
            </w:tcBorders>
            <w:shd w:val="clear" w:color="auto" w:fill="auto"/>
            <w:vAlign w:val="center"/>
          </w:tcPr>
          <w:p w14:paraId="36EC1E0B">
            <w:pPr>
              <w:pStyle w:val="1111"/>
              <w:bidi w:val="0"/>
              <w:rPr>
                <w:rFonts w:hint="default"/>
              </w:rPr>
            </w:pPr>
            <w:r>
              <w:rPr>
                <w:rFonts w:hint="eastAsia"/>
                <w:lang w:val="en-US" w:eastAsia="zh-CN"/>
              </w:rPr>
              <w:t>-</w:t>
            </w:r>
          </w:p>
        </w:tc>
      </w:tr>
      <w:tr w14:paraId="046C71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346" w:type="pct"/>
            <w:vMerge w:val="continue"/>
            <w:tcBorders>
              <w:tl2br w:val="nil"/>
              <w:tr2bl w:val="nil"/>
            </w:tcBorders>
            <w:shd w:val="clear" w:color="auto" w:fill="auto"/>
            <w:noWrap/>
            <w:vAlign w:val="center"/>
          </w:tcPr>
          <w:p w14:paraId="4CBFD05B">
            <w:pPr>
              <w:pStyle w:val="1111"/>
              <w:bidi w:val="0"/>
              <w:rPr>
                <w:rFonts w:hint="eastAsia"/>
                <w:lang w:val="en-US" w:eastAsia="zh-CN"/>
              </w:rPr>
            </w:pPr>
          </w:p>
        </w:tc>
        <w:tc>
          <w:tcPr>
            <w:tcW w:w="345" w:type="pct"/>
            <w:tcBorders>
              <w:tl2br w:val="nil"/>
              <w:tr2bl w:val="nil"/>
            </w:tcBorders>
            <w:shd w:val="clear" w:color="auto" w:fill="auto"/>
            <w:noWrap/>
            <w:vAlign w:val="center"/>
          </w:tcPr>
          <w:p w14:paraId="0D31BAD4">
            <w:pPr>
              <w:pStyle w:val="1111"/>
              <w:bidi w:val="0"/>
              <w:rPr>
                <w:rFonts w:hint="eastAsia"/>
              </w:rPr>
            </w:pPr>
            <w:r>
              <w:rPr>
                <w:rFonts w:hint="eastAsia"/>
                <w:lang w:val="en-US" w:eastAsia="zh-CN"/>
              </w:rPr>
              <w:t>33</w:t>
            </w:r>
          </w:p>
        </w:tc>
        <w:tc>
          <w:tcPr>
            <w:tcW w:w="1748" w:type="pct"/>
            <w:tcBorders>
              <w:tl2br w:val="nil"/>
              <w:tr2bl w:val="nil"/>
            </w:tcBorders>
            <w:shd w:val="clear" w:color="auto" w:fill="auto"/>
            <w:noWrap/>
            <w:vAlign w:val="center"/>
          </w:tcPr>
          <w:p w14:paraId="3A72D985">
            <w:pPr>
              <w:pStyle w:val="1111"/>
              <w:bidi w:val="0"/>
              <w:rPr>
                <w:rFonts w:hint="eastAsia"/>
              </w:rPr>
            </w:pPr>
            <w:r>
              <w:rPr>
                <w:rFonts w:hint="eastAsia"/>
                <w:lang w:val="en-US" w:eastAsia="zh-CN"/>
              </w:rPr>
              <w:t>港馨花园二期B区</w:t>
            </w:r>
          </w:p>
        </w:tc>
        <w:tc>
          <w:tcPr>
            <w:tcW w:w="474" w:type="pct"/>
            <w:tcBorders>
              <w:tl2br w:val="nil"/>
              <w:tr2bl w:val="nil"/>
            </w:tcBorders>
            <w:shd w:val="clear" w:color="auto" w:fill="auto"/>
            <w:noWrap/>
            <w:vAlign w:val="center"/>
          </w:tcPr>
          <w:p w14:paraId="399122DB">
            <w:pPr>
              <w:pStyle w:val="1111"/>
              <w:bidi w:val="0"/>
              <w:rPr>
                <w:rFonts w:hint="eastAsia"/>
              </w:rPr>
            </w:pPr>
            <w:r>
              <w:rPr>
                <w:rFonts w:hint="eastAsia"/>
                <w:lang w:val="en-US" w:eastAsia="zh-CN"/>
              </w:rPr>
              <w:t>SE</w:t>
            </w:r>
          </w:p>
        </w:tc>
        <w:tc>
          <w:tcPr>
            <w:tcW w:w="872" w:type="pct"/>
            <w:tcBorders>
              <w:tl2br w:val="nil"/>
              <w:tr2bl w:val="nil"/>
            </w:tcBorders>
            <w:shd w:val="clear" w:color="auto" w:fill="auto"/>
            <w:noWrap/>
            <w:vAlign w:val="center"/>
          </w:tcPr>
          <w:p w14:paraId="7F126A1E">
            <w:pPr>
              <w:pStyle w:val="1111"/>
              <w:bidi w:val="0"/>
              <w:rPr>
                <w:rFonts w:hint="eastAsia"/>
              </w:rPr>
            </w:pPr>
            <w:r>
              <w:rPr>
                <w:rFonts w:hint="eastAsia"/>
                <w:lang w:val="en-US" w:eastAsia="zh-CN"/>
              </w:rPr>
              <w:t>1987</w:t>
            </w:r>
          </w:p>
        </w:tc>
        <w:tc>
          <w:tcPr>
            <w:tcW w:w="612" w:type="pct"/>
            <w:tcBorders>
              <w:tl2br w:val="nil"/>
              <w:tr2bl w:val="nil"/>
            </w:tcBorders>
            <w:shd w:val="clear" w:color="auto" w:fill="auto"/>
            <w:noWrap/>
            <w:vAlign w:val="center"/>
          </w:tcPr>
          <w:p w14:paraId="4B6FAD06">
            <w:pPr>
              <w:pStyle w:val="1111"/>
              <w:bidi w:val="0"/>
              <w:rPr>
                <w:rFonts w:hint="eastAsia"/>
              </w:rPr>
            </w:pPr>
            <w:r>
              <w:rPr>
                <w:rFonts w:hint="eastAsia"/>
                <w:lang w:val="en-US" w:eastAsia="zh-CN"/>
              </w:rPr>
              <w:t>居民</w:t>
            </w:r>
          </w:p>
        </w:tc>
        <w:tc>
          <w:tcPr>
            <w:tcW w:w="599" w:type="pct"/>
            <w:tcBorders>
              <w:tl2br w:val="nil"/>
              <w:tr2bl w:val="nil"/>
            </w:tcBorders>
            <w:shd w:val="clear" w:color="auto" w:fill="auto"/>
            <w:vAlign w:val="center"/>
          </w:tcPr>
          <w:p w14:paraId="3C8E156C">
            <w:pPr>
              <w:pStyle w:val="1111"/>
              <w:bidi w:val="0"/>
              <w:rPr>
                <w:rFonts w:hint="default"/>
                <w:lang w:val="en-US"/>
              </w:rPr>
            </w:pPr>
            <w:r>
              <w:rPr>
                <w:rFonts w:hint="eastAsia"/>
                <w:lang w:val="en-US" w:eastAsia="zh-CN"/>
              </w:rPr>
              <w:t>-</w:t>
            </w:r>
          </w:p>
        </w:tc>
      </w:tr>
      <w:tr w14:paraId="638480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0F681524">
            <w:pPr>
              <w:pStyle w:val="1111"/>
              <w:bidi w:val="0"/>
              <w:rPr>
                <w:rFonts w:hint="eastAsia"/>
                <w:lang w:val="en-US" w:eastAsia="zh-CN"/>
              </w:rPr>
            </w:pPr>
          </w:p>
        </w:tc>
        <w:tc>
          <w:tcPr>
            <w:tcW w:w="345" w:type="pct"/>
            <w:tcBorders>
              <w:tl2br w:val="nil"/>
              <w:tr2bl w:val="nil"/>
            </w:tcBorders>
            <w:shd w:val="clear" w:color="auto" w:fill="auto"/>
            <w:noWrap/>
            <w:vAlign w:val="center"/>
          </w:tcPr>
          <w:p w14:paraId="6EBF4D3C">
            <w:pPr>
              <w:pStyle w:val="1111"/>
              <w:bidi w:val="0"/>
              <w:rPr>
                <w:rFonts w:hint="eastAsia"/>
              </w:rPr>
            </w:pPr>
            <w:r>
              <w:rPr>
                <w:rFonts w:hint="eastAsia"/>
                <w:lang w:val="en-US" w:eastAsia="zh-CN"/>
              </w:rPr>
              <w:t>34</w:t>
            </w:r>
          </w:p>
        </w:tc>
        <w:tc>
          <w:tcPr>
            <w:tcW w:w="1748" w:type="pct"/>
            <w:tcBorders>
              <w:tl2br w:val="nil"/>
              <w:tr2bl w:val="nil"/>
            </w:tcBorders>
            <w:shd w:val="clear" w:color="auto" w:fill="auto"/>
            <w:noWrap/>
            <w:vAlign w:val="center"/>
          </w:tcPr>
          <w:p w14:paraId="19012FFE">
            <w:pPr>
              <w:pStyle w:val="1111"/>
              <w:bidi w:val="0"/>
              <w:rPr>
                <w:rFonts w:hint="eastAsia"/>
              </w:rPr>
            </w:pPr>
            <w:r>
              <w:rPr>
                <w:rFonts w:hint="eastAsia"/>
                <w:lang w:val="en-US" w:eastAsia="zh-CN"/>
              </w:rPr>
              <w:t>绿地悦澜山2期</w:t>
            </w:r>
          </w:p>
        </w:tc>
        <w:tc>
          <w:tcPr>
            <w:tcW w:w="474" w:type="pct"/>
            <w:tcBorders>
              <w:tl2br w:val="nil"/>
              <w:tr2bl w:val="nil"/>
            </w:tcBorders>
            <w:shd w:val="clear" w:color="auto" w:fill="auto"/>
            <w:noWrap/>
            <w:vAlign w:val="center"/>
          </w:tcPr>
          <w:p w14:paraId="02ACA7DC">
            <w:pPr>
              <w:pStyle w:val="1111"/>
              <w:bidi w:val="0"/>
              <w:rPr>
                <w:rFonts w:hint="eastAsia"/>
              </w:rPr>
            </w:pPr>
            <w:r>
              <w:rPr>
                <w:rFonts w:hint="eastAsia"/>
                <w:lang w:val="en-US" w:eastAsia="zh-CN"/>
              </w:rPr>
              <w:t>NE</w:t>
            </w:r>
          </w:p>
        </w:tc>
        <w:tc>
          <w:tcPr>
            <w:tcW w:w="872" w:type="pct"/>
            <w:tcBorders>
              <w:tl2br w:val="nil"/>
              <w:tr2bl w:val="nil"/>
            </w:tcBorders>
            <w:shd w:val="clear" w:color="auto" w:fill="auto"/>
            <w:noWrap/>
            <w:vAlign w:val="center"/>
          </w:tcPr>
          <w:p w14:paraId="170F8962">
            <w:pPr>
              <w:pStyle w:val="1111"/>
              <w:bidi w:val="0"/>
              <w:rPr>
                <w:rFonts w:hint="eastAsia"/>
              </w:rPr>
            </w:pPr>
            <w:r>
              <w:rPr>
                <w:rFonts w:hint="eastAsia"/>
                <w:lang w:val="en-US" w:eastAsia="zh-CN"/>
              </w:rPr>
              <w:t>2020</w:t>
            </w:r>
          </w:p>
        </w:tc>
        <w:tc>
          <w:tcPr>
            <w:tcW w:w="612" w:type="pct"/>
            <w:tcBorders>
              <w:tl2br w:val="nil"/>
              <w:tr2bl w:val="nil"/>
            </w:tcBorders>
            <w:shd w:val="clear" w:color="auto" w:fill="auto"/>
            <w:noWrap/>
            <w:vAlign w:val="center"/>
          </w:tcPr>
          <w:p w14:paraId="53F8C070">
            <w:pPr>
              <w:pStyle w:val="1111"/>
              <w:bidi w:val="0"/>
              <w:rPr>
                <w:rFonts w:hint="eastAsia"/>
              </w:rPr>
            </w:pPr>
            <w:r>
              <w:rPr>
                <w:rFonts w:hint="eastAsia"/>
                <w:lang w:val="en-US" w:eastAsia="zh-CN"/>
              </w:rPr>
              <w:t>居民</w:t>
            </w:r>
          </w:p>
        </w:tc>
        <w:tc>
          <w:tcPr>
            <w:tcW w:w="599" w:type="pct"/>
            <w:tcBorders>
              <w:tl2br w:val="nil"/>
              <w:tr2bl w:val="nil"/>
            </w:tcBorders>
            <w:shd w:val="clear" w:color="auto" w:fill="auto"/>
            <w:vAlign w:val="center"/>
          </w:tcPr>
          <w:p w14:paraId="0454E19D">
            <w:pPr>
              <w:pStyle w:val="1111"/>
              <w:bidi w:val="0"/>
              <w:rPr>
                <w:rFonts w:hint="default"/>
              </w:rPr>
            </w:pPr>
            <w:r>
              <w:rPr>
                <w:rFonts w:hint="eastAsia"/>
                <w:lang w:val="en-US" w:eastAsia="zh-CN"/>
              </w:rPr>
              <w:t>-</w:t>
            </w:r>
          </w:p>
        </w:tc>
      </w:tr>
      <w:tr w14:paraId="65F171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29E36C0C">
            <w:pPr>
              <w:pStyle w:val="1111"/>
              <w:bidi w:val="0"/>
              <w:rPr>
                <w:rFonts w:hint="eastAsia"/>
                <w:lang w:val="en-US" w:eastAsia="zh-CN"/>
              </w:rPr>
            </w:pPr>
          </w:p>
        </w:tc>
        <w:tc>
          <w:tcPr>
            <w:tcW w:w="345" w:type="pct"/>
            <w:tcBorders>
              <w:tl2br w:val="nil"/>
              <w:tr2bl w:val="nil"/>
            </w:tcBorders>
            <w:shd w:val="clear" w:color="auto" w:fill="auto"/>
            <w:noWrap/>
            <w:vAlign w:val="center"/>
          </w:tcPr>
          <w:p w14:paraId="2BB89166">
            <w:pPr>
              <w:pStyle w:val="1111"/>
              <w:bidi w:val="0"/>
              <w:rPr>
                <w:rFonts w:hint="eastAsia"/>
              </w:rPr>
            </w:pPr>
            <w:r>
              <w:rPr>
                <w:rFonts w:hint="eastAsia"/>
                <w:lang w:val="en-US" w:eastAsia="zh-CN"/>
              </w:rPr>
              <w:t>35</w:t>
            </w:r>
          </w:p>
        </w:tc>
        <w:tc>
          <w:tcPr>
            <w:tcW w:w="1748" w:type="pct"/>
            <w:tcBorders>
              <w:tl2br w:val="nil"/>
              <w:tr2bl w:val="nil"/>
            </w:tcBorders>
            <w:shd w:val="clear" w:color="auto" w:fill="auto"/>
            <w:noWrap/>
            <w:vAlign w:val="center"/>
          </w:tcPr>
          <w:p w14:paraId="50DF49D9">
            <w:pPr>
              <w:pStyle w:val="1111"/>
              <w:bidi w:val="0"/>
              <w:rPr>
                <w:rFonts w:hint="eastAsia"/>
              </w:rPr>
            </w:pPr>
            <w:r>
              <w:rPr>
                <w:rFonts w:hint="eastAsia"/>
                <w:lang w:val="en-US" w:eastAsia="zh-CN"/>
              </w:rPr>
              <w:t>瑞豪房产（待建1）</w:t>
            </w:r>
          </w:p>
        </w:tc>
        <w:tc>
          <w:tcPr>
            <w:tcW w:w="474" w:type="pct"/>
            <w:tcBorders>
              <w:tl2br w:val="nil"/>
              <w:tr2bl w:val="nil"/>
            </w:tcBorders>
            <w:shd w:val="clear" w:color="auto" w:fill="auto"/>
            <w:noWrap/>
            <w:vAlign w:val="center"/>
          </w:tcPr>
          <w:p w14:paraId="65E0CE75">
            <w:pPr>
              <w:pStyle w:val="1111"/>
              <w:bidi w:val="0"/>
              <w:rPr>
                <w:rFonts w:hint="eastAsia"/>
              </w:rPr>
            </w:pPr>
            <w:r>
              <w:rPr>
                <w:rFonts w:hint="eastAsia"/>
                <w:lang w:val="en-US" w:eastAsia="zh-CN"/>
              </w:rPr>
              <w:t>NE</w:t>
            </w:r>
          </w:p>
        </w:tc>
        <w:tc>
          <w:tcPr>
            <w:tcW w:w="872" w:type="pct"/>
            <w:tcBorders>
              <w:tl2br w:val="nil"/>
              <w:tr2bl w:val="nil"/>
            </w:tcBorders>
            <w:shd w:val="clear" w:color="auto" w:fill="auto"/>
            <w:noWrap/>
            <w:vAlign w:val="center"/>
          </w:tcPr>
          <w:p w14:paraId="35A825D0">
            <w:pPr>
              <w:pStyle w:val="1111"/>
              <w:bidi w:val="0"/>
              <w:rPr>
                <w:rFonts w:hint="eastAsia"/>
              </w:rPr>
            </w:pPr>
            <w:r>
              <w:rPr>
                <w:rFonts w:hint="eastAsia"/>
                <w:lang w:val="en-US" w:eastAsia="zh-CN"/>
              </w:rPr>
              <w:t>2140</w:t>
            </w:r>
          </w:p>
        </w:tc>
        <w:tc>
          <w:tcPr>
            <w:tcW w:w="612" w:type="pct"/>
            <w:tcBorders>
              <w:tl2br w:val="nil"/>
              <w:tr2bl w:val="nil"/>
            </w:tcBorders>
            <w:shd w:val="clear" w:color="auto" w:fill="auto"/>
            <w:noWrap/>
            <w:vAlign w:val="center"/>
          </w:tcPr>
          <w:p w14:paraId="5BB8130D">
            <w:pPr>
              <w:pStyle w:val="1111"/>
              <w:bidi w:val="0"/>
              <w:rPr>
                <w:rFonts w:hint="eastAsia"/>
              </w:rPr>
            </w:pPr>
            <w:r>
              <w:rPr>
                <w:rFonts w:hint="eastAsia"/>
                <w:lang w:val="en-US" w:eastAsia="zh-CN"/>
              </w:rPr>
              <w:t>居民</w:t>
            </w:r>
          </w:p>
        </w:tc>
        <w:tc>
          <w:tcPr>
            <w:tcW w:w="599" w:type="pct"/>
            <w:tcBorders>
              <w:tl2br w:val="nil"/>
              <w:tr2bl w:val="nil"/>
            </w:tcBorders>
            <w:shd w:val="clear" w:color="auto" w:fill="auto"/>
            <w:vAlign w:val="center"/>
          </w:tcPr>
          <w:p w14:paraId="39201B97">
            <w:pPr>
              <w:pStyle w:val="1111"/>
              <w:bidi w:val="0"/>
              <w:rPr>
                <w:rFonts w:hint="default"/>
              </w:rPr>
            </w:pPr>
            <w:r>
              <w:rPr>
                <w:rFonts w:hint="eastAsia"/>
                <w:lang w:val="en-US" w:eastAsia="zh-CN"/>
              </w:rPr>
              <w:t>-</w:t>
            </w:r>
          </w:p>
        </w:tc>
      </w:tr>
      <w:tr w14:paraId="0AB255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68A352C2">
            <w:pPr>
              <w:pStyle w:val="1111"/>
              <w:bidi w:val="0"/>
              <w:rPr>
                <w:rFonts w:hint="eastAsia"/>
                <w:lang w:val="en-US" w:eastAsia="zh-CN"/>
              </w:rPr>
            </w:pPr>
          </w:p>
        </w:tc>
        <w:tc>
          <w:tcPr>
            <w:tcW w:w="345" w:type="pct"/>
            <w:tcBorders>
              <w:tl2br w:val="nil"/>
              <w:tr2bl w:val="nil"/>
            </w:tcBorders>
            <w:shd w:val="clear" w:color="auto" w:fill="auto"/>
            <w:noWrap/>
            <w:vAlign w:val="center"/>
          </w:tcPr>
          <w:p w14:paraId="149BE795">
            <w:pPr>
              <w:pStyle w:val="1111"/>
              <w:bidi w:val="0"/>
              <w:rPr>
                <w:rFonts w:hint="eastAsia"/>
              </w:rPr>
            </w:pPr>
            <w:r>
              <w:rPr>
                <w:rFonts w:hint="eastAsia"/>
                <w:lang w:val="en-US" w:eastAsia="zh-CN"/>
              </w:rPr>
              <w:t>36</w:t>
            </w:r>
          </w:p>
        </w:tc>
        <w:tc>
          <w:tcPr>
            <w:tcW w:w="1748" w:type="pct"/>
            <w:tcBorders>
              <w:tl2br w:val="nil"/>
              <w:tr2bl w:val="nil"/>
            </w:tcBorders>
            <w:shd w:val="clear" w:color="auto" w:fill="auto"/>
            <w:noWrap/>
            <w:vAlign w:val="center"/>
          </w:tcPr>
          <w:p w14:paraId="47954851">
            <w:pPr>
              <w:pStyle w:val="1111"/>
              <w:bidi w:val="0"/>
              <w:rPr>
                <w:rFonts w:hint="eastAsia"/>
              </w:rPr>
            </w:pPr>
            <w:r>
              <w:rPr>
                <w:rFonts w:hint="eastAsia"/>
                <w:lang w:val="en-US" w:eastAsia="zh-CN"/>
              </w:rPr>
              <w:t>新民社区</w:t>
            </w:r>
          </w:p>
        </w:tc>
        <w:tc>
          <w:tcPr>
            <w:tcW w:w="474" w:type="pct"/>
            <w:tcBorders>
              <w:tl2br w:val="nil"/>
              <w:tr2bl w:val="nil"/>
            </w:tcBorders>
            <w:shd w:val="clear" w:color="auto" w:fill="auto"/>
            <w:noWrap/>
            <w:vAlign w:val="center"/>
          </w:tcPr>
          <w:p w14:paraId="0BB8724C">
            <w:pPr>
              <w:pStyle w:val="1111"/>
              <w:bidi w:val="0"/>
              <w:rPr>
                <w:rFonts w:hint="eastAsia"/>
              </w:rPr>
            </w:pPr>
            <w:r>
              <w:rPr>
                <w:rFonts w:hint="eastAsia"/>
                <w:lang w:val="en-US" w:eastAsia="zh-CN"/>
              </w:rPr>
              <w:t>SE</w:t>
            </w:r>
          </w:p>
        </w:tc>
        <w:tc>
          <w:tcPr>
            <w:tcW w:w="872" w:type="pct"/>
            <w:tcBorders>
              <w:tl2br w:val="nil"/>
              <w:tr2bl w:val="nil"/>
            </w:tcBorders>
            <w:shd w:val="clear" w:color="auto" w:fill="auto"/>
            <w:noWrap/>
            <w:vAlign w:val="center"/>
          </w:tcPr>
          <w:p w14:paraId="5F4F0A40">
            <w:pPr>
              <w:pStyle w:val="1111"/>
              <w:bidi w:val="0"/>
              <w:rPr>
                <w:rFonts w:hint="eastAsia"/>
              </w:rPr>
            </w:pPr>
            <w:r>
              <w:rPr>
                <w:rFonts w:hint="eastAsia"/>
                <w:lang w:val="en-US" w:eastAsia="zh-CN"/>
              </w:rPr>
              <w:t>2192</w:t>
            </w:r>
          </w:p>
        </w:tc>
        <w:tc>
          <w:tcPr>
            <w:tcW w:w="612" w:type="pct"/>
            <w:tcBorders>
              <w:tl2br w:val="nil"/>
              <w:tr2bl w:val="nil"/>
            </w:tcBorders>
            <w:shd w:val="clear" w:color="auto" w:fill="auto"/>
            <w:noWrap/>
            <w:vAlign w:val="center"/>
          </w:tcPr>
          <w:p w14:paraId="58FEE175">
            <w:pPr>
              <w:pStyle w:val="1111"/>
              <w:bidi w:val="0"/>
              <w:rPr>
                <w:rFonts w:hint="eastAsia"/>
              </w:rPr>
            </w:pPr>
            <w:r>
              <w:rPr>
                <w:rFonts w:hint="eastAsia"/>
                <w:lang w:val="en-US" w:eastAsia="zh-CN"/>
              </w:rPr>
              <w:t>居民</w:t>
            </w:r>
          </w:p>
        </w:tc>
        <w:tc>
          <w:tcPr>
            <w:tcW w:w="599" w:type="pct"/>
            <w:tcBorders>
              <w:tl2br w:val="nil"/>
              <w:tr2bl w:val="nil"/>
            </w:tcBorders>
            <w:shd w:val="clear" w:color="auto" w:fill="auto"/>
            <w:vAlign w:val="center"/>
          </w:tcPr>
          <w:p w14:paraId="3241297C">
            <w:pPr>
              <w:pStyle w:val="1111"/>
              <w:bidi w:val="0"/>
              <w:rPr>
                <w:rFonts w:hint="default"/>
              </w:rPr>
            </w:pPr>
            <w:r>
              <w:rPr>
                <w:rFonts w:hint="default"/>
                <w:lang w:val="en-US" w:eastAsia="zh-CN"/>
              </w:rPr>
              <w:t>1211</w:t>
            </w:r>
          </w:p>
        </w:tc>
      </w:tr>
      <w:tr w14:paraId="3C938B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2F868662">
            <w:pPr>
              <w:pStyle w:val="1111"/>
              <w:bidi w:val="0"/>
              <w:rPr>
                <w:rFonts w:hint="eastAsia"/>
                <w:lang w:val="en-US" w:eastAsia="zh-CN"/>
              </w:rPr>
            </w:pPr>
          </w:p>
        </w:tc>
        <w:tc>
          <w:tcPr>
            <w:tcW w:w="345" w:type="pct"/>
            <w:tcBorders>
              <w:tl2br w:val="nil"/>
              <w:tr2bl w:val="nil"/>
            </w:tcBorders>
            <w:shd w:val="clear" w:color="auto" w:fill="auto"/>
            <w:noWrap/>
            <w:vAlign w:val="center"/>
          </w:tcPr>
          <w:p w14:paraId="1741305C">
            <w:pPr>
              <w:pStyle w:val="1111"/>
              <w:bidi w:val="0"/>
              <w:rPr>
                <w:rFonts w:hint="eastAsia"/>
              </w:rPr>
            </w:pPr>
            <w:r>
              <w:rPr>
                <w:rFonts w:hint="eastAsia"/>
                <w:lang w:val="en-US" w:eastAsia="zh-CN"/>
              </w:rPr>
              <w:t>37</w:t>
            </w:r>
          </w:p>
        </w:tc>
        <w:tc>
          <w:tcPr>
            <w:tcW w:w="1748" w:type="pct"/>
            <w:tcBorders>
              <w:tl2br w:val="nil"/>
              <w:tr2bl w:val="nil"/>
            </w:tcBorders>
            <w:shd w:val="clear" w:color="auto" w:fill="auto"/>
            <w:noWrap/>
            <w:vAlign w:val="center"/>
          </w:tcPr>
          <w:p w14:paraId="07EB8AEF">
            <w:pPr>
              <w:pStyle w:val="1111"/>
              <w:bidi w:val="0"/>
              <w:rPr>
                <w:rFonts w:hint="eastAsia"/>
              </w:rPr>
            </w:pPr>
            <w:r>
              <w:rPr>
                <w:rFonts w:hint="eastAsia"/>
                <w:lang w:val="en-US" w:eastAsia="zh-CN"/>
              </w:rPr>
              <w:t>绿地璀璨天城</w:t>
            </w:r>
          </w:p>
        </w:tc>
        <w:tc>
          <w:tcPr>
            <w:tcW w:w="474" w:type="pct"/>
            <w:tcBorders>
              <w:tl2br w:val="nil"/>
              <w:tr2bl w:val="nil"/>
            </w:tcBorders>
            <w:shd w:val="clear" w:color="auto" w:fill="auto"/>
            <w:noWrap/>
            <w:vAlign w:val="center"/>
          </w:tcPr>
          <w:p w14:paraId="72672464">
            <w:pPr>
              <w:pStyle w:val="1111"/>
              <w:bidi w:val="0"/>
              <w:rPr>
                <w:rFonts w:hint="eastAsia"/>
              </w:rPr>
            </w:pPr>
            <w:r>
              <w:rPr>
                <w:rFonts w:hint="eastAsia"/>
                <w:lang w:val="en-US" w:eastAsia="zh-CN"/>
              </w:rPr>
              <w:t>NE</w:t>
            </w:r>
          </w:p>
        </w:tc>
        <w:tc>
          <w:tcPr>
            <w:tcW w:w="872" w:type="pct"/>
            <w:tcBorders>
              <w:tl2br w:val="nil"/>
              <w:tr2bl w:val="nil"/>
            </w:tcBorders>
            <w:shd w:val="clear" w:color="auto" w:fill="auto"/>
            <w:noWrap/>
            <w:vAlign w:val="center"/>
          </w:tcPr>
          <w:p w14:paraId="67D4F5C2">
            <w:pPr>
              <w:pStyle w:val="1111"/>
              <w:bidi w:val="0"/>
              <w:rPr>
                <w:rFonts w:hint="eastAsia"/>
              </w:rPr>
            </w:pPr>
            <w:r>
              <w:rPr>
                <w:rFonts w:hint="eastAsia"/>
                <w:lang w:val="en-US" w:eastAsia="zh-CN"/>
              </w:rPr>
              <w:t>2290</w:t>
            </w:r>
          </w:p>
        </w:tc>
        <w:tc>
          <w:tcPr>
            <w:tcW w:w="612" w:type="pct"/>
            <w:tcBorders>
              <w:tl2br w:val="nil"/>
              <w:tr2bl w:val="nil"/>
            </w:tcBorders>
            <w:shd w:val="clear" w:color="auto" w:fill="auto"/>
            <w:noWrap/>
            <w:vAlign w:val="center"/>
          </w:tcPr>
          <w:p w14:paraId="40A78043">
            <w:pPr>
              <w:pStyle w:val="1111"/>
              <w:bidi w:val="0"/>
              <w:rPr>
                <w:rFonts w:hint="eastAsia"/>
              </w:rPr>
            </w:pPr>
            <w:r>
              <w:rPr>
                <w:rFonts w:hint="eastAsia"/>
                <w:lang w:val="en-US" w:eastAsia="zh-CN"/>
              </w:rPr>
              <w:t>居民</w:t>
            </w:r>
          </w:p>
        </w:tc>
        <w:tc>
          <w:tcPr>
            <w:tcW w:w="599" w:type="pct"/>
            <w:tcBorders>
              <w:tl2br w:val="nil"/>
              <w:tr2bl w:val="nil"/>
            </w:tcBorders>
            <w:shd w:val="clear" w:color="auto" w:fill="auto"/>
            <w:vAlign w:val="center"/>
          </w:tcPr>
          <w:p w14:paraId="11AAF049">
            <w:pPr>
              <w:pStyle w:val="1111"/>
              <w:bidi w:val="0"/>
              <w:rPr>
                <w:rFonts w:hint="default"/>
              </w:rPr>
            </w:pPr>
            <w:r>
              <w:rPr>
                <w:rFonts w:hint="default"/>
                <w:lang w:val="en-US" w:eastAsia="zh-CN"/>
              </w:rPr>
              <w:t>3276</w:t>
            </w:r>
          </w:p>
        </w:tc>
      </w:tr>
      <w:tr w14:paraId="270AC1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00E64EB9">
            <w:pPr>
              <w:pStyle w:val="1111"/>
              <w:bidi w:val="0"/>
              <w:rPr>
                <w:rFonts w:hint="eastAsia"/>
                <w:lang w:val="en-US" w:eastAsia="zh-CN"/>
              </w:rPr>
            </w:pPr>
          </w:p>
        </w:tc>
        <w:tc>
          <w:tcPr>
            <w:tcW w:w="345" w:type="pct"/>
            <w:tcBorders>
              <w:tl2br w:val="nil"/>
              <w:tr2bl w:val="nil"/>
            </w:tcBorders>
            <w:shd w:val="clear" w:color="auto" w:fill="auto"/>
            <w:noWrap/>
            <w:vAlign w:val="center"/>
          </w:tcPr>
          <w:p w14:paraId="4CA1ECDB">
            <w:pPr>
              <w:pStyle w:val="1111"/>
              <w:bidi w:val="0"/>
              <w:rPr>
                <w:rFonts w:hint="eastAsia"/>
              </w:rPr>
            </w:pPr>
            <w:r>
              <w:rPr>
                <w:rFonts w:hint="eastAsia"/>
                <w:lang w:val="en-US" w:eastAsia="zh-CN"/>
              </w:rPr>
              <w:t>38</w:t>
            </w:r>
          </w:p>
        </w:tc>
        <w:tc>
          <w:tcPr>
            <w:tcW w:w="1748" w:type="pct"/>
            <w:tcBorders>
              <w:tl2br w:val="nil"/>
              <w:tr2bl w:val="nil"/>
            </w:tcBorders>
            <w:shd w:val="clear" w:color="auto" w:fill="auto"/>
            <w:noWrap/>
            <w:vAlign w:val="center"/>
          </w:tcPr>
          <w:p w14:paraId="10AB3216">
            <w:pPr>
              <w:pStyle w:val="1111"/>
              <w:bidi w:val="0"/>
              <w:rPr>
                <w:rFonts w:hint="eastAsia"/>
              </w:rPr>
            </w:pPr>
            <w:r>
              <w:rPr>
                <w:rFonts w:hint="eastAsia"/>
                <w:lang w:val="en-US" w:eastAsia="zh-CN"/>
              </w:rPr>
              <w:t>绿地悦澜山</w:t>
            </w:r>
          </w:p>
        </w:tc>
        <w:tc>
          <w:tcPr>
            <w:tcW w:w="474" w:type="pct"/>
            <w:tcBorders>
              <w:tl2br w:val="nil"/>
              <w:tr2bl w:val="nil"/>
            </w:tcBorders>
            <w:shd w:val="clear" w:color="auto" w:fill="auto"/>
            <w:noWrap/>
            <w:vAlign w:val="center"/>
          </w:tcPr>
          <w:p w14:paraId="6C70F601">
            <w:pPr>
              <w:pStyle w:val="1111"/>
              <w:bidi w:val="0"/>
              <w:rPr>
                <w:rFonts w:hint="eastAsia"/>
              </w:rPr>
            </w:pPr>
            <w:r>
              <w:rPr>
                <w:rFonts w:hint="eastAsia"/>
                <w:lang w:val="en-US" w:eastAsia="zh-CN"/>
              </w:rPr>
              <w:t>NE</w:t>
            </w:r>
          </w:p>
        </w:tc>
        <w:tc>
          <w:tcPr>
            <w:tcW w:w="872" w:type="pct"/>
            <w:tcBorders>
              <w:tl2br w:val="nil"/>
              <w:tr2bl w:val="nil"/>
            </w:tcBorders>
            <w:shd w:val="clear" w:color="auto" w:fill="auto"/>
            <w:noWrap/>
            <w:vAlign w:val="center"/>
          </w:tcPr>
          <w:p w14:paraId="7C5432C9">
            <w:pPr>
              <w:pStyle w:val="1111"/>
              <w:bidi w:val="0"/>
              <w:rPr>
                <w:rFonts w:hint="eastAsia"/>
              </w:rPr>
            </w:pPr>
            <w:r>
              <w:rPr>
                <w:rFonts w:hint="eastAsia"/>
                <w:lang w:val="en-US" w:eastAsia="zh-CN"/>
              </w:rPr>
              <w:t>2299</w:t>
            </w:r>
          </w:p>
        </w:tc>
        <w:tc>
          <w:tcPr>
            <w:tcW w:w="612" w:type="pct"/>
            <w:tcBorders>
              <w:tl2br w:val="nil"/>
              <w:tr2bl w:val="nil"/>
            </w:tcBorders>
            <w:shd w:val="clear" w:color="auto" w:fill="auto"/>
            <w:noWrap/>
            <w:vAlign w:val="center"/>
          </w:tcPr>
          <w:p w14:paraId="17A8D3FE">
            <w:pPr>
              <w:pStyle w:val="1111"/>
              <w:bidi w:val="0"/>
              <w:rPr>
                <w:rFonts w:hint="eastAsia"/>
              </w:rPr>
            </w:pPr>
            <w:r>
              <w:rPr>
                <w:rFonts w:hint="eastAsia"/>
                <w:lang w:val="en-US" w:eastAsia="zh-CN"/>
              </w:rPr>
              <w:t>居民</w:t>
            </w:r>
          </w:p>
        </w:tc>
        <w:tc>
          <w:tcPr>
            <w:tcW w:w="599" w:type="pct"/>
            <w:tcBorders>
              <w:tl2br w:val="nil"/>
              <w:tr2bl w:val="nil"/>
            </w:tcBorders>
            <w:shd w:val="clear" w:color="auto" w:fill="auto"/>
            <w:vAlign w:val="center"/>
          </w:tcPr>
          <w:p w14:paraId="166A5FE3">
            <w:pPr>
              <w:pStyle w:val="1111"/>
              <w:bidi w:val="0"/>
              <w:rPr>
                <w:rFonts w:hint="default"/>
              </w:rPr>
            </w:pPr>
            <w:r>
              <w:rPr>
                <w:rFonts w:hint="default"/>
                <w:lang w:val="en-US" w:eastAsia="zh-CN"/>
              </w:rPr>
              <w:t>3834</w:t>
            </w:r>
          </w:p>
        </w:tc>
      </w:tr>
      <w:tr w14:paraId="22C382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45063ED9">
            <w:pPr>
              <w:pStyle w:val="1111"/>
              <w:bidi w:val="0"/>
              <w:rPr>
                <w:rFonts w:hint="eastAsia"/>
                <w:lang w:val="en-US" w:eastAsia="zh-CN"/>
              </w:rPr>
            </w:pPr>
          </w:p>
        </w:tc>
        <w:tc>
          <w:tcPr>
            <w:tcW w:w="345" w:type="pct"/>
            <w:tcBorders>
              <w:tl2br w:val="nil"/>
              <w:tr2bl w:val="nil"/>
            </w:tcBorders>
            <w:shd w:val="clear" w:color="auto" w:fill="auto"/>
            <w:noWrap/>
            <w:vAlign w:val="center"/>
          </w:tcPr>
          <w:p w14:paraId="2E93EF4F">
            <w:pPr>
              <w:pStyle w:val="1111"/>
              <w:bidi w:val="0"/>
              <w:rPr>
                <w:rFonts w:hint="eastAsia"/>
              </w:rPr>
            </w:pPr>
            <w:r>
              <w:rPr>
                <w:rFonts w:hint="eastAsia"/>
                <w:lang w:val="en-US" w:eastAsia="zh-CN"/>
              </w:rPr>
              <w:t>39</w:t>
            </w:r>
          </w:p>
        </w:tc>
        <w:tc>
          <w:tcPr>
            <w:tcW w:w="1748" w:type="pct"/>
            <w:tcBorders>
              <w:tl2br w:val="nil"/>
              <w:tr2bl w:val="nil"/>
            </w:tcBorders>
            <w:shd w:val="clear" w:color="auto" w:fill="auto"/>
            <w:noWrap/>
            <w:vAlign w:val="center"/>
          </w:tcPr>
          <w:p w14:paraId="1D1B5EE0">
            <w:pPr>
              <w:pStyle w:val="1111"/>
              <w:bidi w:val="0"/>
              <w:rPr>
                <w:rFonts w:hint="eastAsia"/>
              </w:rPr>
            </w:pPr>
            <w:r>
              <w:rPr>
                <w:rFonts w:hint="eastAsia"/>
                <w:lang w:val="en-US" w:eastAsia="zh-CN"/>
              </w:rPr>
              <w:t>美麟湖畔</w:t>
            </w:r>
          </w:p>
        </w:tc>
        <w:tc>
          <w:tcPr>
            <w:tcW w:w="474" w:type="pct"/>
            <w:tcBorders>
              <w:tl2br w:val="nil"/>
              <w:tr2bl w:val="nil"/>
            </w:tcBorders>
            <w:shd w:val="clear" w:color="auto" w:fill="auto"/>
            <w:noWrap/>
            <w:vAlign w:val="center"/>
          </w:tcPr>
          <w:p w14:paraId="4BF59674">
            <w:pPr>
              <w:pStyle w:val="1111"/>
              <w:bidi w:val="0"/>
              <w:rPr>
                <w:rFonts w:hint="eastAsia"/>
              </w:rPr>
            </w:pPr>
            <w:r>
              <w:rPr>
                <w:rFonts w:hint="eastAsia"/>
                <w:lang w:val="en-US" w:eastAsia="zh-CN"/>
              </w:rPr>
              <w:t>E</w:t>
            </w:r>
          </w:p>
        </w:tc>
        <w:tc>
          <w:tcPr>
            <w:tcW w:w="872" w:type="pct"/>
            <w:tcBorders>
              <w:tl2br w:val="nil"/>
              <w:tr2bl w:val="nil"/>
            </w:tcBorders>
            <w:shd w:val="clear" w:color="auto" w:fill="auto"/>
            <w:noWrap/>
            <w:vAlign w:val="center"/>
          </w:tcPr>
          <w:p w14:paraId="3835877A">
            <w:pPr>
              <w:pStyle w:val="1111"/>
              <w:bidi w:val="0"/>
              <w:rPr>
                <w:rFonts w:hint="eastAsia"/>
              </w:rPr>
            </w:pPr>
            <w:r>
              <w:rPr>
                <w:rFonts w:hint="eastAsia"/>
                <w:lang w:val="en-US" w:eastAsia="zh-CN"/>
              </w:rPr>
              <w:t>2316</w:t>
            </w:r>
          </w:p>
        </w:tc>
        <w:tc>
          <w:tcPr>
            <w:tcW w:w="612" w:type="pct"/>
            <w:tcBorders>
              <w:tl2br w:val="nil"/>
              <w:tr2bl w:val="nil"/>
            </w:tcBorders>
            <w:shd w:val="clear" w:color="auto" w:fill="auto"/>
            <w:noWrap/>
            <w:vAlign w:val="center"/>
          </w:tcPr>
          <w:p w14:paraId="59D4C413">
            <w:pPr>
              <w:pStyle w:val="1111"/>
              <w:bidi w:val="0"/>
              <w:rPr>
                <w:rFonts w:hint="eastAsia"/>
              </w:rPr>
            </w:pPr>
            <w:r>
              <w:rPr>
                <w:rFonts w:hint="eastAsia"/>
                <w:lang w:val="en-US" w:eastAsia="zh-CN"/>
              </w:rPr>
              <w:t>居民</w:t>
            </w:r>
          </w:p>
        </w:tc>
        <w:tc>
          <w:tcPr>
            <w:tcW w:w="599" w:type="pct"/>
            <w:tcBorders>
              <w:tl2br w:val="nil"/>
              <w:tr2bl w:val="nil"/>
            </w:tcBorders>
            <w:shd w:val="clear" w:color="auto" w:fill="auto"/>
            <w:vAlign w:val="center"/>
          </w:tcPr>
          <w:p w14:paraId="1E14815B">
            <w:pPr>
              <w:pStyle w:val="1111"/>
              <w:bidi w:val="0"/>
              <w:rPr>
                <w:rFonts w:hint="default"/>
              </w:rPr>
            </w:pPr>
            <w:r>
              <w:rPr>
                <w:rFonts w:hint="default"/>
                <w:lang w:val="en-US" w:eastAsia="zh-CN"/>
              </w:rPr>
              <w:t>1728</w:t>
            </w:r>
          </w:p>
        </w:tc>
      </w:tr>
      <w:tr w14:paraId="2A3661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729C8528">
            <w:pPr>
              <w:pStyle w:val="1111"/>
              <w:bidi w:val="0"/>
              <w:rPr>
                <w:rFonts w:hint="eastAsia"/>
                <w:lang w:val="en-US" w:eastAsia="zh-CN"/>
              </w:rPr>
            </w:pPr>
          </w:p>
        </w:tc>
        <w:tc>
          <w:tcPr>
            <w:tcW w:w="345" w:type="pct"/>
            <w:tcBorders>
              <w:tl2br w:val="nil"/>
              <w:tr2bl w:val="nil"/>
            </w:tcBorders>
            <w:shd w:val="clear" w:color="auto" w:fill="auto"/>
            <w:noWrap/>
            <w:vAlign w:val="center"/>
          </w:tcPr>
          <w:p w14:paraId="50F52992">
            <w:pPr>
              <w:pStyle w:val="1111"/>
              <w:bidi w:val="0"/>
              <w:rPr>
                <w:rFonts w:hint="eastAsia"/>
              </w:rPr>
            </w:pPr>
            <w:r>
              <w:rPr>
                <w:rFonts w:hint="eastAsia"/>
                <w:lang w:val="en-US" w:eastAsia="zh-CN"/>
              </w:rPr>
              <w:t>40</w:t>
            </w:r>
          </w:p>
        </w:tc>
        <w:tc>
          <w:tcPr>
            <w:tcW w:w="1748" w:type="pct"/>
            <w:tcBorders>
              <w:tl2br w:val="nil"/>
              <w:tr2bl w:val="nil"/>
            </w:tcBorders>
            <w:shd w:val="clear" w:color="auto" w:fill="auto"/>
            <w:noWrap/>
            <w:vAlign w:val="center"/>
          </w:tcPr>
          <w:p w14:paraId="76743516">
            <w:pPr>
              <w:pStyle w:val="1111"/>
              <w:bidi w:val="0"/>
              <w:rPr>
                <w:rFonts w:hint="eastAsia"/>
              </w:rPr>
            </w:pPr>
            <w:r>
              <w:rPr>
                <w:rFonts w:hint="eastAsia"/>
                <w:lang w:val="en-US" w:eastAsia="zh-CN"/>
              </w:rPr>
              <w:t>港馨花园</w:t>
            </w:r>
          </w:p>
        </w:tc>
        <w:tc>
          <w:tcPr>
            <w:tcW w:w="474" w:type="pct"/>
            <w:tcBorders>
              <w:tl2br w:val="nil"/>
              <w:tr2bl w:val="nil"/>
            </w:tcBorders>
            <w:shd w:val="clear" w:color="auto" w:fill="auto"/>
            <w:noWrap/>
            <w:vAlign w:val="center"/>
          </w:tcPr>
          <w:p w14:paraId="489B7615">
            <w:pPr>
              <w:pStyle w:val="1111"/>
              <w:bidi w:val="0"/>
              <w:rPr>
                <w:rFonts w:hint="eastAsia"/>
              </w:rPr>
            </w:pPr>
            <w:r>
              <w:rPr>
                <w:rFonts w:hint="eastAsia"/>
                <w:lang w:val="en-US" w:eastAsia="zh-CN"/>
              </w:rPr>
              <w:t>SE</w:t>
            </w:r>
          </w:p>
        </w:tc>
        <w:tc>
          <w:tcPr>
            <w:tcW w:w="872" w:type="pct"/>
            <w:tcBorders>
              <w:tl2br w:val="nil"/>
              <w:tr2bl w:val="nil"/>
            </w:tcBorders>
            <w:shd w:val="clear" w:color="auto" w:fill="auto"/>
            <w:noWrap/>
            <w:vAlign w:val="center"/>
          </w:tcPr>
          <w:p w14:paraId="3A4F47B5">
            <w:pPr>
              <w:pStyle w:val="1111"/>
              <w:bidi w:val="0"/>
              <w:rPr>
                <w:rFonts w:hint="eastAsia"/>
              </w:rPr>
            </w:pPr>
            <w:r>
              <w:rPr>
                <w:rFonts w:hint="eastAsia"/>
                <w:lang w:val="en-US" w:eastAsia="zh-CN"/>
              </w:rPr>
              <w:t>2409</w:t>
            </w:r>
          </w:p>
        </w:tc>
        <w:tc>
          <w:tcPr>
            <w:tcW w:w="612" w:type="pct"/>
            <w:tcBorders>
              <w:tl2br w:val="nil"/>
              <w:tr2bl w:val="nil"/>
            </w:tcBorders>
            <w:shd w:val="clear" w:color="auto" w:fill="auto"/>
            <w:noWrap/>
            <w:vAlign w:val="center"/>
          </w:tcPr>
          <w:p w14:paraId="5F98A5FF">
            <w:pPr>
              <w:pStyle w:val="1111"/>
              <w:bidi w:val="0"/>
              <w:rPr>
                <w:rFonts w:hint="eastAsia"/>
              </w:rPr>
            </w:pPr>
            <w:r>
              <w:rPr>
                <w:rFonts w:hint="eastAsia"/>
                <w:lang w:val="en-US" w:eastAsia="zh-CN"/>
              </w:rPr>
              <w:t>居民</w:t>
            </w:r>
          </w:p>
        </w:tc>
        <w:tc>
          <w:tcPr>
            <w:tcW w:w="599" w:type="pct"/>
            <w:tcBorders>
              <w:tl2br w:val="nil"/>
              <w:tr2bl w:val="nil"/>
            </w:tcBorders>
            <w:shd w:val="clear" w:color="auto" w:fill="auto"/>
            <w:vAlign w:val="center"/>
          </w:tcPr>
          <w:p w14:paraId="6F2BEAA1">
            <w:pPr>
              <w:pStyle w:val="1111"/>
              <w:bidi w:val="0"/>
              <w:rPr>
                <w:rFonts w:hint="default"/>
              </w:rPr>
            </w:pPr>
            <w:r>
              <w:rPr>
                <w:rFonts w:hint="default"/>
                <w:lang w:val="en-US" w:eastAsia="zh-CN"/>
              </w:rPr>
              <w:t>1826</w:t>
            </w:r>
          </w:p>
        </w:tc>
      </w:tr>
      <w:tr w14:paraId="60DFC5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328C92F4">
            <w:pPr>
              <w:pStyle w:val="1111"/>
              <w:bidi w:val="0"/>
              <w:rPr>
                <w:rFonts w:hint="eastAsia"/>
                <w:lang w:val="en-US" w:eastAsia="zh-CN"/>
              </w:rPr>
            </w:pPr>
          </w:p>
        </w:tc>
        <w:tc>
          <w:tcPr>
            <w:tcW w:w="345" w:type="pct"/>
            <w:tcBorders>
              <w:tl2br w:val="nil"/>
              <w:tr2bl w:val="nil"/>
            </w:tcBorders>
            <w:shd w:val="clear" w:color="auto" w:fill="auto"/>
            <w:noWrap/>
            <w:vAlign w:val="center"/>
          </w:tcPr>
          <w:p w14:paraId="3D845B7A">
            <w:pPr>
              <w:pStyle w:val="1111"/>
              <w:bidi w:val="0"/>
              <w:rPr>
                <w:rFonts w:hint="eastAsia"/>
              </w:rPr>
            </w:pPr>
            <w:r>
              <w:rPr>
                <w:rFonts w:hint="eastAsia"/>
                <w:lang w:val="en-US" w:eastAsia="zh-CN"/>
              </w:rPr>
              <w:t>41</w:t>
            </w:r>
          </w:p>
        </w:tc>
        <w:tc>
          <w:tcPr>
            <w:tcW w:w="1748" w:type="pct"/>
            <w:tcBorders>
              <w:tl2br w:val="nil"/>
              <w:tr2bl w:val="nil"/>
            </w:tcBorders>
            <w:shd w:val="clear" w:color="auto" w:fill="auto"/>
            <w:noWrap/>
            <w:vAlign w:val="center"/>
          </w:tcPr>
          <w:p w14:paraId="4E0764FF">
            <w:pPr>
              <w:pStyle w:val="1111"/>
              <w:bidi w:val="0"/>
              <w:rPr>
                <w:rFonts w:hint="eastAsia"/>
              </w:rPr>
            </w:pPr>
            <w:r>
              <w:rPr>
                <w:rFonts w:hint="eastAsia"/>
                <w:lang w:val="en-US" w:eastAsia="zh-CN"/>
              </w:rPr>
              <w:t>瑞豪房产（待建）2</w:t>
            </w:r>
          </w:p>
        </w:tc>
        <w:tc>
          <w:tcPr>
            <w:tcW w:w="474" w:type="pct"/>
            <w:tcBorders>
              <w:tl2br w:val="nil"/>
              <w:tr2bl w:val="nil"/>
            </w:tcBorders>
            <w:shd w:val="clear" w:color="auto" w:fill="auto"/>
            <w:noWrap/>
            <w:vAlign w:val="center"/>
          </w:tcPr>
          <w:p w14:paraId="67BFEF9E">
            <w:pPr>
              <w:pStyle w:val="1111"/>
              <w:bidi w:val="0"/>
              <w:rPr>
                <w:rFonts w:hint="eastAsia"/>
              </w:rPr>
            </w:pPr>
            <w:r>
              <w:rPr>
                <w:rFonts w:hint="eastAsia"/>
                <w:lang w:val="en-US" w:eastAsia="zh-CN"/>
              </w:rPr>
              <w:t>NE</w:t>
            </w:r>
          </w:p>
        </w:tc>
        <w:tc>
          <w:tcPr>
            <w:tcW w:w="872" w:type="pct"/>
            <w:tcBorders>
              <w:tl2br w:val="nil"/>
              <w:tr2bl w:val="nil"/>
            </w:tcBorders>
            <w:shd w:val="clear" w:color="auto" w:fill="auto"/>
            <w:noWrap/>
            <w:vAlign w:val="center"/>
          </w:tcPr>
          <w:p w14:paraId="56B9F8DA">
            <w:pPr>
              <w:pStyle w:val="1111"/>
              <w:bidi w:val="0"/>
              <w:rPr>
                <w:rFonts w:hint="eastAsia"/>
              </w:rPr>
            </w:pPr>
            <w:r>
              <w:rPr>
                <w:rFonts w:hint="eastAsia"/>
                <w:lang w:val="en-US" w:eastAsia="zh-CN"/>
              </w:rPr>
              <w:t>2416</w:t>
            </w:r>
          </w:p>
        </w:tc>
        <w:tc>
          <w:tcPr>
            <w:tcW w:w="612" w:type="pct"/>
            <w:tcBorders>
              <w:tl2br w:val="nil"/>
              <w:tr2bl w:val="nil"/>
            </w:tcBorders>
            <w:shd w:val="clear" w:color="auto" w:fill="auto"/>
            <w:noWrap/>
            <w:vAlign w:val="center"/>
          </w:tcPr>
          <w:p w14:paraId="2BA509BA">
            <w:pPr>
              <w:pStyle w:val="1111"/>
              <w:bidi w:val="0"/>
              <w:rPr>
                <w:rFonts w:hint="eastAsia"/>
              </w:rPr>
            </w:pPr>
            <w:r>
              <w:rPr>
                <w:rFonts w:hint="eastAsia"/>
                <w:lang w:val="en-US" w:eastAsia="zh-CN"/>
              </w:rPr>
              <w:t>居民</w:t>
            </w:r>
          </w:p>
        </w:tc>
        <w:tc>
          <w:tcPr>
            <w:tcW w:w="599" w:type="pct"/>
            <w:tcBorders>
              <w:tl2br w:val="nil"/>
              <w:tr2bl w:val="nil"/>
            </w:tcBorders>
            <w:shd w:val="clear" w:color="auto" w:fill="auto"/>
            <w:vAlign w:val="center"/>
          </w:tcPr>
          <w:p w14:paraId="336B5999">
            <w:pPr>
              <w:pStyle w:val="1111"/>
              <w:bidi w:val="0"/>
              <w:rPr>
                <w:rFonts w:hint="default"/>
              </w:rPr>
            </w:pPr>
            <w:r>
              <w:rPr>
                <w:rFonts w:hint="eastAsia"/>
                <w:lang w:val="en-US" w:eastAsia="zh-CN"/>
              </w:rPr>
              <w:t>-</w:t>
            </w:r>
          </w:p>
        </w:tc>
      </w:tr>
      <w:tr w14:paraId="36E9E4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5797D1E2">
            <w:pPr>
              <w:pStyle w:val="1111"/>
              <w:bidi w:val="0"/>
              <w:rPr>
                <w:rFonts w:hint="eastAsia"/>
                <w:lang w:val="en-US" w:eastAsia="zh-CN"/>
              </w:rPr>
            </w:pPr>
          </w:p>
        </w:tc>
        <w:tc>
          <w:tcPr>
            <w:tcW w:w="345" w:type="pct"/>
            <w:tcBorders>
              <w:tl2br w:val="nil"/>
              <w:tr2bl w:val="nil"/>
            </w:tcBorders>
            <w:shd w:val="clear" w:color="auto" w:fill="auto"/>
            <w:noWrap/>
            <w:vAlign w:val="center"/>
          </w:tcPr>
          <w:p w14:paraId="43D32942">
            <w:pPr>
              <w:pStyle w:val="1111"/>
              <w:bidi w:val="0"/>
              <w:rPr>
                <w:rFonts w:hint="eastAsia"/>
              </w:rPr>
            </w:pPr>
            <w:r>
              <w:rPr>
                <w:rFonts w:hint="eastAsia"/>
                <w:lang w:val="en-US" w:eastAsia="zh-CN"/>
              </w:rPr>
              <w:t>42</w:t>
            </w:r>
          </w:p>
        </w:tc>
        <w:tc>
          <w:tcPr>
            <w:tcW w:w="1748" w:type="pct"/>
            <w:tcBorders>
              <w:tl2br w:val="nil"/>
              <w:tr2bl w:val="nil"/>
            </w:tcBorders>
            <w:shd w:val="clear" w:color="auto" w:fill="auto"/>
            <w:noWrap/>
            <w:vAlign w:val="center"/>
          </w:tcPr>
          <w:p w14:paraId="46ED272C">
            <w:pPr>
              <w:pStyle w:val="1111"/>
              <w:bidi w:val="0"/>
              <w:rPr>
                <w:rFonts w:hint="eastAsia"/>
              </w:rPr>
            </w:pPr>
            <w:r>
              <w:rPr>
                <w:rFonts w:hint="eastAsia"/>
                <w:lang w:val="en-US" w:eastAsia="zh-CN"/>
              </w:rPr>
              <w:t>文明社区</w:t>
            </w:r>
          </w:p>
        </w:tc>
        <w:tc>
          <w:tcPr>
            <w:tcW w:w="474" w:type="pct"/>
            <w:tcBorders>
              <w:tl2br w:val="nil"/>
              <w:tr2bl w:val="nil"/>
            </w:tcBorders>
            <w:shd w:val="clear" w:color="auto" w:fill="auto"/>
            <w:noWrap/>
            <w:vAlign w:val="center"/>
          </w:tcPr>
          <w:p w14:paraId="3859991F">
            <w:pPr>
              <w:pStyle w:val="1111"/>
              <w:bidi w:val="0"/>
              <w:rPr>
                <w:rFonts w:hint="eastAsia"/>
              </w:rPr>
            </w:pPr>
            <w:r>
              <w:rPr>
                <w:rFonts w:hint="eastAsia"/>
                <w:lang w:val="en-US" w:eastAsia="zh-CN"/>
              </w:rPr>
              <w:t>SE</w:t>
            </w:r>
          </w:p>
        </w:tc>
        <w:tc>
          <w:tcPr>
            <w:tcW w:w="872" w:type="pct"/>
            <w:tcBorders>
              <w:tl2br w:val="nil"/>
              <w:tr2bl w:val="nil"/>
            </w:tcBorders>
            <w:shd w:val="clear" w:color="auto" w:fill="auto"/>
            <w:noWrap/>
            <w:vAlign w:val="center"/>
          </w:tcPr>
          <w:p w14:paraId="12B1F08A">
            <w:pPr>
              <w:pStyle w:val="1111"/>
              <w:bidi w:val="0"/>
              <w:rPr>
                <w:rFonts w:hint="eastAsia"/>
              </w:rPr>
            </w:pPr>
            <w:r>
              <w:rPr>
                <w:rFonts w:hint="eastAsia"/>
                <w:lang w:val="en-US" w:eastAsia="zh-CN"/>
              </w:rPr>
              <w:t>2421</w:t>
            </w:r>
          </w:p>
        </w:tc>
        <w:tc>
          <w:tcPr>
            <w:tcW w:w="612" w:type="pct"/>
            <w:tcBorders>
              <w:tl2br w:val="nil"/>
              <w:tr2bl w:val="nil"/>
            </w:tcBorders>
            <w:shd w:val="clear" w:color="auto" w:fill="auto"/>
            <w:noWrap/>
            <w:vAlign w:val="center"/>
          </w:tcPr>
          <w:p w14:paraId="4A2DBCD1">
            <w:pPr>
              <w:pStyle w:val="1111"/>
              <w:bidi w:val="0"/>
              <w:rPr>
                <w:rFonts w:hint="eastAsia"/>
              </w:rPr>
            </w:pPr>
            <w:r>
              <w:rPr>
                <w:rFonts w:hint="eastAsia"/>
                <w:lang w:val="en-US" w:eastAsia="zh-CN"/>
              </w:rPr>
              <w:t>居民</w:t>
            </w:r>
          </w:p>
        </w:tc>
        <w:tc>
          <w:tcPr>
            <w:tcW w:w="599" w:type="pct"/>
            <w:tcBorders>
              <w:tl2br w:val="nil"/>
              <w:tr2bl w:val="nil"/>
            </w:tcBorders>
            <w:shd w:val="clear" w:color="auto" w:fill="auto"/>
            <w:vAlign w:val="center"/>
          </w:tcPr>
          <w:p w14:paraId="20F07C71">
            <w:pPr>
              <w:pStyle w:val="1111"/>
              <w:bidi w:val="0"/>
              <w:rPr>
                <w:rFonts w:hint="default"/>
              </w:rPr>
            </w:pPr>
            <w:r>
              <w:rPr>
                <w:rFonts w:hint="default"/>
                <w:lang w:val="en-US" w:eastAsia="zh-CN"/>
              </w:rPr>
              <w:t>2468</w:t>
            </w:r>
          </w:p>
        </w:tc>
      </w:tr>
      <w:tr w14:paraId="405A4A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1F2F444B">
            <w:pPr>
              <w:pStyle w:val="1111"/>
              <w:bidi w:val="0"/>
              <w:rPr>
                <w:rFonts w:hint="eastAsia"/>
                <w:lang w:val="en-US" w:eastAsia="zh-CN"/>
              </w:rPr>
            </w:pPr>
          </w:p>
        </w:tc>
        <w:tc>
          <w:tcPr>
            <w:tcW w:w="345" w:type="pct"/>
            <w:tcBorders>
              <w:tl2br w:val="nil"/>
              <w:tr2bl w:val="nil"/>
            </w:tcBorders>
            <w:shd w:val="clear" w:color="auto" w:fill="auto"/>
            <w:noWrap/>
            <w:vAlign w:val="center"/>
          </w:tcPr>
          <w:p w14:paraId="3D304A36">
            <w:pPr>
              <w:pStyle w:val="1111"/>
              <w:bidi w:val="0"/>
              <w:rPr>
                <w:rFonts w:hint="eastAsia"/>
              </w:rPr>
            </w:pPr>
            <w:r>
              <w:rPr>
                <w:rFonts w:hint="eastAsia"/>
                <w:lang w:val="en-US" w:eastAsia="zh-CN"/>
              </w:rPr>
              <w:t>43</w:t>
            </w:r>
          </w:p>
        </w:tc>
        <w:tc>
          <w:tcPr>
            <w:tcW w:w="1748" w:type="pct"/>
            <w:tcBorders>
              <w:tl2br w:val="nil"/>
              <w:tr2bl w:val="nil"/>
            </w:tcBorders>
            <w:shd w:val="clear" w:color="auto" w:fill="auto"/>
            <w:noWrap/>
            <w:vAlign w:val="center"/>
          </w:tcPr>
          <w:p w14:paraId="1D11721E">
            <w:pPr>
              <w:pStyle w:val="1111"/>
              <w:bidi w:val="0"/>
              <w:rPr>
                <w:rFonts w:hint="eastAsia"/>
              </w:rPr>
            </w:pPr>
            <w:r>
              <w:rPr>
                <w:rFonts w:hint="eastAsia"/>
                <w:lang w:val="en-US" w:eastAsia="zh-CN"/>
              </w:rPr>
              <w:t>猴嘴中心幼儿园</w:t>
            </w:r>
          </w:p>
        </w:tc>
        <w:tc>
          <w:tcPr>
            <w:tcW w:w="474" w:type="pct"/>
            <w:tcBorders>
              <w:tl2br w:val="nil"/>
              <w:tr2bl w:val="nil"/>
            </w:tcBorders>
            <w:shd w:val="clear" w:color="auto" w:fill="auto"/>
            <w:noWrap/>
            <w:vAlign w:val="center"/>
          </w:tcPr>
          <w:p w14:paraId="5C40C90A">
            <w:pPr>
              <w:pStyle w:val="1111"/>
              <w:bidi w:val="0"/>
              <w:rPr>
                <w:rFonts w:hint="eastAsia"/>
              </w:rPr>
            </w:pPr>
            <w:r>
              <w:rPr>
                <w:rFonts w:hint="eastAsia"/>
                <w:lang w:val="en-US" w:eastAsia="zh-CN"/>
              </w:rPr>
              <w:t>SE</w:t>
            </w:r>
          </w:p>
        </w:tc>
        <w:tc>
          <w:tcPr>
            <w:tcW w:w="872" w:type="pct"/>
            <w:tcBorders>
              <w:tl2br w:val="nil"/>
              <w:tr2bl w:val="nil"/>
            </w:tcBorders>
            <w:shd w:val="clear" w:color="auto" w:fill="auto"/>
            <w:noWrap/>
            <w:vAlign w:val="center"/>
          </w:tcPr>
          <w:p w14:paraId="1DB609B1">
            <w:pPr>
              <w:pStyle w:val="1111"/>
              <w:bidi w:val="0"/>
              <w:rPr>
                <w:rFonts w:hint="eastAsia"/>
              </w:rPr>
            </w:pPr>
            <w:r>
              <w:rPr>
                <w:rFonts w:hint="eastAsia"/>
                <w:lang w:val="en-US" w:eastAsia="zh-CN"/>
              </w:rPr>
              <w:t>2444</w:t>
            </w:r>
          </w:p>
        </w:tc>
        <w:tc>
          <w:tcPr>
            <w:tcW w:w="612" w:type="pct"/>
            <w:tcBorders>
              <w:tl2br w:val="nil"/>
              <w:tr2bl w:val="nil"/>
            </w:tcBorders>
            <w:shd w:val="clear" w:color="auto" w:fill="auto"/>
            <w:noWrap/>
            <w:vAlign w:val="center"/>
          </w:tcPr>
          <w:p w14:paraId="07E1A282">
            <w:pPr>
              <w:pStyle w:val="1111"/>
              <w:bidi w:val="0"/>
              <w:rPr>
                <w:rFonts w:hint="eastAsia"/>
              </w:rPr>
            </w:pPr>
            <w:r>
              <w:rPr>
                <w:rFonts w:hint="eastAsia"/>
                <w:lang w:val="en-US" w:eastAsia="zh-CN"/>
              </w:rPr>
              <w:t>教育</w:t>
            </w:r>
          </w:p>
        </w:tc>
        <w:tc>
          <w:tcPr>
            <w:tcW w:w="599" w:type="pct"/>
            <w:tcBorders>
              <w:tl2br w:val="nil"/>
              <w:tr2bl w:val="nil"/>
            </w:tcBorders>
            <w:shd w:val="clear" w:color="auto" w:fill="auto"/>
            <w:vAlign w:val="center"/>
          </w:tcPr>
          <w:p w14:paraId="3D6F2D4C">
            <w:pPr>
              <w:pStyle w:val="1111"/>
              <w:bidi w:val="0"/>
              <w:rPr>
                <w:rFonts w:hint="default"/>
              </w:rPr>
            </w:pPr>
            <w:r>
              <w:rPr>
                <w:rFonts w:hint="default"/>
                <w:lang w:val="en-US" w:eastAsia="zh-CN"/>
              </w:rPr>
              <w:t>200</w:t>
            </w:r>
          </w:p>
        </w:tc>
      </w:tr>
      <w:tr w14:paraId="5C4032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5BD03327">
            <w:pPr>
              <w:pStyle w:val="1111"/>
              <w:bidi w:val="0"/>
              <w:rPr>
                <w:rFonts w:hint="eastAsia"/>
                <w:lang w:val="en-US" w:eastAsia="zh-CN"/>
              </w:rPr>
            </w:pPr>
          </w:p>
        </w:tc>
        <w:tc>
          <w:tcPr>
            <w:tcW w:w="345" w:type="pct"/>
            <w:tcBorders>
              <w:tl2br w:val="nil"/>
              <w:tr2bl w:val="nil"/>
            </w:tcBorders>
            <w:shd w:val="clear" w:color="auto" w:fill="auto"/>
            <w:noWrap/>
            <w:vAlign w:val="center"/>
          </w:tcPr>
          <w:p w14:paraId="578C407C">
            <w:pPr>
              <w:pStyle w:val="1111"/>
              <w:bidi w:val="0"/>
              <w:rPr>
                <w:rFonts w:hint="eastAsia"/>
              </w:rPr>
            </w:pPr>
            <w:r>
              <w:rPr>
                <w:rFonts w:hint="eastAsia"/>
                <w:lang w:val="en-US" w:eastAsia="zh-CN"/>
              </w:rPr>
              <w:t>44</w:t>
            </w:r>
          </w:p>
        </w:tc>
        <w:tc>
          <w:tcPr>
            <w:tcW w:w="1748" w:type="pct"/>
            <w:tcBorders>
              <w:tl2br w:val="nil"/>
              <w:tr2bl w:val="nil"/>
            </w:tcBorders>
            <w:shd w:val="clear" w:color="auto" w:fill="auto"/>
            <w:noWrap/>
            <w:vAlign w:val="center"/>
          </w:tcPr>
          <w:p w14:paraId="11C82C56">
            <w:pPr>
              <w:pStyle w:val="1111"/>
              <w:bidi w:val="0"/>
              <w:rPr>
                <w:rFonts w:hint="eastAsia"/>
              </w:rPr>
            </w:pPr>
            <w:r>
              <w:rPr>
                <w:rFonts w:hint="eastAsia"/>
                <w:lang w:val="en-US" w:eastAsia="zh-CN"/>
              </w:rPr>
              <w:t>人社窗口</w:t>
            </w:r>
          </w:p>
        </w:tc>
        <w:tc>
          <w:tcPr>
            <w:tcW w:w="474" w:type="pct"/>
            <w:tcBorders>
              <w:tl2br w:val="nil"/>
              <w:tr2bl w:val="nil"/>
            </w:tcBorders>
            <w:shd w:val="clear" w:color="auto" w:fill="auto"/>
            <w:noWrap/>
            <w:vAlign w:val="center"/>
          </w:tcPr>
          <w:p w14:paraId="1E54339D">
            <w:pPr>
              <w:pStyle w:val="1111"/>
              <w:bidi w:val="0"/>
              <w:rPr>
                <w:rFonts w:hint="eastAsia"/>
              </w:rPr>
            </w:pPr>
            <w:r>
              <w:rPr>
                <w:rFonts w:hint="eastAsia"/>
                <w:lang w:val="en-US" w:eastAsia="zh-CN"/>
              </w:rPr>
              <w:t>SE</w:t>
            </w:r>
          </w:p>
        </w:tc>
        <w:tc>
          <w:tcPr>
            <w:tcW w:w="872" w:type="pct"/>
            <w:tcBorders>
              <w:tl2br w:val="nil"/>
              <w:tr2bl w:val="nil"/>
            </w:tcBorders>
            <w:shd w:val="clear" w:color="auto" w:fill="auto"/>
            <w:noWrap/>
            <w:vAlign w:val="center"/>
          </w:tcPr>
          <w:p w14:paraId="1E5A0CA5">
            <w:pPr>
              <w:pStyle w:val="1111"/>
              <w:bidi w:val="0"/>
              <w:rPr>
                <w:rFonts w:hint="eastAsia"/>
              </w:rPr>
            </w:pPr>
            <w:r>
              <w:rPr>
                <w:rFonts w:hint="eastAsia"/>
                <w:lang w:val="en-US" w:eastAsia="zh-CN"/>
              </w:rPr>
              <w:t>2464</w:t>
            </w:r>
          </w:p>
        </w:tc>
        <w:tc>
          <w:tcPr>
            <w:tcW w:w="612" w:type="pct"/>
            <w:tcBorders>
              <w:tl2br w:val="nil"/>
              <w:tr2bl w:val="nil"/>
            </w:tcBorders>
            <w:shd w:val="clear" w:color="auto" w:fill="auto"/>
            <w:noWrap/>
            <w:vAlign w:val="center"/>
          </w:tcPr>
          <w:p w14:paraId="02FFCF9F">
            <w:pPr>
              <w:pStyle w:val="1111"/>
              <w:bidi w:val="0"/>
              <w:rPr>
                <w:rFonts w:hint="eastAsia"/>
              </w:rPr>
            </w:pPr>
            <w:r>
              <w:rPr>
                <w:rFonts w:hint="eastAsia"/>
                <w:lang w:val="en-US" w:eastAsia="zh-CN"/>
              </w:rPr>
              <w:t>办公</w:t>
            </w:r>
          </w:p>
        </w:tc>
        <w:tc>
          <w:tcPr>
            <w:tcW w:w="599" w:type="pct"/>
            <w:tcBorders>
              <w:tl2br w:val="nil"/>
              <w:tr2bl w:val="nil"/>
            </w:tcBorders>
            <w:shd w:val="clear" w:color="auto" w:fill="auto"/>
            <w:vAlign w:val="center"/>
          </w:tcPr>
          <w:p w14:paraId="3A05F4EC">
            <w:pPr>
              <w:pStyle w:val="1111"/>
              <w:bidi w:val="0"/>
              <w:rPr>
                <w:rFonts w:hint="default"/>
              </w:rPr>
            </w:pPr>
            <w:r>
              <w:rPr>
                <w:rFonts w:hint="default"/>
                <w:lang w:val="en-US" w:eastAsia="zh-CN"/>
              </w:rPr>
              <w:t>50</w:t>
            </w:r>
          </w:p>
        </w:tc>
      </w:tr>
      <w:tr w14:paraId="0567D7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76831785">
            <w:pPr>
              <w:pStyle w:val="1111"/>
              <w:bidi w:val="0"/>
              <w:rPr>
                <w:rFonts w:hint="eastAsia"/>
                <w:lang w:val="en-US" w:eastAsia="zh-CN"/>
              </w:rPr>
            </w:pPr>
          </w:p>
        </w:tc>
        <w:tc>
          <w:tcPr>
            <w:tcW w:w="345" w:type="pct"/>
            <w:tcBorders>
              <w:tl2br w:val="nil"/>
              <w:tr2bl w:val="nil"/>
            </w:tcBorders>
            <w:shd w:val="clear" w:color="auto" w:fill="auto"/>
            <w:noWrap/>
            <w:vAlign w:val="center"/>
          </w:tcPr>
          <w:p w14:paraId="7899DE6D">
            <w:pPr>
              <w:pStyle w:val="1111"/>
              <w:bidi w:val="0"/>
              <w:rPr>
                <w:rFonts w:hint="eastAsia"/>
              </w:rPr>
            </w:pPr>
            <w:r>
              <w:rPr>
                <w:rFonts w:hint="eastAsia"/>
                <w:lang w:val="en-US" w:eastAsia="zh-CN"/>
              </w:rPr>
              <w:t>45</w:t>
            </w:r>
          </w:p>
        </w:tc>
        <w:tc>
          <w:tcPr>
            <w:tcW w:w="1748" w:type="pct"/>
            <w:tcBorders>
              <w:tl2br w:val="nil"/>
              <w:tr2bl w:val="nil"/>
            </w:tcBorders>
            <w:shd w:val="clear" w:color="auto" w:fill="auto"/>
            <w:noWrap/>
            <w:vAlign w:val="center"/>
          </w:tcPr>
          <w:p w14:paraId="0C27C6CD">
            <w:pPr>
              <w:pStyle w:val="1111"/>
              <w:bidi w:val="0"/>
              <w:rPr>
                <w:rFonts w:hint="eastAsia"/>
              </w:rPr>
            </w:pPr>
            <w:r>
              <w:rPr>
                <w:rFonts w:hint="eastAsia"/>
                <w:lang w:val="en-US" w:eastAsia="zh-CN"/>
              </w:rPr>
              <w:t>猴嘴工业区</w:t>
            </w:r>
          </w:p>
        </w:tc>
        <w:tc>
          <w:tcPr>
            <w:tcW w:w="474" w:type="pct"/>
            <w:tcBorders>
              <w:tl2br w:val="nil"/>
              <w:tr2bl w:val="nil"/>
            </w:tcBorders>
            <w:shd w:val="clear" w:color="auto" w:fill="auto"/>
            <w:noWrap/>
            <w:vAlign w:val="center"/>
          </w:tcPr>
          <w:p w14:paraId="09AB563A">
            <w:pPr>
              <w:pStyle w:val="1111"/>
              <w:bidi w:val="0"/>
              <w:rPr>
                <w:rFonts w:hint="eastAsia"/>
              </w:rPr>
            </w:pPr>
            <w:r>
              <w:rPr>
                <w:rFonts w:hint="eastAsia"/>
                <w:lang w:val="en-US" w:eastAsia="zh-CN"/>
              </w:rPr>
              <w:t>SE</w:t>
            </w:r>
          </w:p>
        </w:tc>
        <w:tc>
          <w:tcPr>
            <w:tcW w:w="872" w:type="pct"/>
            <w:tcBorders>
              <w:tl2br w:val="nil"/>
              <w:tr2bl w:val="nil"/>
            </w:tcBorders>
            <w:shd w:val="clear" w:color="auto" w:fill="auto"/>
            <w:noWrap/>
            <w:vAlign w:val="center"/>
          </w:tcPr>
          <w:p w14:paraId="12D07E1B">
            <w:pPr>
              <w:pStyle w:val="1111"/>
              <w:bidi w:val="0"/>
              <w:rPr>
                <w:rFonts w:hint="eastAsia"/>
              </w:rPr>
            </w:pPr>
            <w:r>
              <w:rPr>
                <w:rFonts w:hint="eastAsia"/>
                <w:lang w:val="en-US" w:eastAsia="zh-CN"/>
              </w:rPr>
              <w:t>2483</w:t>
            </w:r>
          </w:p>
        </w:tc>
        <w:tc>
          <w:tcPr>
            <w:tcW w:w="612" w:type="pct"/>
            <w:tcBorders>
              <w:tl2br w:val="nil"/>
              <w:tr2bl w:val="nil"/>
            </w:tcBorders>
            <w:shd w:val="clear" w:color="auto" w:fill="auto"/>
            <w:noWrap/>
            <w:vAlign w:val="center"/>
          </w:tcPr>
          <w:p w14:paraId="09CE0632">
            <w:pPr>
              <w:pStyle w:val="1111"/>
              <w:bidi w:val="0"/>
              <w:rPr>
                <w:rFonts w:hint="eastAsia"/>
              </w:rPr>
            </w:pPr>
            <w:r>
              <w:rPr>
                <w:rFonts w:hint="eastAsia"/>
                <w:lang w:val="en-US" w:eastAsia="zh-CN"/>
              </w:rPr>
              <w:t>居民</w:t>
            </w:r>
          </w:p>
        </w:tc>
        <w:tc>
          <w:tcPr>
            <w:tcW w:w="599" w:type="pct"/>
            <w:tcBorders>
              <w:tl2br w:val="nil"/>
              <w:tr2bl w:val="nil"/>
            </w:tcBorders>
            <w:shd w:val="clear" w:color="auto" w:fill="auto"/>
            <w:vAlign w:val="center"/>
          </w:tcPr>
          <w:p w14:paraId="5390AB12">
            <w:pPr>
              <w:pStyle w:val="1111"/>
              <w:bidi w:val="0"/>
              <w:rPr>
                <w:rFonts w:hint="default"/>
              </w:rPr>
            </w:pPr>
            <w:r>
              <w:rPr>
                <w:rFonts w:hint="default"/>
                <w:lang w:val="en-US" w:eastAsia="zh-CN"/>
              </w:rPr>
              <w:t>152</w:t>
            </w:r>
          </w:p>
        </w:tc>
      </w:tr>
      <w:tr w14:paraId="2A12A9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56E32037">
            <w:pPr>
              <w:pStyle w:val="1111"/>
              <w:bidi w:val="0"/>
              <w:rPr>
                <w:rFonts w:hint="eastAsia"/>
                <w:lang w:val="en-US" w:eastAsia="zh-CN"/>
              </w:rPr>
            </w:pPr>
          </w:p>
        </w:tc>
        <w:tc>
          <w:tcPr>
            <w:tcW w:w="345" w:type="pct"/>
            <w:tcBorders>
              <w:tl2br w:val="nil"/>
              <w:tr2bl w:val="nil"/>
            </w:tcBorders>
            <w:shd w:val="clear" w:color="auto" w:fill="auto"/>
            <w:noWrap/>
            <w:vAlign w:val="center"/>
          </w:tcPr>
          <w:p w14:paraId="6A249E76">
            <w:pPr>
              <w:pStyle w:val="1111"/>
              <w:bidi w:val="0"/>
              <w:rPr>
                <w:rFonts w:hint="eastAsia"/>
              </w:rPr>
            </w:pPr>
            <w:r>
              <w:rPr>
                <w:rFonts w:hint="eastAsia"/>
                <w:lang w:val="en-US" w:eastAsia="zh-CN"/>
              </w:rPr>
              <w:t>46</w:t>
            </w:r>
          </w:p>
        </w:tc>
        <w:tc>
          <w:tcPr>
            <w:tcW w:w="1748" w:type="pct"/>
            <w:tcBorders>
              <w:tl2br w:val="nil"/>
              <w:tr2bl w:val="nil"/>
            </w:tcBorders>
            <w:shd w:val="clear" w:color="auto" w:fill="auto"/>
            <w:noWrap/>
            <w:vAlign w:val="center"/>
          </w:tcPr>
          <w:p w14:paraId="18EEF184">
            <w:pPr>
              <w:pStyle w:val="1111"/>
              <w:bidi w:val="0"/>
              <w:rPr>
                <w:rFonts w:hint="eastAsia"/>
              </w:rPr>
            </w:pPr>
            <w:r>
              <w:rPr>
                <w:rFonts w:hint="eastAsia"/>
                <w:lang w:val="en-US" w:eastAsia="zh-CN"/>
              </w:rPr>
              <w:t>连云港融盛双语学校</w:t>
            </w:r>
          </w:p>
        </w:tc>
        <w:tc>
          <w:tcPr>
            <w:tcW w:w="474" w:type="pct"/>
            <w:tcBorders>
              <w:tl2br w:val="nil"/>
              <w:tr2bl w:val="nil"/>
            </w:tcBorders>
            <w:shd w:val="clear" w:color="auto" w:fill="auto"/>
            <w:noWrap/>
            <w:vAlign w:val="center"/>
          </w:tcPr>
          <w:p w14:paraId="10A8A834">
            <w:pPr>
              <w:pStyle w:val="1111"/>
              <w:bidi w:val="0"/>
              <w:rPr>
                <w:rFonts w:hint="eastAsia"/>
              </w:rPr>
            </w:pPr>
            <w:r>
              <w:rPr>
                <w:rFonts w:hint="eastAsia"/>
                <w:lang w:val="en-US" w:eastAsia="zh-CN"/>
              </w:rPr>
              <w:t>NE</w:t>
            </w:r>
          </w:p>
        </w:tc>
        <w:tc>
          <w:tcPr>
            <w:tcW w:w="872" w:type="pct"/>
            <w:tcBorders>
              <w:tl2br w:val="nil"/>
              <w:tr2bl w:val="nil"/>
            </w:tcBorders>
            <w:shd w:val="clear" w:color="auto" w:fill="auto"/>
            <w:noWrap/>
            <w:vAlign w:val="center"/>
          </w:tcPr>
          <w:p w14:paraId="7CECFFF8">
            <w:pPr>
              <w:pStyle w:val="1111"/>
              <w:bidi w:val="0"/>
              <w:rPr>
                <w:rFonts w:hint="eastAsia"/>
              </w:rPr>
            </w:pPr>
            <w:r>
              <w:rPr>
                <w:rFonts w:hint="eastAsia"/>
                <w:lang w:val="en-US" w:eastAsia="zh-CN"/>
              </w:rPr>
              <w:t>2646</w:t>
            </w:r>
          </w:p>
        </w:tc>
        <w:tc>
          <w:tcPr>
            <w:tcW w:w="612" w:type="pct"/>
            <w:tcBorders>
              <w:tl2br w:val="nil"/>
              <w:tr2bl w:val="nil"/>
            </w:tcBorders>
            <w:shd w:val="clear" w:color="auto" w:fill="auto"/>
            <w:noWrap/>
            <w:vAlign w:val="center"/>
          </w:tcPr>
          <w:p w14:paraId="51AD5D4A">
            <w:pPr>
              <w:pStyle w:val="1111"/>
              <w:bidi w:val="0"/>
              <w:rPr>
                <w:rFonts w:hint="eastAsia"/>
              </w:rPr>
            </w:pPr>
            <w:r>
              <w:rPr>
                <w:rFonts w:hint="eastAsia"/>
                <w:lang w:val="en-US" w:eastAsia="zh-CN"/>
              </w:rPr>
              <w:t>教育</w:t>
            </w:r>
          </w:p>
        </w:tc>
        <w:tc>
          <w:tcPr>
            <w:tcW w:w="599" w:type="pct"/>
            <w:tcBorders>
              <w:tl2br w:val="nil"/>
              <w:tr2bl w:val="nil"/>
            </w:tcBorders>
            <w:shd w:val="clear" w:color="auto" w:fill="auto"/>
            <w:vAlign w:val="center"/>
          </w:tcPr>
          <w:p w14:paraId="6CFCE3E7">
            <w:pPr>
              <w:pStyle w:val="1111"/>
              <w:bidi w:val="0"/>
              <w:rPr>
                <w:rFonts w:hint="default"/>
              </w:rPr>
            </w:pPr>
            <w:r>
              <w:rPr>
                <w:rFonts w:hint="default"/>
                <w:lang w:val="en-US" w:eastAsia="zh-CN"/>
              </w:rPr>
              <w:t>3500</w:t>
            </w:r>
          </w:p>
        </w:tc>
      </w:tr>
      <w:tr w14:paraId="6DB93E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346" w:type="pct"/>
            <w:vMerge w:val="continue"/>
            <w:tcBorders>
              <w:tl2br w:val="nil"/>
              <w:tr2bl w:val="nil"/>
            </w:tcBorders>
            <w:shd w:val="clear" w:color="auto" w:fill="auto"/>
            <w:noWrap/>
            <w:vAlign w:val="center"/>
          </w:tcPr>
          <w:p w14:paraId="58CC78A6">
            <w:pPr>
              <w:pStyle w:val="1111"/>
              <w:bidi w:val="0"/>
              <w:rPr>
                <w:rFonts w:hint="eastAsia"/>
                <w:lang w:val="en-US" w:eastAsia="zh-CN"/>
              </w:rPr>
            </w:pPr>
          </w:p>
        </w:tc>
        <w:tc>
          <w:tcPr>
            <w:tcW w:w="345" w:type="pct"/>
            <w:tcBorders>
              <w:tl2br w:val="nil"/>
              <w:tr2bl w:val="nil"/>
            </w:tcBorders>
            <w:shd w:val="clear" w:color="auto" w:fill="auto"/>
            <w:noWrap/>
            <w:vAlign w:val="center"/>
          </w:tcPr>
          <w:p w14:paraId="55A7E228">
            <w:pPr>
              <w:pStyle w:val="1111"/>
              <w:bidi w:val="0"/>
              <w:rPr>
                <w:rFonts w:hint="eastAsia"/>
              </w:rPr>
            </w:pPr>
            <w:r>
              <w:rPr>
                <w:rFonts w:hint="eastAsia"/>
                <w:lang w:val="en-US" w:eastAsia="zh-CN"/>
              </w:rPr>
              <w:t>47</w:t>
            </w:r>
          </w:p>
        </w:tc>
        <w:tc>
          <w:tcPr>
            <w:tcW w:w="1748" w:type="pct"/>
            <w:tcBorders>
              <w:tl2br w:val="nil"/>
              <w:tr2bl w:val="nil"/>
            </w:tcBorders>
            <w:shd w:val="clear" w:color="auto" w:fill="auto"/>
            <w:noWrap/>
            <w:vAlign w:val="center"/>
          </w:tcPr>
          <w:p w14:paraId="1BBD851A">
            <w:pPr>
              <w:pStyle w:val="1111"/>
              <w:bidi w:val="0"/>
              <w:rPr>
                <w:rFonts w:hint="eastAsia"/>
              </w:rPr>
            </w:pPr>
            <w:r>
              <w:rPr>
                <w:rFonts w:hint="eastAsia"/>
                <w:lang w:val="en-US" w:eastAsia="zh-CN"/>
              </w:rPr>
              <w:t>猴嘴小学</w:t>
            </w:r>
          </w:p>
        </w:tc>
        <w:tc>
          <w:tcPr>
            <w:tcW w:w="474" w:type="pct"/>
            <w:tcBorders>
              <w:tl2br w:val="nil"/>
              <w:tr2bl w:val="nil"/>
            </w:tcBorders>
            <w:shd w:val="clear" w:color="auto" w:fill="auto"/>
            <w:noWrap/>
            <w:vAlign w:val="center"/>
          </w:tcPr>
          <w:p w14:paraId="1222FB5A">
            <w:pPr>
              <w:pStyle w:val="1111"/>
              <w:bidi w:val="0"/>
              <w:rPr>
                <w:rFonts w:hint="eastAsia"/>
              </w:rPr>
            </w:pPr>
            <w:r>
              <w:rPr>
                <w:rFonts w:hint="eastAsia"/>
                <w:lang w:val="en-US" w:eastAsia="zh-CN"/>
              </w:rPr>
              <w:t>SE</w:t>
            </w:r>
          </w:p>
        </w:tc>
        <w:tc>
          <w:tcPr>
            <w:tcW w:w="872" w:type="pct"/>
            <w:tcBorders>
              <w:tl2br w:val="nil"/>
              <w:tr2bl w:val="nil"/>
            </w:tcBorders>
            <w:shd w:val="clear" w:color="auto" w:fill="auto"/>
            <w:noWrap/>
            <w:vAlign w:val="center"/>
          </w:tcPr>
          <w:p w14:paraId="49613727">
            <w:pPr>
              <w:pStyle w:val="1111"/>
              <w:bidi w:val="0"/>
              <w:rPr>
                <w:rFonts w:hint="eastAsia"/>
              </w:rPr>
            </w:pPr>
            <w:r>
              <w:rPr>
                <w:rFonts w:hint="eastAsia"/>
                <w:lang w:val="en-US" w:eastAsia="zh-CN"/>
              </w:rPr>
              <w:t>2655</w:t>
            </w:r>
          </w:p>
        </w:tc>
        <w:tc>
          <w:tcPr>
            <w:tcW w:w="612" w:type="pct"/>
            <w:tcBorders>
              <w:tl2br w:val="nil"/>
              <w:tr2bl w:val="nil"/>
            </w:tcBorders>
            <w:shd w:val="clear" w:color="auto" w:fill="auto"/>
            <w:noWrap/>
            <w:vAlign w:val="center"/>
          </w:tcPr>
          <w:p w14:paraId="2D64A068">
            <w:pPr>
              <w:pStyle w:val="1111"/>
              <w:bidi w:val="0"/>
              <w:rPr>
                <w:rFonts w:hint="eastAsia"/>
              </w:rPr>
            </w:pPr>
            <w:r>
              <w:rPr>
                <w:rFonts w:hint="eastAsia"/>
                <w:lang w:val="en-US" w:eastAsia="zh-CN"/>
              </w:rPr>
              <w:t>教育</w:t>
            </w:r>
          </w:p>
        </w:tc>
        <w:tc>
          <w:tcPr>
            <w:tcW w:w="599" w:type="pct"/>
            <w:tcBorders>
              <w:tl2br w:val="nil"/>
              <w:tr2bl w:val="nil"/>
            </w:tcBorders>
            <w:shd w:val="clear" w:color="auto" w:fill="auto"/>
            <w:vAlign w:val="center"/>
          </w:tcPr>
          <w:p w14:paraId="095360DB">
            <w:pPr>
              <w:pStyle w:val="1111"/>
              <w:bidi w:val="0"/>
              <w:rPr>
                <w:rFonts w:hint="default"/>
              </w:rPr>
            </w:pPr>
            <w:r>
              <w:rPr>
                <w:rFonts w:hint="default"/>
                <w:lang w:val="en-US" w:eastAsia="zh-CN"/>
              </w:rPr>
              <w:t>1000</w:t>
            </w:r>
          </w:p>
        </w:tc>
      </w:tr>
      <w:tr w14:paraId="665F04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0BB65E3D">
            <w:pPr>
              <w:pStyle w:val="1111"/>
              <w:bidi w:val="0"/>
              <w:rPr>
                <w:rFonts w:hint="eastAsia"/>
                <w:lang w:val="en-US" w:eastAsia="zh-CN"/>
              </w:rPr>
            </w:pPr>
          </w:p>
        </w:tc>
        <w:tc>
          <w:tcPr>
            <w:tcW w:w="345" w:type="pct"/>
            <w:tcBorders>
              <w:tl2br w:val="nil"/>
              <w:tr2bl w:val="nil"/>
            </w:tcBorders>
            <w:shd w:val="clear" w:color="auto" w:fill="auto"/>
            <w:noWrap/>
            <w:vAlign w:val="center"/>
          </w:tcPr>
          <w:p w14:paraId="0471BA9E">
            <w:pPr>
              <w:pStyle w:val="1111"/>
              <w:bidi w:val="0"/>
              <w:rPr>
                <w:rFonts w:hint="eastAsia"/>
              </w:rPr>
            </w:pPr>
            <w:r>
              <w:rPr>
                <w:rFonts w:hint="eastAsia"/>
                <w:lang w:val="en-US" w:eastAsia="zh-CN"/>
              </w:rPr>
              <w:t>48</w:t>
            </w:r>
          </w:p>
        </w:tc>
        <w:tc>
          <w:tcPr>
            <w:tcW w:w="1748" w:type="pct"/>
            <w:tcBorders>
              <w:tl2br w:val="nil"/>
              <w:tr2bl w:val="nil"/>
            </w:tcBorders>
            <w:shd w:val="clear" w:color="auto" w:fill="auto"/>
            <w:noWrap/>
            <w:vAlign w:val="center"/>
          </w:tcPr>
          <w:p w14:paraId="3700D44E">
            <w:pPr>
              <w:pStyle w:val="1111"/>
              <w:bidi w:val="0"/>
              <w:rPr>
                <w:rFonts w:hint="eastAsia"/>
              </w:rPr>
            </w:pPr>
            <w:r>
              <w:rPr>
                <w:rFonts w:hint="eastAsia"/>
                <w:lang w:val="en-US" w:eastAsia="zh-CN"/>
              </w:rPr>
              <w:t>连云港市场监督管理局新浦分局猴嘴工商所</w:t>
            </w:r>
          </w:p>
        </w:tc>
        <w:tc>
          <w:tcPr>
            <w:tcW w:w="474" w:type="pct"/>
            <w:tcBorders>
              <w:tl2br w:val="nil"/>
              <w:tr2bl w:val="nil"/>
            </w:tcBorders>
            <w:shd w:val="clear" w:color="auto" w:fill="auto"/>
            <w:noWrap/>
            <w:vAlign w:val="center"/>
          </w:tcPr>
          <w:p w14:paraId="793867C1">
            <w:pPr>
              <w:pStyle w:val="1111"/>
              <w:bidi w:val="0"/>
              <w:rPr>
                <w:rFonts w:hint="eastAsia"/>
              </w:rPr>
            </w:pPr>
            <w:r>
              <w:rPr>
                <w:rFonts w:hint="eastAsia"/>
                <w:lang w:val="en-US" w:eastAsia="zh-CN"/>
              </w:rPr>
              <w:t>SE</w:t>
            </w:r>
          </w:p>
        </w:tc>
        <w:tc>
          <w:tcPr>
            <w:tcW w:w="872" w:type="pct"/>
            <w:tcBorders>
              <w:tl2br w:val="nil"/>
              <w:tr2bl w:val="nil"/>
            </w:tcBorders>
            <w:shd w:val="clear" w:color="auto" w:fill="auto"/>
            <w:noWrap/>
            <w:vAlign w:val="center"/>
          </w:tcPr>
          <w:p w14:paraId="55BC3DD0">
            <w:pPr>
              <w:pStyle w:val="1111"/>
              <w:bidi w:val="0"/>
              <w:rPr>
                <w:rFonts w:hint="eastAsia"/>
              </w:rPr>
            </w:pPr>
            <w:r>
              <w:rPr>
                <w:rFonts w:hint="eastAsia"/>
                <w:lang w:val="en-US" w:eastAsia="zh-CN"/>
              </w:rPr>
              <w:t>2661</w:t>
            </w:r>
          </w:p>
        </w:tc>
        <w:tc>
          <w:tcPr>
            <w:tcW w:w="612" w:type="pct"/>
            <w:tcBorders>
              <w:tl2br w:val="nil"/>
              <w:tr2bl w:val="nil"/>
            </w:tcBorders>
            <w:shd w:val="clear" w:color="auto" w:fill="auto"/>
            <w:noWrap/>
            <w:vAlign w:val="center"/>
          </w:tcPr>
          <w:p w14:paraId="6EE92A58">
            <w:pPr>
              <w:pStyle w:val="1111"/>
              <w:bidi w:val="0"/>
              <w:rPr>
                <w:rFonts w:hint="eastAsia"/>
              </w:rPr>
            </w:pPr>
            <w:r>
              <w:rPr>
                <w:rFonts w:hint="eastAsia"/>
                <w:lang w:val="en-US" w:eastAsia="zh-CN"/>
              </w:rPr>
              <w:t>办公</w:t>
            </w:r>
          </w:p>
        </w:tc>
        <w:tc>
          <w:tcPr>
            <w:tcW w:w="599" w:type="pct"/>
            <w:tcBorders>
              <w:tl2br w:val="nil"/>
              <w:tr2bl w:val="nil"/>
            </w:tcBorders>
            <w:shd w:val="clear" w:color="auto" w:fill="auto"/>
            <w:vAlign w:val="center"/>
          </w:tcPr>
          <w:p w14:paraId="148C74E2">
            <w:pPr>
              <w:pStyle w:val="1111"/>
              <w:bidi w:val="0"/>
              <w:rPr>
                <w:rFonts w:hint="default"/>
              </w:rPr>
            </w:pPr>
            <w:r>
              <w:rPr>
                <w:rFonts w:hint="default"/>
                <w:lang w:val="en-US" w:eastAsia="zh-CN"/>
              </w:rPr>
              <w:t>50</w:t>
            </w:r>
          </w:p>
        </w:tc>
      </w:tr>
      <w:tr w14:paraId="1B1B8B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7701288B">
            <w:pPr>
              <w:pStyle w:val="1111"/>
              <w:bidi w:val="0"/>
              <w:rPr>
                <w:rFonts w:hint="eastAsia"/>
                <w:lang w:val="en-US" w:eastAsia="zh-CN"/>
              </w:rPr>
            </w:pPr>
          </w:p>
        </w:tc>
        <w:tc>
          <w:tcPr>
            <w:tcW w:w="345" w:type="pct"/>
            <w:tcBorders>
              <w:tl2br w:val="nil"/>
              <w:tr2bl w:val="nil"/>
            </w:tcBorders>
            <w:shd w:val="clear" w:color="auto" w:fill="auto"/>
            <w:noWrap/>
            <w:vAlign w:val="center"/>
          </w:tcPr>
          <w:p w14:paraId="2E0CC9EC">
            <w:pPr>
              <w:pStyle w:val="1111"/>
              <w:bidi w:val="0"/>
              <w:rPr>
                <w:rFonts w:hint="eastAsia"/>
              </w:rPr>
            </w:pPr>
            <w:r>
              <w:rPr>
                <w:rFonts w:hint="eastAsia"/>
                <w:lang w:val="en-US" w:eastAsia="zh-CN"/>
              </w:rPr>
              <w:t>49</w:t>
            </w:r>
          </w:p>
        </w:tc>
        <w:tc>
          <w:tcPr>
            <w:tcW w:w="1748" w:type="pct"/>
            <w:tcBorders>
              <w:tl2br w:val="nil"/>
              <w:tr2bl w:val="nil"/>
            </w:tcBorders>
            <w:shd w:val="clear" w:color="auto" w:fill="auto"/>
            <w:noWrap/>
            <w:vAlign w:val="center"/>
          </w:tcPr>
          <w:p w14:paraId="3045924D">
            <w:pPr>
              <w:pStyle w:val="1111"/>
              <w:bidi w:val="0"/>
              <w:rPr>
                <w:rFonts w:hint="eastAsia"/>
              </w:rPr>
            </w:pPr>
            <w:r>
              <w:rPr>
                <w:rFonts w:hint="eastAsia"/>
                <w:lang w:val="en-US" w:eastAsia="zh-CN"/>
              </w:rPr>
              <w:t>连云港市猴嘴痔瘘医院</w:t>
            </w:r>
          </w:p>
        </w:tc>
        <w:tc>
          <w:tcPr>
            <w:tcW w:w="474" w:type="pct"/>
            <w:tcBorders>
              <w:tl2br w:val="nil"/>
              <w:tr2bl w:val="nil"/>
            </w:tcBorders>
            <w:shd w:val="clear" w:color="auto" w:fill="auto"/>
            <w:noWrap/>
            <w:vAlign w:val="center"/>
          </w:tcPr>
          <w:p w14:paraId="4AEA7852">
            <w:pPr>
              <w:pStyle w:val="1111"/>
              <w:bidi w:val="0"/>
              <w:rPr>
                <w:rFonts w:hint="eastAsia"/>
              </w:rPr>
            </w:pPr>
            <w:r>
              <w:rPr>
                <w:rFonts w:hint="eastAsia"/>
                <w:lang w:val="en-US" w:eastAsia="zh-CN"/>
              </w:rPr>
              <w:t>SE</w:t>
            </w:r>
          </w:p>
        </w:tc>
        <w:tc>
          <w:tcPr>
            <w:tcW w:w="872" w:type="pct"/>
            <w:tcBorders>
              <w:tl2br w:val="nil"/>
              <w:tr2bl w:val="nil"/>
            </w:tcBorders>
            <w:shd w:val="clear" w:color="auto" w:fill="auto"/>
            <w:noWrap/>
            <w:vAlign w:val="center"/>
          </w:tcPr>
          <w:p w14:paraId="3B4C9929">
            <w:pPr>
              <w:pStyle w:val="1111"/>
              <w:bidi w:val="0"/>
              <w:rPr>
                <w:rFonts w:hint="eastAsia"/>
              </w:rPr>
            </w:pPr>
            <w:r>
              <w:rPr>
                <w:rFonts w:hint="eastAsia"/>
                <w:lang w:val="en-US" w:eastAsia="zh-CN"/>
              </w:rPr>
              <w:t>2745</w:t>
            </w:r>
          </w:p>
        </w:tc>
        <w:tc>
          <w:tcPr>
            <w:tcW w:w="612" w:type="pct"/>
            <w:tcBorders>
              <w:tl2br w:val="nil"/>
              <w:tr2bl w:val="nil"/>
            </w:tcBorders>
            <w:shd w:val="clear" w:color="auto" w:fill="auto"/>
            <w:noWrap/>
            <w:vAlign w:val="center"/>
          </w:tcPr>
          <w:p w14:paraId="7F52E4E3">
            <w:pPr>
              <w:pStyle w:val="1111"/>
              <w:bidi w:val="0"/>
              <w:rPr>
                <w:rFonts w:hint="eastAsia"/>
              </w:rPr>
            </w:pPr>
            <w:r>
              <w:rPr>
                <w:rFonts w:hint="eastAsia"/>
                <w:lang w:val="en-US" w:eastAsia="zh-CN"/>
              </w:rPr>
              <w:t>医疗区</w:t>
            </w:r>
          </w:p>
        </w:tc>
        <w:tc>
          <w:tcPr>
            <w:tcW w:w="599" w:type="pct"/>
            <w:tcBorders>
              <w:tl2br w:val="nil"/>
              <w:tr2bl w:val="nil"/>
            </w:tcBorders>
            <w:shd w:val="clear" w:color="auto" w:fill="auto"/>
            <w:vAlign w:val="center"/>
          </w:tcPr>
          <w:p w14:paraId="10BB66BC">
            <w:pPr>
              <w:pStyle w:val="1111"/>
              <w:bidi w:val="0"/>
              <w:rPr>
                <w:rFonts w:hint="default"/>
              </w:rPr>
            </w:pPr>
            <w:r>
              <w:rPr>
                <w:rFonts w:hint="default"/>
                <w:lang w:val="en-US" w:eastAsia="zh-CN"/>
              </w:rPr>
              <w:t>100</w:t>
            </w:r>
          </w:p>
        </w:tc>
      </w:tr>
      <w:tr w14:paraId="5D4A7B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3E2B0B4E">
            <w:pPr>
              <w:pStyle w:val="1111"/>
              <w:bidi w:val="0"/>
              <w:rPr>
                <w:rFonts w:hint="eastAsia"/>
                <w:lang w:val="en-US" w:eastAsia="zh-CN"/>
              </w:rPr>
            </w:pPr>
          </w:p>
        </w:tc>
        <w:tc>
          <w:tcPr>
            <w:tcW w:w="345" w:type="pct"/>
            <w:tcBorders>
              <w:tl2br w:val="nil"/>
              <w:tr2bl w:val="nil"/>
            </w:tcBorders>
            <w:shd w:val="clear" w:color="auto" w:fill="auto"/>
            <w:noWrap/>
            <w:vAlign w:val="center"/>
          </w:tcPr>
          <w:p w14:paraId="75251C9A">
            <w:pPr>
              <w:pStyle w:val="1111"/>
              <w:bidi w:val="0"/>
              <w:rPr>
                <w:rFonts w:hint="eastAsia"/>
              </w:rPr>
            </w:pPr>
            <w:r>
              <w:rPr>
                <w:rFonts w:hint="eastAsia"/>
                <w:lang w:val="en-US" w:eastAsia="zh-CN"/>
              </w:rPr>
              <w:t>50</w:t>
            </w:r>
          </w:p>
        </w:tc>
        <w:tc>
          <w:tcPr>
            <w:tcW w:w="1748" w:type="pct"/>
            <w:tcBorders>
              <w:tl2br w:val="nil"/>
              <w:tr2bl w:val="nil"/>
            </w:tcBorders>
            <w:shd w:val="clear" w:color="auto" w:fill="auto"/>
            <w:noWrap/>
            <w:vAlign w:val="center"/>
          </w:tcPr>
          <w:p w14:paraId="21A83E74">
            <w:pPr>
              <w:pStyle w:val="1111"/>
              <w:bidi w:val="0"/>
              <w:rPr>
                <w:rFonts w:hint="eastAsia"/>
              </w:rPr>
            </w:pPr>
            <w:r>
              <w:rPr>
                <w:rFonts w:hint="eastAsia"/>
                <w:lang w:val="en-US" w:eastAsia="zh-CN"/>
              </w:rPr>
              <w:t>香江悦湖春天</w:t>
            </w:r>
          </w:p>
        </w:tc>
        <w:tc>
          <w:tcPr>
            <w:tcW w:w="474" w:type="pct"/>
            <w:tcBorders>
              <w:tl2br w:val="nil"/>
              <w:tr2bl w:val="nil"/>
            </w:tcBorders>
            <w:shd w:val="clear" w:color="auto" w:fill="auto"/>
            <w:noWrap/>
            <w:vAlign w:val="center"/>
          </w:tcPr>
          <w:p w14:paraId="17D1F5DB">
            <w:pPr>
              <w:pStyle w:val="1111"/>
              <w:bidi w:val="0"/>
              <w:rPr>
                <w:rFonts w:hint="eastAsia"/>
              </w:rPr>
            </w:pPr>
            <w:r>
              <w:rPr>
                <w:rFonts w:hint="eastAsia"/>
                <w:lang w:val="en-US" w:eastAsia="zh-CN"/>
              </w:rPr>
              <w:t>NE</w:t>
            </w:r>
          </w:p>
        </w:tc>
        <w:tc>
          <w:tcPr>
            <w:tcW w:w="872" w:type="pct"/>
            <w:tcBorders>
              <w:tl2br w:val="nil"/>
              <w:tr2bl w:val="nil"/>
            </w:tcBorders>
            <w:shd w:val="clear" w:color="auto" w:fill="auto"/>
            <w:noWrap/>
            <w:vAlign w:val="center"/>
          </w:tcPr>
          <w:p w14:paraId="26BB8AFC">
            <w:pPr>
              <w:pStyle w:val="1111"/>
              <w:bidi w:val="0"/>
              <w:rPr>
                <w:rFonts w:hint="eastAsia"/>
              </w:rPr>
            </w:pPr>
            <w:r>
              <w:rPr>
                <w:rFonts w:hint="eastAsia"/>
                <w:lang w:val="en-US" w:eastAsia="zh-CN"/>
              </w:rPr>
              <w:t>2751</w:t>
            </w:r>
          </w:p>
        </w:tc>
        <w:tc>
          <w:tcPr>
            <w:tcW w:w="612" w:type="pct"/>
            <w:tcBorders>
              <w:tl2br w:val="nil"/>
              <w:tr2bl w:val="nil"/>
            </w:tcBorders>
            <w:shd w:val="clear" w:color="auto" w:fill="auto"/>
            <w:noWrap/>
            <w:vAlign w:val="center"/>
          </w:tcPr>
          <w:p w14:paraId="35341964">
            <w:pPr>
              <w:pStyle w:val="1111"/>
              <w:bidi w:val="0"/>
              <w:rPr>
                <w:rFonts w:hint="eastAsia"/>
              </w:rPr>
            </w:pPr>
            <w:r>
              <w:rPr>
                <w:rFonts w:hint="eastAsia"/>
                <w:lang w:val="en-US" w:eastAsia="zh-CN"/>
              </w:rPr>
              <w:t>居民</w:t>
            </w:r>
          </w:p>
        </w:tc>
        <w:tc>
          <w:tcPr>
            <w:tcW w:w="599" w:type="pct"/>
            <w:tcBorders>
              <w:tl2br w:val="nil"/>
              <w:tr2bl w:val="nil"/>
            </w:tcBorders>
            <w:shd w:val="clear" w:color="auto" w:fill="auto"/>
            <w:vAlign w:val="center"/>
          </w:tcPr>
          <w:p w14:paraId="28498D55">
            <w:pPr>
              <w:pStyle w:val="1111"/>
              <w:bidi w:val="0"/>
              <w:rPr>
                <w:rFonts w:hint="default"/>
              </w:rPr>
            </w:pPr>
            <w:r>
              <w:rPr>
                <w:rFonts w:hint="default"/>
                <w:lang w:val="en-US" w:eastAsia="zh-CN"/>
              </w:rPr>
              <w:t>1296</w:t>
            </w:r>
          </w:p>
        </w:tc>
      </w:tr>
      <w:tr w14:paraId="4A7384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3FAC200E">
            <w:pPr>
              <w:pStyle w:val="1111"/>
              <w:bidi w:val="0"/>
              <w:rPr>
                <w:rFonts w:hint="eastAsia"/>
                <w:lang w:val="en-US" w:eastAsia="zh-CN"/>
              </w:rPr>
            </w:pPr>
          </w:p>
        </w:tc>
        <w:tc>
          <w:tcPr>
            <w:tcW w:w="345" w:type="pct"/>
            <w:tcBorders>
              <w:tl2br w:val="nil"/>
              <w:tr2bl w:val="nil"/>
            </w:tcBorders>
            <w:shd w:val="clear" w:color="auto" w:fill="auto"/>
            <w:noWrap/>
            <w:vAlign w:val="center"/>
          </w:tcPr>
          <w:p w14:paraId="78A8E77A">
            <w:pPr>
              <w:pStyle w:val="1111"/>
              <w:bidi w:val="0"/>
              <w:rPr>
                <w:rFonts w:hint="eastAsia"/>
              </w:rPr>
            </w:pPr>
            <w:r>
              <w:rPr>
                <w:rFonts w:hint="eastAsia"/>
                <w:lang w:val="en-US" w:eastAsia="zh-CN"/>
              </w:rPr>
              <w:t>51</w:t>
            </w:r>
          </w:p>
        </w:tc>
        <w:tc>
          <w:tcPr>
            <w:tcW w:w="1748" w:type="pct"/>
            <w:tcBorders>
              <w:tl2br w:val="nil"/>
              <w:tr2bl w:val="nil"/>
            </w:tcBorders>
            <w:shd w:val="clear" w:color="auto" w:fill="auto"/>
            <w:noWrap/>
            <w:vAlign w:val="center"/>
          </w:tcPr>
          <w:p w14:paraId="5F5B0B8A">
            <w:pPr>
              <w:pStyle w:val="1111"/>
              <w:bidi w:val="0"/>
              <w:rPr>
                <w:rFonts w:hint="eastAsia"/>
              </w:rPr>
            </w:pPr>
            <w:r>
              <w:rPr>
                <w:rFonts w:hint="eastAsia"/>
                <w:lang w:val="en-US" w:eastAsia="zh-CN"/>
              </w:rPr>
              <w:t>连云港市天明机械技工学校</w:t>
            </w:r>
          </w:p>
        </w:tc>
        <w:tc>
          <w:tcPr>
            <w:tcW w:w="474" w:type="pct"/>
            <w:tcBorders>
              <w:tl2br w:val="nil"/>
              <w:tr2bl w:val="nil"/>
            </w:tcBorders>
            <w:shd w:val="clear" w:color="auto" w:fill="auto"/>
            <w:noWrap/>
            <w:vAlign w:val="center"/>
          </w:tcPr>
          <w:p w14:paraId="50E24D6D">
            <w:pPr>
              <w:pStyle w:val="1111"/>
              <w:bidi w:val="0"/>
              <w:rPr>
                <w:rFonts w:hint="eastAsia"/>
              </w:rPr>
            </w:pPr>
            <w:r>
              <w:rPr>
                <w:rFonts w:hint="eastAsia"/>
                <w:lang w:val="en-US" w:eastAsia="zh-CN"/>
              </w:rPr>
              <w:t>SE</w:t>
            </w:r>
          </w:p>
        </w:tc>
        <w:tc>
          <w:tcPr>
            <w:tcW w:w="872" w:type="pct"/>
            <w:tcBorders>
              <w:tl2br w:val="nil"/>
              <w:tr2bl w:val="nil"/>
            </w:tcBorders>
            <w:shd w:val="clear" w:color="auto" w:fill="auto"/>
            <w:noWrap/>
            <w:vAlign w:val="center"/>
          </w:tcPr>
          <w:p w14:paraId="08A67A94">
            <w:pPr>
              <w:pStyle w:val="1111"/>
              <w:bidi w:val="0"/>
              <w:rPr>
                <w:rFonts w:hint="eastAsia"/>
              </w:rPr>
            </w:pPr>
            <w:r>
              <w:rPr>
                <w:rFonts w:hint="eastAsia"/>
                <w:lang w:val="en-US" w:eastAsia="zh-CN"/>
              </w:rPr>
              <w:t>2788</w:t>
            </w:r>
          </w:p>
        </w:tc>
        <w:tc>
          <w:tcPr>
            <w:tcW w:w="612" w:type="pct"/>
            <w:tcBorders>
              <w:tl2br w:val="nil"/>
              <w:tr2bl w:val="nil"/>
            </w:tcBorders>
            <w:shd w:val="clear" w:color="auto" w:fill="auto"/>
            <w:noWrap/>
            <w:vAlign w:val="center"/>
          </w:tcPr>
          <w:p w14:paraId="28492291">
            <w:pPr>
              <w:pStyle w:val="1111"/>
              <w:bidi w:val="0"/>
              <w:rPr>
                <w:rFonts w:hint="eastAsia"/>
              </w:rPr>
            </w:pPr>
            <w:r>
              <w:rPr>
                <w:rFonts w:hint="eastAsia"/>
                <w:lang w:val="en-US" w:eastAsia="zh-CN"/>
              </w:rPr>
              <w:t>教育</w:t>
            </w:r>
          </w:p>
        </w:tc>
        <w:tc>
          <w:tcPr>
            <w:tcW w:w="599" w:type="pct"/>
            <w:tcBorders>
              <w:tl2br w:val="nil"/>
              <w:tr2bl w:val="nil"/>
            </w:tcBorders>
            <w:shd w:val="clear" w:color="auto" w:fill="auto"/>
            <w:vAlign w:val="center"/>
          </w:tcPr>
          <w:p w14:paraId="5E9F9375">
            <w:pPr>
              <w:pStyle w:val="1111"/>
              <w:bidi w:val="0"/>
              <w:rPr>
                <w:rFonts w:hint="default"/>
              </w:rPr>
            </w:pPr>
            <w:r>
              <w:rPr>
                <w:rFonts w:hint="default"/>
                <w:lang w:val="en-US" w:eastAsia="zh-CN"/>
              </w:rPr>
              <w:t>1000</w:t>
            </w:r>
          </w:p>
        </w:tc>
      </w:tr>
      <w:tr w14:paraId="21FF7A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46DDED93">
            <w:pPr>
              <w:pStyle w:val="1111"/>
              <w:bidi w:val="0"/>
              <w:rPr>
                <w:rFonts w:hint="eastAsia"/>
                <w:lang w:val="en-US" w:eastAsia="zh-CN"/>
              </w:rPr>
            </w:pPr>
          </w:p>
        </w:tc>
        <w:tc>
          <w:tcPr>
            <w:tcW w:w="345" w:type="pct"/>
            <w:tcBorders>
              <w:tl2br w:val="nil"/>
              <w:tr2bl w:val="nil"/>
            </w:tcBorders>
            <w:shd w:val="clear" w:color="auto" w:fill="auto"/>
            <w:noWrap/>
            <w:vAlign w:val="center"/>
          </w:tcPr>
          <w:p w14:paraId="1F0E234E">
            <w:pPr>
              <w:pStyle w:val="1111"/>
              <w:bidi w:val="0"/>
              <w:rPr>
                <w:rFonts w:hint="eastAsia"/>
              </w:rPr>
            </w:pPr>
            <w:r>
              <w:rPr>
                <w:rFonts w:hint="eastAsia"/>
                <w:lang w:val="en-US" w:eastAsia="zh-CN"/>
              </w:rPr>
              <w:t>52</w:t>
            </w:r>
          </w:p>
        </w:tc>
        <w:tc>
          <w:tcPr>
            <w:tcW w:w="1748" w:type="pct"/>
            <w:tcBorders>
              <w:tl2br w:val="nil"/>
              <w:tr2bl w:val="nil"/>
            </w:tcBorders>
            <w:shd w:val="clear" w:color="auto" w:fill="auto"/>
            <w:noWrap/>
            <w:vAlign w:val="center"/>
          </w:tcPr>
          <w:p w14:paraId="21AD5AC1">
            <w:pPr>
              <w:pStyle w:val="1111"/>
              <w:bidi w:val="0"/>
              <w:rPr>
                <w:rFonts w:hint="eastAsia"/>
              </w:rPr>
            </w:pPr>
            <w:r>
              <w:rPr>
                <w:rFonts w:hint="eastAsia"/>
                <w:lang w:val="en-US" w:eastAsia="zh-CN"/>
              </w:rPr>
              <w:t>澜山</w:t>
            </w:r>
          </w:p>
        </w:tc>
        <w:tc>
          <w:tcPr>
            <w:tcW w:w="474" w:type="pct"/>
            <w:tcBorders>
              <w:tl2br w:val="nil"/>
              <w:tr2bl w:val="nil"/>
            </w:tcBorders>
            <w:shd w:val="clear" w:color="auto" w:fill="auto"/>
            <w:noWrap/>
            <w:vAlign w:val="center"/>
          </w:tcPr>
          <w:p w14:paraId="767FEBD5">
            <w:pPr>
              <w:pStyle w:val="1111"/>
              <w:bidi w:val="0"/>
              <w:rPr>
                <w:rFonts w:hint="eastAsia"/>
              </w:rPr>
            </w:pPr>
            <w:r>
              <w:rPr>
                <w:rFonts w:hint="eastAsia"/>
                <w:lang w:val="en-US" w:eastAsia="zh-CN"/>
              </w:rPr>
              <w:t>NE</w:t>
            </w:r>
          </w:p>
        </w:tc>
        <w:tc>
          <w:tcPr>
            <w:tcW w:w="872" w:type="pct"/>
            <w:tcBorders>
              <w:tl2br w:val="nil"/>
              <w:tr2bl w:val="nil"/>
            </w:tcBorders>
            <w:shd w:val="clear" w:color="auto" w:fill="auto"/>
            <w:noWrap/>
            <w:vAlign w:val="center"/>
          </w:tcPr>
          <w:p w14:paraId="6FAA8D06">
            <w:pPr>
              <w:pStyle w:val="1111"/>
              <w:bidi w:val="0"/>
              <w:rPr>
                <w:rFonts w:hint="eastAsia"/>
              </w:rPr>
            </w:pPr>
            <w:r>
              <w:rPr>
                <w:rFonts w:hint="eastAsia"/>
                <w:lang w:val="en-US" w:eastAsia="zh-CN"/>
              </w:rPr>
              <w:t>3006</w:t>
            </w:r>
          </w:p>
        </w:tc>
        <w:tc>
          <w:tcPr>
            <w:tcW w:w="612" w:type="pct"/>
            <w:tcBorders>
              <w:tl2br w:val="nil"/>
              <w:tr2bl w:val="nil"/>
            </w:tcBorders>
            <w:shd w:val="clear" w:color="auto" w:fill="auto"/>
            <w:noWrap/>
            <w:vAlign w:val="center"/>
          </w:tcPr>
          <w:p w14:paraId="0C4E7EC2">
            <w:pPr>
              <w:pStyle w:val="1111"/>
              <w:bidi w:val="0"/>
              <w:rPr>
                <w:rFonts w:hint="eastAsia"/>
              </w:rPr>
            </w:pPr>
            <w:r>
              <w:rPr>
                <w:rFonts w:hint="eastAsia"/>
                <w:lang w:val="en-US" w:eastAsia="zh-CN"/>
              </w:rPr>
              <w:t>居民</w:t>
            </w:r>
          </w:p>
        </w:tc>
        <w:tc>
          <w:tcPr>
            <w:tcW w:w="599" w:type="pct"/>
            <w:tcBorders>
              <w:tl2br w:val="nil"/>
              <w:tr2bl w:val="nil"/>
            </w:tcBorders>
            <w:shd w:val="clear" w:color="auto" w:fill="auto"/>
            <w:vAlign w:val="center"/>
          </w:tcPr>
          <w:p w14:paraId="180BBDDF">
            <w:pPr>
              <w:pStyle w:val="1111"/>
              <w:bidi w:val="0"/>
              <w:rPr>
                <w:rFonts w:hint="default"/>
              </w:rPr>
            </w:pPr>
            <w:r>
              <w:rPr>
                <w:rFonts w:hint="default"/>
                <w:lang w:val="en-US" w:eastAsia="zh-CN"/>
              </w:rPr>
              <w:t>900</w:t>
            </w:r>
          </w:p>
        </w:tc>
      </w:tr>
      <w:tr w14:paraId="586F98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41A52B9C">
            <w:pPr>
              <w:pStyle w:val="1111"/>
              <w:bidi w:val="0"/>
              <w:rPr>
                <w:rFonts w:hint="eastAsia"/>
                <w:lang w:val="en-US" w:eastAsia="zh-CN"/>
              </w:rPr>
            </w:pPr>
          </w:p>
        </w:tc>
        <w:tc>
          <w:tcPr>
            <w:tcW w:w="345" w:type="pct"/>
            <w:tcBorders>
              <w:tl2br w:val="nil"/>
              <w:tr2bl w:val="nil"/>
            </w:tcBorders>
            <w:shd w:val="clear" w:color="auto" w:fill="auto"/>
            <w:noWrap/>
            <w:vAlign w:val="center"/>
          </w:tcPr>
          <w:p w14:paraId="4AFAE186">
            <w:pPr>
              <w:pStyle w:val="1111"/>
              <w:bidi w:val="0"/>
              <w:rPr>
                <w:rFonts w:hint="eastAsia"/>
              </w:rPr>
            </w:pPr>
            <w:r>
              <w:rPr>
                <w:rFonts w:hint="eastAsia"/>
                <w:lang w:val="en-US" w:eastAsia="zh-CN"/>
              </w:rPr>
              <w:t>53</w:t>
            </w:r>
          </w:p>
        </w:tc>
        <w:tc>
          <w:tcPr>
            <w:tcW w:w="1748" w:type="pct"/>
            <w:tcBorders>
              <w:tl2br w:val="nil"/>
              <w:tr2bl w:val="nil"/>
            </w:tcBorders>
            <w:shd w:val="clear" w:color="auto" w:fill="auto"/>
            <w:noWrap/>
            <w:vAlign w:val="center"/>
          </w:tcPr>
          <w:p w14:paraId="0E40F51D">
            <w:pPr>
              <w:pStyle w:val="1111"/>
              <w:bidi w:val="0"/>
              <w:rPr>
                <w:rFonts w:hint="eastAsia"/>
              </w:rPr>
            </w:pPr>
            <w:r>
              <w:rPr>
                <w:rFonts w:hint="eastAsia"/>
                <w:lang w:val="en-US" w:eastAsia="zh-CN"/>
              </w:rPr>
              <w:t>十三生产队</w:t>
            </w:r>
          </w:p>
        </w:tc>
        <w:tc>
          <w:tcPr>
            <w:tcW w:w="474" w:type="pct"/>
            <w:tcBorders>
              <w:tl2br w:val="nil"/>
              <w:tr2bl w:val="nil"/>
            </w:tcBorders>
            <w:shd w:val="clear" w:color="auto" w:fill="auto"/>
            <w:noWrap/>
            <w:vAlign w:val="center"/>
          </w:tcPr>
          <w:p w14:paraId="1857DFC7">
            <w:pPr>
              <w:pStyle w:val="1111"/>
              <w:bidi w:val="0"/>
              <w:rPr>
                <w:rFonts w:hint="eastAsia"/>
              </w:rPr>
            </w:pPr>
            <w:r>
              <w:rPr>
                <w:rFonts w:hint="eastAsia"/>
                <w:lang w:val="en-US" w:eastAsia="zh-CN"/>
              </w:rPr>
              <w:t>SE</w:t>
            </w:r>
          </w:p>
        </w:tc>
        <w:tc>
          <w:tcPr>
            <w:tcW w:w="872" w:type="pct"/>
            <w:tcBorders>
              <w:tl2br w:val="nil"/>
              <w:tr2bl w:val="nil"/>
            </w:tcBorders>
            <w:shd w:val="clear" w:color="auto" w:fill="auto"/>
            <w:noWrap/>
            <w:vAlign w:val="center"/>
          </w:tcPr>
          <w:p w14:paraId="776CC269">
            <w:pPr>
              <w:pStyle w:val="1111"/>
              <w:bidi w:val="0"/>
              <w:rPr>
                <w:rFonts w:hint="eastAsia"/>
              </w:rPr>
            </w:pPr>
            <w:r>
              <w:rPr>
                <w:rFonts w:hint="eastAsia"/>
                <w:lang w:val="en-US" w:eastAsia="zh-CN"/>
              </w:rPr>
              <w:t>3013</w:t>
            </w:r>
          </w:p>
        </w:tc>
        <w:tc>
          <w:tcPr>
            <w:tcW w:w="612" w:type="pct"/>
            <w:tcBorders>
              <w:tl2br w:val="nil"/>
              <w:tr2bl w:val="nil"/>
            </w:tcBorders>
            <w:shd w:val="clear" w:color="auto" w:fill="auto"/>
            <w:noWrap/>
            <w:vAlign w:val="center"/>
          </w:tcPr>
          <w:p w14:paraId="060AA060">
            <w:pPr>
              <w:pStyle w:val="1111"/>
              <w:bidi w:val="0"/>
              <w:rPr>
                <w:rFonts w:hint="eastAsia"/>
              </w:rPr>
            </w:pPr>
            <w:r>
              <w:rPr>
                <w:rFonts w:hint="eastAsia"/>
                <w:lang w:val="en-US" w:eastAsia="zh-CN"/>
              </w:rPr>
              <w:t>居民</w:t>
            </w:r>
          </w:p>
        </w:tc>
        <w:tc>
          <w:tcPr>
            <w:tcW w:w="599" w:type="pct"/>
            <w:tcBorders>
              <w:tl2br w:val="nil"/>
              <w:tr2bl w:val="nil"/>
            </w:tcBorders>
            <w:shd w:val="clear" w:color="auto" w:fill="auto"/>
            <w:vAlign w:val="center"/>
          </w:tcPr>
          <w:p w14:paraId="1CBEF80A">
            <w:pPr>
              <w:pStyle w:val="1111"/>
              <w:bidi w:val="0"/>
              <w:rPr>
                <w:rFonts w:hint="default"/>
              </w:rPr>
            </w:pPr>
            <w:r>
              <w:rPr>
                <w:rFonts w:hint="default"/>
                <w:lang w:val="en-US" w:eastAsia="zh-CN"/>
              </w:rPr>
              <w:t>242</w:t>
            </w:r>
          </w:p>
        </w:tc>
      </w:tr>
      <w:tr w14:paraId="5976F4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031D416F">
            <w:pPr>
              <w:pStyle w:val="1111"/>
              <w:bidi w:val="0"/>
              <w:rPr>
                <w:rFonts w:hint="eastAsia"/>
                <w:lang w:val="en-US" w:eastAsia="zh-CN"/>
              </w:rPr>
            </w:pPr>
          </w:p>
        </w:tc>
        <w:tc>
          <w:tcPr>
            <w:tcW w:w="345" w:type="pct"/>
            <w:tcBorders>
              <w:tl2br w:val="nil"/>
              <w:tr2bl w:val="nil"/>
            </w:tcBorders>
            <w:shd w:val="clear" w:color="auto" w:fill="auto"/>
            <w:noWrap/>
            <w:vAlign w:val="center"/>
          </w:tcPr>
          <w:p w14:paraId="3DDCEB5E">
            <w:pPr>
              <w:pStyle w:val="1111"/>
              <w:bidi w:val="0"/>
              <w:rPr>
                <w:rFonts w:hint="eastAsia"/>
              </w:rPr>
            </w:pPr>
            <w:r>
              <w:rPr>
                <w:rFonts w:hint="eastAsia"/>
                <w:lang w:val="en-US" w:eastAsia="zh-CN"/>
              </w:rPr>
              <w:t>54</w:t>
            </w:r>
          </w:p>
        </w:tc>
        <w:tc>
          <w:tcPr>
            <w:tcW w:w="1748" w:type="pct"/>
            <w:tcBorders>
              <w:tl2br w:val="nil"/>
              <w:tr2bl w:val="nil"/>
            </w:tcBorders>
            <w:shd w:val="clear" w:color="auto" w:fill="auto"/>
            <w:noWrap/>
            <w:vAlign w:val="center"/>
          </w:tcPr>
          <w:p w14:paraId="4D2C64BB">
            <w:pPr>
              <w:pStyle w:val="1111"/>
              <w:bidi w:val="0"/>
              <w:rPr>
                <w:rFonts w:hint="eastAsia"/>
              </w:rPr>
            </w:pPr>
            <w:r>
              <w:rPr>
                <w:rFonts w:hint="eastAsia"/>
                <w:lang w:val="en-US" w:eastAsia="zh-CN"/>
              </w:rPr>
              <w:t>融盛状元府</w:t>
            </w:r>
          </w:p>
        </w:tc>
        <w:tc>
          <w:tcPr>
            <w:tcW w:w="474" w:type="pct"/>
            <w:tcBorders>
              <w:tl2br w:val="nil"/>
              <w:tr2bl w:val="nil"/>
            </w:tcBorders>
            <w:shd w:val="clear" w:color="auto" w:fill="auto"/>
            <w:noWrap/>
            <w:vAlign w:val="center"/>
          </w:tcPr>
          <w:p w14:paraId="122792AF">
            <w:pPr>
              <w:pStyle w:val="1111"/>
              <w:bidi w:val="0"/>
              <w:rPr>
                <w:rFonts w:hint="eastAsia"/>
              </w:rPr>
            </w:pPr>
            <w:r>
              <w:rPr>
                <w:rFonts w:hint="eastAsia"/>
                <w:lang w:val="en-US" w:eastAsia="zh-CN"/>
              </w:rPr>
              <w:t>NE</w:t>
            </w:r>
          </w:p>
        </w:tc>
        <w:tc>
          <w:tcPr>
            <w:tcW w:w="872" w:type="pct"/>
            <w:tcBorders>
              <w:tl2br w:val="nil"/>
              <w:tr2bl w:val="nil"/>
            </w:tcBorders>
            <w:shd w:val="clear" w:color="auto" w:fill="auto"/>
            <w:noWrap/>
            <w:vAlign w:val="center"/>
          </w:tcPr>
          <w:p w14:paraId="27175796">
            <w:pPr>
              <w:pStyle w:val="1111"/>
              <w:bidi w:val="0"/>
              <w:rPr>
                <w:rFonts w:hint="eastAsia"/>
              </w:rPr>
            </w:pPr>
            <w:r>
              <w:rPr>
                <w:rFonts w:hint="eastAsia"/>
                <w:lang w:val="en-US" w:eastAsia="zh-CN"/>
              </w:rPr>
              <w:t>3027</w:t>
            </w:r>
          </w:p>
        </w:tc>
        <w:tc>
          <w:tcPr>
            <w:tcW w:w="612" w:type="pct"/>
            <w:tcBorders>
              <w:tl2br w:val="nil"/>
              <w:tr2bl w:val="nil"/>
            </w:tcBorders>
            <w:shd w:val="clear" w:color="auto" w:fill="auto"/>
            <w:noWrap/>
            <w:vAlign w:val="center"/>
          </w:tcPr>
          <w:p w14:paraId="160D245D">
            <w:pPr>
              <w:pStyle w:val="1111"/>
              <w:bidi w:val="0"/>
              <w:rPr>
                <w:rFonts w:hint="eastAsia"/>
              </w:rPr>
            </w:pPr>
            <w:r>
              <w:rPr>
                <w:rFonts w:hint="eastAsia"/>
                <w:lang w:val="en-US" w:eastAsia="zh-CN"/>
              </w:rPr>
              <w:t>居民</w:t>
            </w:r>
          </w:p>
        </w:tc>
        <w:tc>
          <w:tcPr>
            <w:tcW w:w="599" w:type="pct"/>
            <w:tcBorders>
              <w:tl2br w:val="nil"/>
              <w:tr2bl w:val="nil"/>
            </w:tcBorders>
            <w:shd w:val="clear" w:color="auto" w:fill="auto"/>
            <w:vAlign w:val="center"/>
          </w:tcPr>
          <w:p w14:paraId="5097C7E4">
            <w:pPr>
              <w:pStyle w:val="1111"/>
              <w:bidi w:val="0"/>
              <w:rPr>
                <w:rFonts w:hint="default"/>
              </w:rPr>
            </w:pPr>
            <w:r>
              <w:rPr>
                <w:rFonts w:hint="eastAsia"/>
                <w:lang w:val="en-US" w:eastAsia="zh-CN"/>
              </w:rPr>
              <w:t>-</w:t>
            </w:r>
          </w:p>
        </w:tc>
      </w:tr>
      <w:tr w14:paraId="5F18D1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2C7C6144">
            <w:pPr>
              <w:pStyle w:val="1111"/>
              <w:bidi w:val="0"/>
              <w:rPr>
                <w:rFonts w:hint="eastAsia"/>
                <w:lang w:val="en-US" w:eastAsia="zh-CN"/>
              </w:rPr>
            </w:pPr>
          </w:p>
        </w:tc>
        <w:tc>
          <w:tcPr>
            <w:tcW w:w="345" w:type="pct"/>
            <w:tcBorders>
              <w:tl2br w:val="nil"/>
              <w:tr2bl w:val="nil"/>
            </w:tcBorders>
            <w:shd w:val="clear" w:color="auto" w:fill="auto"/>
            <w:noWrap/>
            <w:vAlign w:val="center"/>
          </w:tcPr>
          <w:p w14:paraId="6BAC0440">
            <w:pPr>
              <w:pStyle w:val="1111"/>
              <w:bidi w:val="0"/>
              <w:rPr>
                <w:rFonts w:hint="eastAsia"/>
              </w:rPr>
            </w:pPr>
            <w:r>
              <w:rPr>
                <w:rFonts w:hint="eastAsia"/>
                <w:lang w:val="en-US" w:eastAsia="zh-CN"/>
              </w:rPr>
              <w:t>55</w:t>
            </w:r>
          </w:p>
        </w:tc>
        <w:tc>
          <w:tcPr>
            <w:tcW w:w="1748" w:type="pct"/>
            <w:tcBorders>
              <w:tl2br w:val="nil"/>
              <w:tr2bl w:val="nil"/>
            </w:tcBorders>
            <w:shd w:val="clear" w:color="auto" w:fill="auto"/>
            <w:noWrap/>
            <w:vAlign w:val="center"/>
          </w:tcPr>
          <w:p w14:paraId="13359F96">
            <w:pPr>
              <w:pStyle w:val="1111"/>
              <w:bidi w:val="0"/>
              <w:rPr>
                <w:rFonts w:hint="eastAsia"/>
              </w:rPr>
            </w:pPr>
            <w:r>
              <w:rPr>
                <w:rFonts w:hint="eastAsia"/>
                <w:lang w:val="en-US" w:eastAsia="zh-CN"/>
              </w:rPr>
              <w:t>锦绣香江澜山</w:t>
            </w:r>
          </w:p>
        </w:tc>
        <w:tc>
          <w:tcPr>
            <w:tcW w:w="474" w:type="pct"/>
            <w:tcBorders>
              <w:tl2br w:val="nil"/>
              <w:tr2bl w:val="nil"/>
            </w:tcBorders>
            <w:shd w:val="clear" w:color="auto" w:fill="auto"/>
            <w:noWrap/>
            <w:vAlign w:val="center"/>
          </w:tcPr>
          <w:p w14:paraId="78BAFF19">
            <w:pPr>
              <w:pStyle w:val="1111"/>
              <w:bidi w:val="0"/>
              <w:rPr>
                <w:rFonts w:hint="eastAsia"/>
              </w:rPr>
            </w:pPr>
            <w:r>
              <w:rPr>
                <w:rFonts w:hint="eastAsia"/>
                <w:lang w:val="en-US" w:eastAsia="zh-CN"/>
              </w:rPr>
              <w:t>NE</w:t>
            </w:r>
          </w:p>
        </w:tc>
        <w:tc>
          <w:tcPr>
            <w:tcW w:w="872" w:type="pct"/>
            <w:tcBorders>
              <w:tl2br w:val="nil"/>
              <w:tr2bl w:val="nil"/>
            </w:tcBorders>
            <w:shd w:val="clear" w:color="auto" w:fill="auto"/>
            <w:noWrap/>
            <w:vAlign w:val="center"/>
          </w:tcPr>
          <w:p w14:paraId="31A92491">
            <w:pPr>
              <w:pStyle w:val="1111"/>
              <w:bidi w:val="0"/>
              <w:rPr>
                <w:rFonts w:hint="eastAsia"/>
              </w:rPr>
            </w:pPr>
            <w:r>
              <w:rPr>
                <w:rFonts w:hint="eastAsia"/>
                <w:lang w:val="en-US" w:eastAsia="zh-CN"/>
              </w:rPr>
              <w:t>3027</w:t>
            </w:r>
          </w:p>
        </w:tc>
        <w:tc>
          <w:tcPr>
            <w:tcW w:w="612" w:type="pct"/>
            <w:tcBorders>
              <w:tl2br w:val="nil"/>
              <w:tr2bl w:val="nil"/>
            </w:tcBorders>
            <w:shd w:val="clear" w:color="auto" w:fill="auto"/>
            <w:noWrap/>
            <w:vAlign w:val="center"/>
          </w:tcPr>
          <w:p w14:paraId="304827A2">
            <w:pPr>
              <w:pStyle w:val="1111"/>
              <w:bidi w:val="0"/>
              <w:rPr>
                <w:rFonts w:hint="eastAsia"/>
              </w:rPr>
            </w:pPr>
            <w:r>
              <w:rPr>
                <w:rFonts w:hint="eastAsia"/>
                <w:lang w:val="en-US" w:eastAsia="zh-CN"/>
              </w:rPr>
              <w:t>居民</w:t>
            </w:r>
          </w:p>
        </w:tc>
        <w:tc>
          <w:tcPr>
            <w:tcW w:w="599" w:type="pct"/>
            <w:tcBorders>
              <w:tl2br w:val="nil"/>
              <w:tr2bl w:val="nil"/>
            </w:tcBorders>
            <w:shd w:val="clear" w:color="auto" w:fill="auto"/>
            <w:vAlign w:val="center"/>
          </w:tcPr>
          <w:p w14:paraId="4151AB08">
            <w:pPr>
              <w:pStyle w:val="1111"/>
              <w:bidi w:val="0"/>
              <w:rPr>
                <w:rFonts w:hint="default"/>
              </w:rPr>
            </w:pPr>
            <w:r>
              <w:rPr>
                <w:rFonts w:hint="default"/>
                <w:lang w:val="en-US" w:eastAsia="zh-CN"/>
              </w:rPr>
              <w:t>864</w:t>
            </w:r>
          </w:p>
        </w:tc>
      </w:tr>
      <w:tr w14:paraId="4746F4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1FEBD6CE">
            <w:pPr>
              <w:pStyle w:val="1111"/>
              <w:bidi w:val="0"/>
              <w:rPr>
                <w:rFonts w:hint="eastAsia"/>
                <w:lang w:val="en-US" w:eastAsia="zh-CN"/>
              </w:rPr>
            </w:pPr>
          </w:p>
        </w:tc>
        <w:tc>
          <w:tcPr>
            <w:tcW w:w="345" w:type="pct"/>
            <w:tcBorders>
              <w:tl2br w:val="nil"/>
              <w:tr2bl w:val="nil"/>
            </w:tcBorders>
            <w:shd w:val="clear" w:color="auto" w:fill="auto"/>
            <w:noWrap/>
            <w:vAlign w:val="center"/>
          </w:tcPr>
          <w:p w14:paraId="7C1B4EE9">
            <w:pPr>
              <w:pStyle w:val="1111"/>
              <w:bidi w:val="0"/>
              <w:rPr>
                <w:rFonts w:hint="eastAsia"/>
              </w:rPr>
            </w:pPr>
            <w:r>
              <w:rPr>
                <w:rFonts w:hint="eastAsia"/>
                <w:lang w:val="en-US" w:eastAsia="zh-CN"/>
              </w:rPr>
              <w:t>56</w:t>
            </w:r>
          </w:p>
        </w:tc>
        <w:tc>
          <w:tcPr>
            <w:tcW w:w="1748" w:type="pct"/>
            <w:tcBorders>
              <w:tl2br w:val="nil"/>
              <w:tr2bl w:val="nil"/>
            </w:tcBorders>
            <w:shd w:val="clear" w:color="auto" w:fill="auto"/>
            <w:noWrap/>
            <w:vAlign w:val="center"/>
          </w:tcPr>
          <w:p w14:paraId="02FC9EE4">
            <w:pPr>
              <w:pStyle w:val="1111"/>
              <w:bidi w:val="0"/>
              <w:rPr>
                <w:rFonts w:hint="eastAsia"/>
              </w:rPr>
            </w:pPr>
            <w:r>
              <w:rPr>
                <w:rFonts w:hint="eastAsia"/>
                <w:lang w:val="en-US" w:eastAsia="zh-CN"/>
              </w:rPr>
              <w:t>振云街道</w:t>
            </w:r>
          </w:p>
        </w:tc>
        <w:tc>
          <w:tcPr>
            <w:tcW w:w="474" w:type="pct"/>
            <w:tcBorders>
              <w:tl2br w:val="nil"/>
              <w:tr2bl w:val="nil"/>
            </w:tcBorders>
            <w:shd w:val="clear" w:color="auto" w:fill="auto"/>
            <w:noWrap/>
            <w:vAlign w:val="center"/>
          </w:tcPr>
          <w:p w14:paraId="3A969317">
            <w:pPr>
              <w:pStyle w:val="1111"/>
              <w:bidi w:val="0"/>
              <w:rPr>
                <w:rFonts w:hint="eastAsia"/>
              </w:rPr>
            </w:pPr>
            <w:r>
              <w:rPr>
                <w:rFonts w:hint="eastAsia"/>
                <w:lang w:val="en-US" w:eastAsia="zh-CN"/>
              </w:rPr>
              <w:t>SE</w:t>
            </w:r>
          </w:p>
        </w:tc>
        <w:tc>
          <w:tcPr>
            <w:tcW w:w="872" w:type="pct"/>
            <w:tcBorders>
              <w:tl2br w:val="nil"/>
              <w:tr2bl w:val="nil"/>
            </w:tcBorders>
            <w:shd w:val="clear" w:color="auto" w:fill="auto"/>
            <w:noWrap/>
            <w:vAlign w:val="center"/>
          </w:tcPr>
          <w:p w14:paraId="5036D0C5">
            <w:pPr>
              <w:pStyle w:val="1111"/>
              <w:bidi w:val="0"/>
              <w:rPr>
                <w:rFonts w:hint="eastAsia"/>
              </w:rPr>
            </w:pPr>
            <w:r>
              <w:rPr>
                <w:rFonts w:hint="eastAsia"/>
                <w:lang w:val="en-US" w:eastAsia="zh-CN"/>
              </w:rPr>
              <w:t>3106</w:t>
            </w:r>
          </w:p>
        </w:tc>
        <w:tc>
          <w:tcPr>
            <w:tcW w:w="612" w:type="pct"/>
            <w:tcBorders>
              <w:tl2br w:val="nil"/>
              <w:tr2bl w:val="nil"/>
            </w:tcBorders>
            <w:shd w:val="clear" w:color="auto" w:fill="auto"/>
            <w:noWrap/>
            <w:vAlign w:val="center"/>
          </w:tcPr>
          <w:p w14:paraId="169CE815">
            <w:pPr>
              <w:pStyle w:val="1111"/>
              <w:bidi w:val="0"/>
              <w:rPr>
                <w:rFonts w:hint="eastAsia"/>
              </w:rPr>
            </w:pPr>
            <w:r>
              <w:rPr>
                <w:rFonts w:hint="eastAsia"/>
                <w:lang w:val="en-US" w:eastAsia="zh-CN"/>
              </w:rPr>
              <w:t>居民</w:t>
            </w:r>
          </w:p>
        </w:tc>
        <w:tc>
          <w:tcPr>
            <w:tcW w:w="599" w:type="pct"/>
            <w:tcBorders>
              <w:tl2br w:val="nil"/>
              <w:tr2bl w:val="nil"/>
            </w:tcBorders>
            <w:shd w:val="clear" w:color="auto" w:fill="auto"/>
            <w:vAlign w:val="center"/>
          </w:tcPr>
          <w:p w14:paraId="3C88A88B">
            <w:pPr>
              <w:pStyle w:val="1111"/>
              <w:bidi w:val="0"/>
              <w:rPr>
                <w:rFonts w:hint="default"/>
              </w:rPr>
            </w:pPr>
            <w:r>
              <w:rPr>
                <w:rFonts w:hint="default"/>
                <w:lang w:val="en-US" w:eastAsia="zh-CN"/>
              </w:rPr>
              <w:t>657</w:t>
            </w:r>
          </w:p>
        </w:tc>
      </w:tr>
      <w:tr w14:paraId="351F45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183B9BE0">
            <w:pPr>
              <w:pStyle w:val="1111"/>
              <w:bidi w:val="0"/>
              <w:rPr>
                <w:rFonts w:hint="eastAsia"/>
                <w:lang w:val="en-US" w:eastAsia="zh-CN"/>
              </w:rPr>
            </w:pPr>
          </w:p>
        </w:tc>
        <w:tc>
          <w:tcPr>
            <w:tcW w:w="345" w:type="pct"/>
            <w:tcBorders>
              <w:tl2br w:val="nil"/>
              <w:tr2bl w:val="nil"/>
            </w:tcBorders>
            <w:shd w:val="clear" w:color="auto" w:fill="auto"/>
            <w:noWrap/>
            <w:vAlign w:val="center"/>
          </w:tcPr>
          <w:p w14:paraId="75F38F70">
            <w:pPr>
              <w:pStyle w:val="1111"/>
              <w:bidi w:val="0"/>
              <w:rPr>
                <w:rFonts w:hint="eastAsia"/>
              </w:rPr>
            </w:pPr>
            <w:r>
              <w:rPr>
                <w:rFonts w:hint="eastAsia"/>
                <w:lang w:val="en-US" w:eastAsia="zh-CN"/>
              </w:rPr>
              <w:t>57</w:t>
            </w:r>
          </w:p>
        </w:tc>
        <w:tc>
          <w:tcPr>
            <w:tcW w:w="1748" w:type="pct"/>
            <w:tcBorders>
              <w:tl2br w:val="nil"/>
              <w:tr2bl w:val="nil"/>
            </w:tcBorders>
            <w:shd w:val="clear" w:color="auto" w:fill="auto"/>
            <w:noWrap/>
            <w:vAlign w:val="center"/>
          </w:tcPr>
          <w:p w14:paraId="31ABFE82">
            <w:pPr>
              <w:pStyle w:val="1111"/>
              <w:bidi w:val="0"/>
              <w:rPr>
                <w:rFonts w:hint="eastAsia"/>
              </w:rPr>
            </w:pPr>
            <w:r>
              <w:rPr>
                <w:rFonts w:hint="eastAsia"/>
                <w:lang w:val="en-US" w:eastAsia="zh-CN"/>
              </w:rPr>
              <w:t>云锦园</w:t>
            </w:r>
          </w:p>
        </w:tc>
        <w:tc>
          <w:tcPr>
            <w:tcW w:w="474" w:type="pct"/>
            <w:tcBorders>
              <w:tl2br w:val="nil"/>
              <w:tr2bl w:val="nil"/>
            </w:tcBorders>
            <w:shd w:val="clear" w:color="auto" w:fill="auto"/>
            <w:noWrap/>
            <w:vAlign w:val="center"/>
          </w:tcPr>
          <w:p w14:paraId="35F11452">
            <w:pPr>
              <w:pStyle w:val="1111"/>
              <w:bidi w:val="0"/>
              <w:rPr>
                <w:rFonts w:hint="eastAsia"/>
              </w:rPr>
            </w:pPr>
            <w:r>
              <w:rPr>
                <w:rFonts w:hint="eastAsia"/>
                <w:lang w:val="en-US" w:eastAsia="zh-CN"/>
              </w:rPr>
              <w:t>SE</w:t>
            </w:r>
          </w:p>
        </w:tc>
        <w:tc>
          <w:tcPr>
            <w:tcW w:w="872" w:type="pct"/>
            <w:tcBorders>
              <w:tl2br w:val="nil"/>
              <w:tr2bl w:val="nil"/>
            </w:tcBorders>
            <w:shd w:val="clear" w:color="auto" w:fill="auto"/>
            <w:noWrap/>
            <w:vAlign w:val="center"/>
          </w:tcPr>
          <w:p w14:paraId="7CC05FAD">
            <w:pPr>
              <w:pStyle w:val="1111"/>
              <w:bidi w:val="0"/>
              <w:rPr>
                <w:rFonts w:hint="eastAsia"/>
              </w:rPr>
            </w:pPr>
            <w:r>
              <w:rPr>
                <w:rFonts w:hint="eastAsia"/>
                <w:lang w:val="en-US" w:eastAsia="zh-CN"/>
              </w:rPr>
              <w:t>3196</w:t>
            </w:r>
          </w:p>
        </w:tc>
        <w:tc>
          <w:tcPr>
            <w:tcW w:w="612" w:type="pct"/>
            <w:tcBorders>
              <w:tl2br w:val="nil"/>
              <w:tr2bl w:val="nil"/>
            </w:tcBorders>
            <w:shd w:val="clear" w:color="auto" w:fill="auto"/>
            <w:noWrap/>
            <w:vAlign w:val="center"/>
          </w:tcPr>
          <w:p w14:paraId="04647968">
            <w:pPr>
              <w:pStyle w:val="1111"/>
              <w:bidi w:val="0"/>
              <w:rPr>
                <w:rFonts w:hint="eastAsia"/>
              </w:rPr>
            </w:pPr>
            <w:r>
              <w:rPr>
                <w:rFonts w:hint="eastAsia"/>
                <w:lang w:val="en-US" w:eastAsia="zh-CN"/>
              </w:rPr>
              <w:t>居民</w:t>
            </w:r>
          </w:p>
        </w:tc>
        <w:tc>
          <w:tcPr>
            <w:tcW w:w="599" w:type="pct"/>
            <w:tcBorders>
              <w:tl2br w:val="nil"/>
              <w:tr2bl w:val="nil"/>
            </w:tcBorders>
            <w:shd w:val="clear" w:color="auto" w:fill="auto"/>
            <w:vAlign w:val="center"/>
          </w:tcPr>
          <w:p w14:paraId="529582EC">
            <w:pPr>
              <w:pStyle w:val="1111"/>
              <w:bidi w:val="0"/>
              <w:rPr>
                <w:rFonts w:hint="default"/>
              </w:rPr>
            </w:pPr>
            <w:r>
              <w:rPr>
                <w:rFonts w:hint="default"/>
                <w:lang w:val="en-US" w:eastAsia="zh-CN"/>
              </w:rPr>
              <w:t>3024</w:t>
            </w:r>
          </w:p>
        </w:tc>
      </w:tr>
      <w:tr w14:paraId="109487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0143E88D">
            <w:pPr>
              <w:pStyle w:val="1111"/>
              <w:bidi w:val="0"/>
              <w:rPr>
                <w:rFonts w:hint="eastAsia"/>
                <w:lang w:val="en-US" w:eastAsia="zh-CN"/>
              </w:rPr>
            </w:pPr>
          </w:p>
        </w:tc>
        <w:tc>
          <w:tcPr>
            <w:tcW w:w="345" w:type="pct"/>
            <w:tcBorders>
              <w:tl2br w:val="nil"/>
              <w:tr2bl w:val="nil"/>
            </w:tcBorders>
            <w:shd w:val="clear" w:color="auto" w:fill="auto"/>
            <w:noWrap/>
            <w:vAlign w:val="center"/>
          </w:tcPr>
          <w:p w14:paraId="7553A963">
            <w:pPr>
              <w:pStyle w:val="1111"/>
              <w:bidi w:val="0"/>
              <w:rPr>
                <w:rFonts w:hint="eastAsia"/>
              </w:rPr>
            </w:pPr>
            <w:r>
              <w:rPr>
                <w:rFonts w:hint="eastAsia"/>
                <w:lang w:val="en-US" w:eastAsia="zh-CN"/>
              </w:rPr>
              <w:t>58</w:t>
            </w:r>
          </w:p>
        </w:tc>
        <w:tc>
          <w:tcPr>
            <w:tcW w:w="1748" w:type="pct"/>
            <w:tcBorders>
              <w:tl2br w:val="nil"/>
              <w:tr2bl w:val="nil"/>
            </w:tcBorders>
            <w:shd w:val="clear" w:color="auto" w:fill="auto"/>
            <w:noWrap/>
            <w:vAlign w:val="center"/>
          </w:tcPr>
          <w:p w14:paraId="0E21996B">
            <w:pPr>
              <w:pStyle w:val="1111"/>
              <w:bidi w:val="0"/>
              <w:rPr>
                <w:rFonts w:hint="eastAsia"/>
              </w:rPr>
            </w:pPr>
            <w:r>
              <w:rPr>
                <w:rFonts w:hint="eastAsia"/>
                <w:lang w:val="en-US" w:eastAsia="zh-CN"/>
              </w:rPr>
              <w:t>北小庄</w:t>
            </w:r>
          </w:p>
        </w:tc>
        <w:tc>
          <w:tcPr>
            <w:tcW w:w="474" w:type="pct"/>
            <w:tcBorders>
              <w:tl2br w:val="nil"/>
              <w:tr2bl w:val="nil"/>
            </w:tcBorders>
            <w:shd w:val="clear" w:color="auto" w:fill="auto"/>
            <w:noWrap/>
            <w:vAlign w:val="center"/>
          </w:tcPr>
          <w:p w14:paraId="4E438870">
            <w:pPr>
              <w:pStyle w:val="1111"/>
              <w:bidi w:val="0"/>
              <w:rPr>
                <w:rFonts w:hint="eastAsia"/>
              </w:rPr>
            </w:pPr>
            <w:r>
              <w:rPr>
                <w:rFonts w:hint="eastAsia"/>
                <w:lang w:val="en-US" w:eastAsia="zh-CN"/>
              </w:rPr>
              <w:t>SE</w:t>
            </w:r>
          </w:p>
        </w:tc>
        <w:tc>
          <w:tcPr>
            <w:tcW w:w="872" w:type="pct"/>
            <w:tcBorders>
              <w:tl2br w:val="nil"/>
              <w:tr2bl w:val="nil"/>
            </w:tcBorders>
            <w:shd w:val="clear" w:color="auto" w:fill="auto"/>
            <w:noWrap/>
            <w:vAlign w:val="center"/>
          </w:tcPr>
          <w:p w14:paraId="5C80C62C">
            <w:pPr>
              <w:pStyle w:val="1111"/>
              <w:bidi w:val="0"/>
              <w:rPr>
                <w:rFonts w:hint="eastAsia"/>
              </w:rPr>
            </w:pPr>
            <w:r>
              <w:rPr>
                <w:rFonts w:hint="eastAsia"/>
                <w:lang w:val="en-US" w:eastAsia="zh-CN"/>
              </w:rPr>
              <w:t>3248</w:t>
            </w:r>
          </w:p>
        </w:tc>
        <w:tc>
          <w:tcPr>
            <w:tcW w:w="612" w:type="pct"/>
            <w:tcBorders>
              <w:tl2br w:val="nil"/>
              <w:tr2bl w:val="nil"/>
            </w:tcBorders>
            <w:shd w:val="clear" w:color="auto" w:fill="auto"/>
            <w:noWrap/>
            <w:vAlign w:val="center"/>
          </w:tcPr>
          <w:p w14:paraId="71B59B24">
            <w:pPr>
              <w:pStyle w:val="1111"/>
              <w:bidi w:val="0"/>
              <w:rPr>
                <w:rFonts w:hint="eastAsia"/>
              </w:rPr>
            </w:pPr>
            <w:r>
              <w:rPr>
                <w:rFonts w:hint="eastAsia"/>
                <w:lang w:val="en-US" w:eastAsia="zh-CN"/>
              </w:rPr>
              <w:t>居民</w:t>
            </w:r>
          </w:p>
        </w:tc>
        <w:tc>
          <w:tcPr>
            <w:tcW w:w="599" w:type="pct"/>
            <w:tcBorders>
              <w:tl2br w:val="nil"/>
              <w:tr2bl w:val="nil"/>
            </w:tcBorders>
            <w:shd w:val="clear" w:color="auto" w:fill="auto"/>
            <w:vAlign w:val="center"/>
          </w:tcPr>
          <w:p w14:paraId="32419564">
            <w:pPr>
              <w:pStyle w:val="1111"/>
              <w:bidi w:val="0"/>
              <w:rPr>
                <w:rFonts w:hint="default"/>
              </w:rPr>
            </w:pPr>
            <w:r>
              <w:rPr>
                <w:rFonts w:hint="default"/>
                <w:lang w:val="en-US" w:eastAsia="zh-CN"/>
              </w:rPr>
              <w:t>1960</w:t>
            </w:r>
          </w:p>
        </w:tc>
      </w:tr>
      <w:tr w14:paraId="217574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4053353F">
            <w:pPr>
              <w:pStyle w:val="1111"/>
              <w:bidi w:val="0"/>
              <w:rPr>
                <w:rFonts w:hint="eastAsia"/>
                <w:lang w:val="en-US" w:eastAsia="zh-CN"/>
              </w:rPr>
            </w:pPr>
          </w:p>
        </w:tc>
        <w:tc>
          <w:tcPr>
            <w:tcW w:w="345" w:type="pct"/>
            <w:tcBorders>
              <w:tl2br w:val="nil"/>
              <w:tr2bl w:val="nil"/>
            </w:tcBorders>
            <w:shd w:val="clear" w:color="auto" w:fill="auto"/>
            <w:noWrap/>
            <w:vAlign w:val="center"/>
          </w:tcPr>
          <w:p w14:paraId="39C4788F">
            <w:pPr>
              <w:pStyle w:val="1111"/>
              <w:bidi w:val="0"/>
              <w:rPr>
                <w:rFonts w:hint="eastAsia"/>
              </w:rPr>
            </w:pPr>
            <w:r>
              <w:rPr>
                <w:rFonts w:hint="eastAsia"/>
                <w:lang w:val="en-US" w:eastAsia="zh-CN"/>
              </w:rPr>
              <w:t>59</w:t>
            </w:r>
          </w:p>
        </w:tc>
        <w:tc>
          <w:tcPr>
            <w:tcW w:w="1748" w:type="pct"/>
            <w:tcBorders>
              <w:tl2br w:val="nil"/>
              <w:tr2bl w:val="nil"/>
            </w:tcBorders>
            <w:shd w:val="clear" w:color="auto" w:fill="auto"/>
            <w:noWrap/>
            <w:vAlign w:val="center"/>
          </w:tcPr>
          <w:p w14:paraId="7A35C4D8">
            <w:pPr>
              <w:pStyle w:val="1111"/>
              <w:bidi w:val="0"/>
              <w:rPr>
                <w:rFonts w:hint="eastAsia"/>
              </w:rPr>
            </w:pPr>
            <w:r>
              <w:rPr>
                <w:rFonts w:hint="eastAsia"/>
                <w:lang w:val="en-US" w:eastAsia="zh-CN"/>
              </w:rPr>
              <w:t>连云港华杰港逸幼儿园</w:t>
            </w:r>
          </w:p>
        </w:tc>
        <w:tc>
          <w:tcPr>
            <w:tcW w:w="474" w:type="pct"/>
            <w:tcBorders>
              <w:tl2br w:val="nil"/>
              <w:tr2bl w:val="nil"/>
            </w:tcBorders>
            <w:shd w:val="clear" w:color="auto" w:fill="auto"/>
            <w:noWrap/>
            <w:vAlign w:val="center"/>
          </w:tcPr>
          <w:p w14:paraId="5CB674DD">
            <w:pPr>
              <w:pStyle w:val="1111"/>
              <w:bidi w:val="0"/>
              <w:rPr>
                <w:rFonts w:hint="eastAsia"/>
              </w:rPr>
            </w:pPr>
            <w:r>
              <w:rPr>
                <w:rFonts w:hint="eastAsia"/>
                <w:lang w:val="en-US" w:eastAsia="zh-CN"/>
              </w:rPr>
              <w:t>NE</w:t>
            </w:r>
          </w:p>
        </w:tc>
        <w:tc>
          <w:tcPr>
            <w:tcW w:w="872" w:type="pct"/>
            <w:tcBorders>
              <w:tl2br w:val="nil"/>
              <w:tr2bl w:val="nil"/>
            </w:tcBorders>
            <w:shd w:val="clear" w:color="auto" w:fill="auto"/>
            <w:noWrap/>
            <w:vAlign w:val="center"/>
          </w:tcPr>
          <w:p w14:paraId="61C9E5A8">
            <w:pPr>
              <w:pStyle w:val="1111"/>
              <w:bidi w:val="0"/>
              <w:rPr>
                <w:rFonts w:hint="eastAsia"/>
              </w:rPr>
            </w:pPr>
            <w:r>
              <w:rPr>
                <w:rFonts w:hint="eastAsia"/>
                <w:lang w:val="en-US" w:eastAsia="zh-CN"/>
              </w:rPr>
              <w:t>3343</w:t>
            </w:r>
          </w:p>
        </w:tc>
        <w:tc>
          <w:tcPr>
            <w:tcW w:w="612" w:type="pct"/>
            <w:tcBorders>
              <w:tl2br w:val="nil"/>
              <w:tr2bl w:val="nil"/>
            </w:tcBorders>
            <w:shd w:val="clear" w:color="auto" w:fill="auto"/>
            <w:noWrap/>
            <w:vAlign w:val="center"/>
          </w:tcPr>
          <w:p w14:paraId="6D88AAC3">
            <w:pPr>
              <w:pStyle w:val="1111"/>
              <w:bidi w:val="0"/>
              <w:rPr>
                <w:rFonts w:hint="eastAsia"/>
              </w:rPr>
            </w:pPr>
            <w:r>
              <w:rPr>
                <w:rFonts w:hint="eastAsia"/>
                <w:lang w:val="en-US" w:eastAsia="zh-CN"/>
              </w:rPr>
              <w:t>教育</w:t>
            </w:r>
          </w:p>
        </w:tc>
        <w:tc>
          <w:tcPr>
            <w:tcW w:w="599" w:type="pct"/>
            <w:tcBorders>
              <w:tl2br w:val="nil"/>
              <w:tr2bl w:val="nil"/>
            </w:tcBorders>
            <w:shd w:val="clear" w:color="auto" w:fill="auto"/>
            <w:vAlign w:val="center"/>
          </w:tcPr>
          <w:p w14:paraId="515C029D">
            <w:pPr>
              <w:pStyle w:val="1111"/>
              <w:bidi w:val="0"/>
              <w:rPr>
                <w:rFonts w:hint="default"/>
              </w:rPr>
            </w:pPr>
            <w:r>
              <w:rPr>
                <w:rFonts w:hint="default"/>
                <w:lang w:val="en-US" w:eastAsia="zh-CN"/>
              </w:rPr>
              <w:t>200</w:t>
            </w:r>
          </w:p>
        </w:tc>
      </w:tr>
      <w:tr w14:paraId="1093D4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77EE3221">
            <w:pPr>
              <w:pStyle w:val="1111"/>
              <w:bidi w:val="0"/>
              <w:rPr>
                <w:rFonts w:hint="eastAsia"/>
                <w:lang w:val="en-US" w:eastAsia="zh-CN"/>
              </w:rPr>
            </w:pPr>
          </w:p>
        </w:tc>
        <w:tc>
          <w:tcPr>
            <w:tcW w:w="345" w:type="pct"/>
            <w:tcBorders>
              <w:tl2br w:val="nil"/>
              <w:tr2bl w:val="nil"/>
            </w:tcBorders>
            <w:shd w:val="clear" w:color="auto" w:fill="auto"/>
            <w:noWrap/>
            <w:vAlign w:val="center"/>
          </w:tcPr>
          <w:p w14:paraId="675185EA">
            <w:pPr>
              <w:pStyle w:val="1111"/>
              <w:bidi w:val="0"/>
              <w:rPr>
                <w:rFonts w:hint="eastAsia"/>
              </w:rPr>
            </w:pPr>
            <w:r>
              <w:rPr>
                <w:rFonts w:hint="eastAsia"/>
                <w:lang w:val="en-US" w:eastAsia="zh-CN"/>
              </w:rPr>
              <w:t>60</w:t>
            </w:r>
          </w:p>
        </w:tc>
        <w:tc>
          <w:tcPr>
            <w:tcW w:w="1748" w:type="pct"/>
            <w:tcBorders>
              <w:tl2br w:val="nil"/>
              <w:tr2bl w:val="nil"/>
            </w:tcBorders>
            <w:shd w:val="clear" w:color="auto" w:fill="auto"/>
            <w:noWrap/>
            <w:vAlign w:val="center"/>
          </w:tcPr>
          <w:p w14:paraId="30CE095A">
            <w:pPr>
              <w:pStyle w:val="1111"/>
              <w:bidi w:val="0"/>
              <w:rPr>
                <w:rFonts w:hint="eastAsia"/>
              </w:rPr>
            </w:pPr>
            <w:r>
              <w:rPr>
                <w:rFonts w:hint="eastAsia"/>
                <w:lang w:val="en-US" w:eastAsia="zh-CN"/>
              </w:rPr>
              <w:t>港逸花园小区</w:t>
            </w:r>
          </w:p>
        </w:tc>
        <w:tc>
          <w:tcPr>
            <w:tcW w:w="474" w:type="pct"/>
            <w:tcBorders>
              <w:tl2br w:val="nil"/>
              <w:tr2bl w:val="nil"/>
            </w:tcBorders>
            <w:shd w:val="clear" w:color="auto" w:fill="auto"/>
            <w:noWrap/>
            <w:vAlign w:val="center"/>
          </w:tcPr>
          <w:p w14:paraId="56FD6301">
            <w:pPr>
              <w:pStyle w:val="1111"/>
              <w:bidi w:val="0"/>
              <w:rPr>
                <w:rFonts w:hint="eastAsia"/>
              </w:rPr>
            </w:pPr>
            <w:r>
              <w:rPr>
                <w:rFonts w:hint="eastAsia"/>
                <w:lang w:val="en-US" w:eastAsia="zh-CN"/>
              </w:rPr>
              <w:t>NE</w:t>
            </w:r>
          </w:p>
        </w:tc>
        <w:tc>
          <w:tcPr>
            <w:tcW w:w="872" w:type="pct"/>
            <w:tcBorders>
              <w:tl2br w:val="nil"/>
              <w:tr2bl w:val="nil"/>
            </w:tcBorders>
            <w:shd w:val="clear" w:color="auto" w:fill="auto"/>
            <w:noWrap/>
            <w:vAlign w:val="center"/>
          </w:tcPr>
          <w:p w14:paraId="6BDBE248">
            <w:pPr>
              <w:pStyle w:val="1111"/>
              <w:bidi w:val="0"/>
              <w:rPr>
                <w:rFonts w:hint="eastAsia"/>
              </w:rPr>
            </w:pPr>
            <w:r>
              <w:rPr>
                <w:rFonts w:hint="eastAsia"/>
                <w:lang w:val="en-US" w:eastAsia="zh-CN"/>
              </w:rPr>
              <w:t>3345</w:t>
            </w:r>
          </w:p>
        </w:tc>
        <w:tc>
          <w:tcPr>
            <w:tcW w:w="612" w:type="pct"/>
            <w:tcBorders>
              <w:tl2br w:val="nil"/>
              <w:tr2bl w:val="nil"/>
            </w:tcBorders>
            <w:shd w:val="clear" w:color="auto" w:fill="auto"/>
            <w:noWrap/>
            <w:vAlign w:val="center"/>
          </w:tcPr>
          <w:p w14:paraId="5A1F9557">
            <w:pPr>
              <w:pStyle w:val="1111"/>
              <w:bidi w:val="0"/>
              <w:rPr>
                <w:rFonts w:hint="eastAsia"/>
              </w:rPr>
            </w:pPr>
            <w:r>
              <w:rPr>
                <w:rFonts w:hint="eastAsia"/>
                <w:lang w:val="en-US" w:eastAsia="zh-CN"/>
              </w:rPr>
              <w:t>居民</w:t>
            </w:r>
          </w:p>
        </w:tc>
        <w:tc>
          <w:tcPr>
            <w:tcW w:w="599" w:type="pct"/>
            <w:tcBorders>
              <w:tl2br w:val="nil"/>
              <w:tr2bl w:val="nil"/>
            </w:tcBorders>
            <w:shd w:val="clear" w:color="auto" w:fill="auto"/>
            <w:vAlign w:val="center"/>
          </w:tcPr>
          <w:p w14:paraId="5C5EFED9">
            <w:pPr>
              <w:pStyle w:val="1111"/>
              <w:bidi w:val="0"/>
              <w:rPr>
                <w:rFonts w:hint="default"/>
              </w:rPr>
            </w:pPr>
            <w:r>
              <w:rPr>
                <w:rFonts w:hint="default"/>
                <w:lang w:val="en-US" w:eastAsia="zh-CN"/>
              </w:rPr>
              <w:t>3132</w:t>
            </w:r>
          </w:p>
        </w:tc>
      </w:tr>
      <w:tr w14:paraId="1CAB3D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7305E199">
            <w:pPr>
              <w:pStyle w:val="1111"/>
              <w:bidi w:val="0"/>
              <w:rPr>
                <w:rFonts w:hint="eastAsia"/>
                <w:lang w:val="en-US" w:eastAsia="zh-CN"/>
              </w:rPr>
            </w:pPr>
          </w:p>
        </w:tc>
        <w:tc>
          <w:tcPr>
            <w:tcW w:w="345" w:type="pct"/>
            <w:tcBorders>
              <w:tl2br w:val="nil"/>
              <w:tr2bl w:val="nil"/>
            </w:tcBorders>
            <w:shd w:val="clear" w:color="auto" w:fill="auto"/>
            <w:noWrap/>
            <w:vAlign w:val="center"/>
          </w:tcPr>
          <w:p w14:paraId="13E618FF">
            <w:pPr>
              <w:pStyle w:val="1111"/>
              <w:bidi w:val="0"/>
              <w:rPr>
                <w:rFonts w:hint="eastAsia"/>
              </w:rPr>
            </w:pPr>
            <w:r>
              <w:rPr>
                <w:rFonts w:hint="eastAsia"/>
                <w:lang w:val="en-US" w:eastAsia="zh-CN"/>
              </w:rPr>
              <w:t>61</w:t>
            </w:r>
          </w:p>
        </w:tc>
        <w:tc>
          <w:tcPr>
            <w:tcW w:w="1748" w:type="pct"/>
            <w:tcBorders>
              <w:tl2br w:val="nil"/>
              <w:tr2bl w:val="nil"/>
            </w:tcBorders>
            <w:shd w:val="clear" w:color="auto" w:fill="auto"/>
            <w:noWrap/>
            <w:vAlign w:val="center"/>
          </w:tcPr>
          <w:p w14:paraId="66DA7E83">
            <w:pPr>
              <w:pStyle w:val="1111"/>
              <w:bidi w:val="0"/>
              <w:rPr>
                <w:rFonts w:hint="eastAsia"/>
              </w:rPr>
            </w:pPr>
            <w:r>
              <w:rPr>
                <w:rFonts w:hint="eastAsia"/>
                <w:lang w:val="en-US" w:eastAsia="zh-CN"/>
              </w:rPr>
              <w:t>海滨职业技术学校</w:t>
            </w:r>
          </w:p>
        </w:tc>
        <w:tc>
          <w:tcPr>
            <w:tcW w:w="474" w:type="pct"/>
            <w:tcBorders>
              <w:tl2br w:val="nil"/>
              <w:tr2bl w:val="nil"/>
            </w:tcBorders>
            <w:shd w:val="clear" w:color="auto" w:fill="auto"/>
            <w:noWrap/>
            <w:vAlign w:val="center"/>
          </w:tcPr>
          <w:p w14:paraId="45CD69B0">
            <w:pPr>
              <w:pStyle w:val="1111"/>
              <w:bidi w:val="0"/>
              <w:rPr>
                <w:rFonts w:hint="eastAsia"/>
              </w:rPr>
            </w:pPr>
            <w:r>
              <w:rPr>
                <w:rFonts w:hint="eastAsia"/>
                <w:lang w:val="en-US" w:eastAsia="zh-CN"/>
              </w:rPr>
              <w:t>SE</w:t>
            </w:r>
          </w:p>
        </w:tc>
        <w:tc>
          <w:tcPr>
            <w:tcW w:w="872" w:type="pct"/>
            <w:tcBorders>
              <w:tl2br w:val="nil"/>
              <w:tr2bl w:val="nil"/>
            </w:tcBorders>
            <w:shd w:val="clear" w:color="auto" w:fill="auto"/>
            <w:noWrap/>
            <w:vAlign w:val="center"/>
          </w:tcPr>
          <w:p w14:paraId="58EAD616">
            <w:pPr>
              <w:pStyle w:val="1111"/>
              <w:bidi w:val="0"/>
              <w:rPr>
                <w:rFonts w:hint="eastAsia"/>
              </w:rPr>
            </w:pPr>
            <w:r>
              <w:rPr>
                <w:rFonts w:hint="eastAsia"/>
                <w:lang w:val="en-US" w:eastAsia="zh-CN"/>
              </w:rPr>
              <w:t>3377</w:t>
            </w:r>
          </w:p>
        </w:tc>
        <w:tc>
          <w:tcPr>
            <w:tcW w:w="612" w:type="pct"/>
            <w:tcBorders>
              <w:tl2br w:val="nil"/>
              <w:tr2bl w:val="nil"/>
            </w:tcBorders>
            <w:shd w:val="clear" w:color="auto" w:fill="auto"/>
            <w:noWrap/>
            <w:vAlign w:val="center"/>
          </w:tcPr>
          <w:p w14:paraId="52DFF0F0">
            <w:pPr>
              <w:pStyle w:val="1111"/>
              <w:bidi w:val="0"/>
              <w:rPr>
                <w:rFonts w:hint="eastAsia"/>
              </w:rPr>
            </w:pPr>
            <w:r>
              <w:rPr>
                <w:rFonts w:hint="eastAsia"/>
                <w:lang w:val="en-US" w:eastAsia="zh-CN"/>
              </w:rPr>
              <w:t>教育</w:t>
            </w:r>
          </w:p>
        </w:tc>
        <w:tc>
          <w:tcPr>
            <w:tcW w:w="599" w:type="pct"/>
            <w:tcBorders>
              <w:tl2br w:val="nil"/>
              <w:tr2bl w:val="nil"/>
            </w:tcBorders>
            <w:shd w:val="clear" w:color="auto" w:fill="auto"/>
            <w:vAlign w:val="center"/>
          </w:tcPr>
          <w:p w14:paraId="3F6772AF">
            <w:pPr>
              <w:pStyle w:val="1111"/>
              <w:bidi w:val="0"/>
              <w:rPr>
                <w:rFonts w:hint="default"/>
              </w:rPr>
            </w:pPr>
            <w:r>
              <w:rPr>
                <w:rFonts w:hint="default"/>
                <w:lang w:val="en-US" w:eastAsia="zh-CN"/>
              </w:rPr>
              <w:t>1000</w:t>
            </w:r>
          </w:p>
        </w:tc>
      </w:tr>
      <w:tr w14:paraId="70F58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21DCA1FD">
            <w:pPr>
              <w:pStyle w:val="1111"/>
              <w:bidi w:val="0"/>
              <w:rPr>
                <w:rFonts w:hint="eastAsia"/>
                <w:lang w:val="en-US" w:eastAsia="zh-CN"/>
              </w:rPr>
            </w:pPr>
          </w:p>
        </w:tc>
        <w:tc>
          <w:tcPr>
            <w:tcW w:w="345" w:type="pct"/>
            <w:tcBorders>
              <w:tl2br w:val="nil"/>
              <w:tr2bl w:val="nil"/>
            </w:tcBorders>
            <w:shd w:val="clear" w:color="auto" w:fill="auto"/>
            <w:noWrap/>
            <w:vAlign w:val="center"/>
          </w:tcPr>
          <w:p w14:paraId="22487BA0">
            <w:pPr>
              <w:pStyle w:val="1111"/>
              <w:bidi w:val="0"/>
              <w:rPr>
                <w:rFonts w:hint="eastAsia"/>
              </w:rPr>
            </w:pPr>
            <w:r>
              <w:rPr>
                <w:rFonts w:hint="eastAsia"/>
                <w:lang w:val="en-US" w:eastAsia="zh-CN"/>
              </w:rPr>
              <w:t>62</w:t>
            </w:r>
          </w:p>
        </w:tc>
        <w:tc>
          <w:tcPr>
            <w:tcW w:w="1748" w:type="pct"/>
            <w:tcBorders>
              <w:tl2br w:val="nil"/>
              <w:tr2bl w:val="nil"/>
            </w:tcBorders>
            <w:shd w:val="clear" w:color="auto" w:fill="auto"/>
            <w:noWrap/>
            <w:vAlign w:val="center"/>
          </w:tcPr>
          <w:p w14:paraId="4E5E17C4">
            <w:pPr>
              <w:pStyle w:val="1111"/>
              <w:bidi w:val="0"/>
              <w:rPr>
                <w:rFonts w:hint="eastAsia"/>
              </w:rPr>
            </w:pPr>
            <w:r>
              <w:rPr>
                <w:rFonts w:hint="eastAsia"/>
                <w:lang w:val="en-US" w:eastAsia="zh-CN"/>
              </w:rPr>
              <w:t>新海连大厦</w:t>
            </w:r>
          </w:p>
        </w:tc>
        <w:tc>
          <w:tcPr>
            <w:tcW w:w="474" w:type="pct"/>
            <w:tcBorders>
              <w:tl2br w:val="nil"/>
              <w:tr2bl w:val="nil"/>
            </w:tcBorders>
            <w:shd w:val="clear" w:color="auto" w:fill="auto"/>
            <w:noWrap/>
            <w:vAlign w:val="center"/>
          </w:tcPr>
          <w:p w14:paraId="6BAD53B2">
            <w:pPr>
              <w:pStyle w:val="1111"/>
              <w:bidi w:val="0"/>
              <w:rPr>
                <w:rFonts w:hint="eastAsia"/>
              </w:rPr>
            </w:pPr>
            <w:r>
              <w:rPr>
                <w:rFonts w:hint="eastAsia"/>
                <w:lang w:val="en-US" w:eastAsia="zh-CN"/>
              </w:rPr>
              <w:t>NE</w:t>
            </w:r>
          </w:p>
        </w:tc>
        <w:tc>
          <w:tcPr>
            <w:tcW w:w="872" w:type="pct"/>
            <w:tcBorders>
              <w:tl2br w:val="nil"/>
              <w:tr2bl w:val="nil"/>
            </w:tcBorders>
            <w:shd w:val="clear" w:color="auto" w:fill="auto"/>
            <w:noWrap/>
            <w:vAlign w:val="center"/>
          </w:tcPr>
          <w:p w14:paraId="1ABB4B96">
            <w:pPr>
              <w:pStyle w:val="1111"/>
              <w:bidi w:val="0"/>
              <w:rPr>
                <w:rFonts w:hint="eastAsia"/>
              </w:rPr>
            </w:pPr>
            <w:r>
              <w:rPr>
                <w:rFonts w:hint="eastAsia"/>
                <w:lang w:val="en-US" w:eastAsia="zh-CN"/>
              </w:rPr>
              <w:t>3490</w:t>
            </w:r>
          </w:p>
        </w:tc>
        <w:tc>
          <w:tcPr>
            <w:tcW w:w="612" w:type="pct"/>
            <w:tcBorders>
              <w:tl2br w:val="nil"/>
              <w:tr2bl w:val="nil"/>
            </w:tcBorders>
            <w:shd w:val="clear" w:color="auto" w:fill="auto"/>
            <w:noWrap/>
            <w:vAlign w:val="center"/>
          </w:tcPr>
          <w:p w14:paraId="3D69F3A3">
            <w:pPr>
              <w:pStyle w:val="1111"/>
              <w:bidi w:val="0"/>
              <w:rPr>
                <w:rFonts w:hint="eastAsia"/>
              </w:rPr>
            </w:pPr>
            <w:r>
              <w:rPr>
                <w:rFonts w:hint="eastAsia"/>
                <w:lang w:val="en-US" w:eastAsia="zh-CN"/>
              </w:rPr>
              <w:t>居民</w:t>
            </w:r>
          </w:p>
        </w:tc>
        <w:tc>
          <w:tcPr>
            <w:tcW w:w="599" w:type="pct"/>
            <w:tcBorders>
              <w:tl2br w:val="nil"/>
              <w:tr2bl w:val="nil"/>
            </w:tcBorders>
            <w:shd w:val="clear" w:color="auto" w:fill="auto"/>
            <w:vAlign w:val="center"/>
          </w:tcPr>
          <w:p w14:paraId="6C057D68">
            <w:pPr>
              <w:pStyle w:val="1111"/>
              <w:bidi w:val="0"/>
              <w:rPr>
                <w:rFonts w:hint="default"/>
              </w:rPr>
            </w:pPr>
            <w:r>
              <w:rPr>
                <w:rFonts w:hint="default"/>
                <w:lang w:val="en-US" w:eastAsia="zh-CN"/>
              </w:rPr>
              <w:t>500</w:t>
            </w:r>
          </w:p>
        </w:tc>
      </w:tr>
      <w:tr w14:paraId="27D48E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69E9B24C">
            <w:pPr>
              <w:pStyle w:val="1111"/>
              <w:bidi w:val="0"/>
              <w:rPr>
                <w:rFonts w:hint="eastAsia"/>
                <w:lang w:val="en-US" w:eastAsia="zh-CN"/>
              </w:rPr>
            </w:pPr>
          </w:p>
        </w:tc>
        <w:tc>
          <w:tcPr>
            <w:tcW w:w="345" w:type="pct"/>
            <w:tcBorders>
              <w:tl2br w:val="nil"/>
              <w:tr2bl w:val="nil"/>
            </w:tcBorders>
            <w:shd w:val="clear" w:color="auto" w:fill="auto"/>
            <w:noWrap/>
            <w:vAlign w:val="center"/>
          </w:tcPr>
          <w:p w14:paraId="4565FCB1">
            <w:pPr>
              <w:pStyle w:val="1111"/>
              <w:bidi w:val="0"/>
              <w:rPr>
                <w:rFonts w:hint="eastAsia"/>
              </w:rPr>
            </w:pPr>
            <w:r>
              <w:rPr>
                <w:rFonts w:hint="eastAsia"/>
                <w:lang w:val="en-US" w:eastAsia="zh-CN"/>
              </w:rPr>
              <w:t>63</w:t>
            </w:r>
          </w:p>
        </w:tc>
        <w:tc>
          <w:tcPr>
            <w:tcW w:w="1748" w:type="pct"/>
            <w:tcBorders>
              <w:tl2br w:val="nil"/>
              <w:tr2bl w:val="nil"/>
            </w:tcBorders>
            <w:shd w:val="clear" w:color="auto" w:fill="auto"/>
            <w:noWrap/>
            <w:vAlign w:val="center"/>
          </w:tcPr>
          <w:p w14:paraId="0CF82C1B">
            <w:pPr>
              <w:pStyle w:val="1111"/>
              <w:bidi w:val="0"/>
              <w:rPr>
                <w:rFonts w:hint="eastAsia"/>
              </w:rPr>
            </w:pPr>
            <w:r>
              <w:rPr>
                <w:rFonts w:hint="eastAsia"/>
                <w:lang w:val="en-US" w:eastAsia="zh-CN"/>
              </w:rPr>
              <w:t>中宏船员培训基地</w:t>
            </w:r>
          </w:p>
        </w:tc>
        <w:tc>
          <w:tcPr>
            <w:tcW w:w="474" w:type="pct"/>
            <w:tcBorders>
              <w:tl2br w:val="nil"/>
              <w:tr2bl w:val="nil"/>
            </w:tcBorders>
            <w:shd w:val="clear" w:color="auto" w:fill="auto"/>
            <w:noWrap/>
            <w:vAlign w:val="center"/>
          </w:tcPr>
          <w:p w14:paraId="5CED6183">
            <w:pPr>
              <w:pStyle w:val="1111"/>
              <w:bidi w:val="0"/>
              <w:rPr>
                <w:rFonts w:hint="eastAsia"/>
              </w:rPr>
            </w:pPr>
            <w:r>
              <w:rPr>
                <w:rFonts w:hint="eastAsia"/>
                <w:lang w:val="en-US" w:eastAsia="zh-CN"/>
              </w:rPr>
              <w:t>SE</w:t>
            </w:r>
          </w:p>
        </w:tc>
        <w:tc>
          <w:tcPr>
            <w:tcW w:w="872" w:type="pct"/>
            <w:tcBorders>
              <w:tl2br w:val="nil"/>
              <w:tr2bl w:val="nil"/>
            </w:tcBorders>
            <w:shd w:val="clear" w:color="auto" w:fill="auto"/>
            <w:noWrap/>
            <w:vAlign w:val="center"/>
          </w:tcPr>
          <w:p w14:paraId="540163FD">
            <w:pPr>
              <w:pStyle w:val="1111"/>
              <w:bidi w:val="0"/>
              <w:rPr>
                <w:rFonts w:hint="eastAsia"/>
              </w:rPr>
            </w:pPr>
            <w:r>
              <w:rPr>
                <w:rFonts w:hint="eastAsia"/>
                <w:lang w:val="en-US" w:eastAsia="zh-CN"/>
              </w:rPr>
              <w:t>3504</w:t>
            </w:r>
          </w:p>
        </w:tc>
        <w:tc>
          <w:tcPr>
            <w:tcW w:w="612" w:type="pct"/>
            <w:tcBorders>
              <w:tl2br w:val="nil"/>
              <w:tr2bl w:val="nil"/>
            </w:tcBorders>
            <w:shd w:val="clear" w:color="auto" w:fill="auto"/>
            <w:noWrap/>
            <w:vAlign w:val="center"/>
          </w:tcPr>
          <w:p w14:paraId="03A5D97E">
            <w:pPr>
              <w:pStyle w:val="1111"/>
              <w:bidi w:val="0"/>
              <w:rPr>
                <w:rFonts w:hint="eastAsia"/>
              </w:rPr>
            </w:pPr>
            <w:r>
              <w:rPr>
                <w:rFonts w:hint="eastAsia"/>
                <w:lang w:val="en-US" w:eastAsia="zh-CN"/>
              </w:rPr>
              <w:t>教育</w:t>
            </w:r>
          </w:p>
        </w:tc>
        <w:tc>
          <w:tcPr>
            <w:tcW w:w="599" w:type="pct"/>
            <w:tcBorders>
              <w:tl2br w:val="nil"/>
              <w:tr2bl w:val="nil"/>
            </w:tcBorders>
            <w:shd w:val="clear" w:color="auto" w:fill="auto"/>
            <w:vAlign w:val="center"/>
          </w:tcPr>
          <w:p w14:paraId="53001D5E">
            <w:pPr>
              <w:pStyle w:val="1111"/>
              <w:bidi w:val="0"/>
              <w:rPr>
                <w:rFonts w:hint="default"/>
              </w:rPr>
            </w:pPr>
            <w:r>
              <w:rPr>
                <w:rFonts w:hint="default"/>
                <w:lang w:val="en-US" w:eastAsia="zh-CN"/>
              </w:rPr>
              <w:t>300</w:t>
            </w:r>
          </w:p>
        </w:tc>
      </w:tr>
      <w:tr w14:paraId="64330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1350CD04">
            <w:pPr>
              <w:pStyle w:val="1111"/>
              <w:bidi w:val="0"/>
              <w:rPr>
                <w:rFonts w:hint="eastAsia"/>
                <w:lang w:val="en-US" w:eastAsia="zh-CN"/>
              </w:rPr>
            </w:pPr>
          </w:p>
        </w:tc>
        <w:tc>
          <w:tcPr>
            <w:tcW w:w="345" w:type="pct"/>
            <w:tcBorders>
              <w:tl2br w:val="nil"/>
              <w:tr2bl w:val="nil"/>
            </w:tcBorders>
            <w:shd w:val="clear" w:color="auto" w:fill="auto"/>
            <w:noWrap/>
            <w:vAlign w:val="center"/>
          </w:tcPr>
          <w:p w14:paraId="0401E25C">
            <w:pPr>
              <w:pStyle w:val="1111"/>
              <w:bidi w:val="0"/>
              <w:rPr>
                <w:rFonts w:hint="eastAsia"/>
              </w:rPr>
            </w:pPr>
            <w:r>
              <w:rPr>
                <w:rFonts w:hint="eastAsia"/>
                <w:lang w:val="en-US" w:eastAsia="zh-CN"/>
              </w:rPr>
              <w:t>64</w:t>
            </w:r>
          </w:p>
        </w:tc>
        <w:tc>
          <w:tcPr>
            <w:tcW w:w="1748" w:type="pct"/>
            <w:tcBorders>
              <w:tl2br w:val="nil"/>
              <w:tr2bl w:val="nil"/>
            </w:tcBorders>
            <w:shd w:val="clear" w:color="auto" w:fill="auto"/>
            <w:noWrap/>
            <w:vAlign w:val="center"/>
          </w:tcPr>
          <w:p w14:paraId="74ED8051">
            <w:pPr>
              <w:pStyle w:val="1111"/>
              <w:bidi w:val="0"/>
              <w:rPr>
                <w:rFonts w:hint="eastAsia"/>
              </w:rPr>
            </w:pPr>
            <w:r>
              <w:rPr>
                <w:rFonts w:hint="eastAsia"/>
                <w:lang w:val="en-US" w:eastAsia="zh-CN"/>
              </w:rPr>
              <w:t>连云港职业技术学院</w:t>
            </w:r>
          </w:p>
        </w:tc>
        <w:tc>
          <w:tcPr>
            <w:tcW w:w="474" w:type="pct"/>
            <w:tcBorders>
              <w:tl2br w:val="nil"/>
              <w:tr2bl w:val="nil"/>
            </w:tcBorders>
            <w:shd w:val="clear" w:color="auto" w:fill="auto"/>
            <w:noWrap/>
            <w:vAlign w:val="center"/>
          </w:tcPr>
          <w:p w14:paraId="2E2147C7">
            <w:pPr>
              <w:pStyle w:val="1111"/>
              <w:bidi w:val="0"/>
              <w:rPr>
                <w:rFonts w:hint="eastAsia"/>
              </w:rPr>
            </w:pPr>
            <w:r>
              <w:rPr>
                <w:rFonts w:hint="eastAsia"/>
                <w:lang w:val="en-US" w:eastAsia="zh-CN"/>
              </w:rPr>
              <w:t>SE</w:t>
            </w:r>
          </w:p>
        </w:tc>
        <w:tc>
          <w:tcPr>
            <w:tcW w:w="872" w:type="pct"/>
            <w:tcBorders>
              <w:tl2br w:val="nil"/>
              <w:tr2bl w:val="nil"/>
            </w:tcBorders>
            <w:shd w:val="clear" w:color="auto" w:fill="auto"/>
            <w:noWrap/>
            <w:vAlign w:val="center"/>
          </w:tcPr>
          <w:p w14:paraId="29873693">
            <w:pPr>
              <w:pStyle w:val="1111"/>
              <w:bidi w:val="0"/>
              <w:rPr>
                <w:rFonts w:hint="eastAsia"/>
              </w:rPr>
            </w:pPr>
            <w:r>
              <w:rPr>
                <w:rFonts w:hint="eastAsia"/>
                <w:lang w:val="en-US" w:eastAsia="zh-CN"/>
              </w:rPr>
              <w:t>3556</w:t>
            </w:r>
          </w:p>
        </w:tc>
        <w:tc>
          <w:tcPr>
            <w:tcW w:w="612" w:type="pct"/>
            <w:tcBorders>
              <w:tl2br w:val="nil"/>
              <w:tr2bl w:val="nil"/>
            </w:tcBorders>
            <w:shd w:val="clear" w:color="auto" w:fill="auto"/>
            <w:noWrap/>
            <w:vAlign w:val="center"/>
          </w:tcPr>
          <w:p w14:paraId="73F45A8E">
            <w:pPr>
              <w:pStyle w:val="1111"/>
              <w:bidi w:val="0"/>
              <w:rPr>
                <w:rFonts w:hint="eastAsia"/>
              </w:rPr>
            </w:pPr>
            <w:r>
              <w:rPr>
                <w:rFonts w:hint="eastAsia"/>
                <w:lang w:val="en-US" w:eastAsia="zh-CN"/>
              </w:rPr>
              <w:t>教育</w:t>
            </w:r>
          </w:p>
        </w:tc>
        <w:tc>
          <w:tcPr>
            <w:tcW w:w="599" w:type="pct"/>
            <w:tcBorders>
              <w:tl2br w:val="nil"/>
              <w:tr2bl w:val="nil"/>
            </w:tcBorders>
            <w:shd w:val="clear" w:color="auto" w:fill="auto"/>
            <w:vAlign w:val="center"/>
          </w:tcPr>
          <w:p w14:paraId="58EE68E2">
            <w:pPr>
              <w:pStyle w:val="1111"/>
              <w:bidi w:val="0"/>
              <w:rPr>
                <w:rFonts w:hint="default"/>
              </w:rPr>
            </w:pPr>
            <w:r>
              <w:rPr>
                <w:rFonts w:hint="default"/>
                <w:lang w:val="en-US" w:eastAsia="zh-CN"/>
              </w:rPr>
              <w:t>5000</w:t>
            </w:r>
          </w:p>
        </w:tc>
      </w:tr>
      <w:tr w14:paraId="7E934F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70712A68">
            <w:pPr>
              <w:pStyle w:val="1111"/>
              <w:bidi w:val="0"/>
              <w:rPr>
                <w:rFonts w:hint="eastAsia"/>
                <w:lang w:val="en-US" w:eastAsia="zh-CN"/>
              </w:rPr>
            </w:pPr>
          </w:p>
        </w:tc>
        <w:tc>
          <w:tcPr>
            <w:tcW w:w="345" w:type="pct"/>
            <w:tcBorders>
              <w:tl2br w:val="nil"/>
              <w:tr2bl w:val="nil"/>
            </w:tcBorders>
            <w:shd w:val="clear" w:color="auto" w:fill="auto"/>
            <w:noWrap/>
            <w:vAlign w:val="center"/>
          </w:tcPr>
          <w:p w14:paraId="7DDDA1AF">
            <w:pPr>
              <w:pStyle w:val="1111"/>
              <w:bidi w:val="0"/>
              <w:rPr>
                <w:rFonts w:hint="eastAsia"/>
              </w:rPr>
            </w:pPr>
            <w:r>
              <w:rPr>
                <w:rFonts w:hint="eastAsia"/>
                <w:lang w:val="en-US" w:eastAsia="zh-CN"/>
              </w:rPr>
              <w:t>65</w:t>
            </w:r>
          </w:p>
        </w:tc>
        <w:tc>
          <w:tcPr>
            <w:tcW w:w="1748" w:type="pct"/>
            <w:tcBorders>
              <w:tl2br w:val="nil"/>
              <w:tr2bl w:val="nil"/>
            </w:tcBorders>
            <w:shd w:val="clear" w:color="auto" w:fill="auto"/>
            <w:noWrap/>
            <w:vAlign w:val="center"/>
          </w:tcPr>
          <w:p w14:paraId="130DD81B">
            <w:pPr>
              <w:pStyle w:val="1111"/>
              <w:bidi w:val="0"/>
              <w:rPr>
                <w:rFonts w:hint="eastAsia"/>
              </w:rPr>
            </w:pPr>
            <w:r>
              <w:rPr>
                <w:rFonts w:hint="eastAsia"/>
                <w:lang w:val="en-US" w:eastAsia="zh-CN"/>
              </w:rPr>
              <w:t>普罗旺斯小区</w:t>
            </w:r>
          </w:p>
        </w:tc>
        <w:tc>
          <w:tcPr>
            <w:tcW w:w="474" w:type="pct"/>
            <w:tcBorders>
              <w:tl2br w:val="nil"/>
              <w:tr2bl w:val="nil"/>
            </w:tcBorders>
            <w:shd w:val="clear" w:color="auto" w:fill="auto"/>
            <w:noWrap/>
            <w:vAlign w:val="center"/>
          </w:tcPr>
          <w:p w14:paraId="43E2F755">
            <w:pPr>
              <w:pStyle w:val="1111"/>
              <w:bidi w:val="0"/>
              <w:rPr>
                <w:rFonts w:hint="eastAsia"/>
              </w:rPr>
            </w:pPr>
            <w:r>
              <w:rPr>
                <w:rFonts w:hint="eastAsia"/>
                <w:lang w:val="en-US" w:eastAsia="zh-CN"/>
              </w:rPr>
              <w:t>SE</w:t>
            </w:r>
          </w:p>
        </w:tc>
        <w:tc>
          <w:tcPr>
            <w:tcW w:w="872" w:type="pct"/>
            <w:tcBorders>
              <w:tl2br w:val="nil"/>
              <w:tr2bl w:val="nil"/>
            </w:tcBorders>
            <w:shd w:val="clear" w:color="auto" w:fill="auto"/>
            <w:noWrap/>
            <w:vAlign w:val="center"/>
          </w:tcPr>
          <w:p w14:paraId="662B4B5C">
            <w:pPr>
              <w:pStyle w:val="1111"/>
              <w:bidi w:val="0"/>
              <w:rPr>
                <w:rFonts w:hint="eastAsia"/>
              </w:rPr>
            </w:pPr>
            <w:r>
              <w:rPr>
                <w:rFonts w:hint="eastAsia"/>
                <w:lang w:val="en-US" w:eastAsia="zh-CN"/>
              </w:rPr>
              <w:t>3682</w:t>
            </w:r>
          </w:p>
        </w:tc>
        <w:tc>
          <w:tcPr>
            <w:tcW w:w="612" w:type="pct"/>
            <w:tcBorders>
              <w:tl2br w:val="nil"/>
              <w:tr2bl w:val="nil"/>
            </w:tcBorders>
            <w:shd w:val="clear" w:color="auto" w:fill="auto"/>
            <w:noWrap/>
            <w:vAlign w:val="center"/>
          </w:tcPr>
          <w:p w14:paraId="12F6B611">
            <w:pPr>
              <w:pStyle w:val="1111"/>
              <w:bidi w:val="0"/>
              <w:rPr>
                <w:rFonts w:hint="eastAsia"/>
              </w:rPr>
            </w:pPr>
            <w:r>
              <w:rPr>
                <w:rFonts w:hint="eastAsia"/>
                <w:lang w:val="en-US" w:eastAsia="zh-CN"/>
              </w:rPr>
              <w:t>居民</w:t>
            </w:r>
          </w:p>
        </w:tc>
        <w:tc>
          <w:tcPr>
            <w:tcW w:w="599" w:type="pct"/>
            <w:tcBorders>
              <w:tl2br w:val="nil"/>
              <w:tr2bl w:val="nil"/>
            </w:tcBorders>
            <w:shd w:val="clear" w:color="auto" w:fill="auto"/>
            <w:vAlign w:val="center"/>
          </w:tcPr>
          <w:p w14:paraId="48F928F1">
            <w:pPr>
              <w:pStyle w:val="1111"/>
              <w:bidi w:val="0"/>
              <w:rPr>
                <w:rFonts w:hint="default"/>
              </w:rPr>
            </w:pPr>
            <w:r>
              <w:rPr>
                <w:rFonts w:hint="default"/>
                <w:lang w:val="en-US" w:eastAsia="zh-CN"/>
              </w:rPr>
              <w:t>1250</w:t>
            </w:r>
          </w:p>
        </w:tc>
      </w:tr>
      <w:tr w14:paraId="6745B5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343FF46D">
            <w:pPr>
              <w:pStyle w:val="1111"/>
              <w:bidi w:val="0"/>
              <w:rPr>
                <w:rFonts w:hint="eastAsia"/>
                <w:lang w:val="en-US" w:eastAsia="zh-CN"/>
              </w:rPr>
            </w:pPr>
          </w:p>
        </w:tc>
        <w:tc>
          <w:tcPr>
            <w:tcW w:w="345" w:type="pct"/>
            <w:tcBorders>
              <w:tl2br w:val="nil"/>
              <w:tr2bl w:val="nil"/>
            </w:tcBorders>
            <w:shd w:val="clear" w:color="auto" w:fill="auto"/>
            <w:noWrap/>
            <w:vAlign w:val="center"/>
          </w:tcPr>
          <w:p w14:paraId="18CAE7E6">
            <w:pPr>
              <w:pStyle w:val="1111"/>
              <w:bidi w:val="0"/>
              <w:rPr>
                <w:rFonts w:hint="eastAsia"/>
              </w:rPr>
            </w:pPr>
            <w:r>
              <w:rPr>
                <w:rFonts w:hint="eastAsia"/>
                <w:lang w:val="en-US" w:eastAsia="zh-CN"/>
              </w:rPr>
              <w:t>66</w:t>
            </w:r>
          </w:p>
        </w:tc>
        <w:tc>
          <w:tcPr>
            <w:tcW w:w="1748" w:type="pct"/>
            <w:tcBorders>
              <w:tl2br w:val="nil"/>
              <w:tr2bl w:val="nil"/>
            </w:tcBorders>
            <w:shd w:val="clear" w:color="auto" w:fill="auto"/>
            <w:noWrap/>
            <w:vAlign w:val="center"/>
          </w:tcPr>
          <w:p w14:paraId="1D565E23">
            <w:pPr>
              <w:pStyle w:val="1111"/>
              <w:bidi w:val="0"/>
              <w:rPr>
                <w:rFonts w:hint="eastAsia"/>
              </w:rPr>
            </w:pPr>
            <w:r>
              <w:rPr>
                <w:rFonts w:hint="eastAsia"/>
                <w:lang w:val="en-US" w:eastAsia="zh-CN"/>
              </w:rPr>
              <w:t>创智大厦</w:t>
            </w:r>
          </w:p>
        </w:tc>
        <w:tc>
          <w:tcPr>
            <w:tcW w:w="474" w:type="pct"/>
            <w:tcBorders>
              <w:tl2br w:val="nil"/>
              <w:tr2bl w:val="nil"/>
            </w:tcBorders>
            <w:shd w:val="clear" w:color="auto" w:fill="auto"/>
            <w:noWrap/>
            <w:vAlign w:val="center"/>
          </w:tcPr>
          <w:p w14:paraId="11DB0986">
            <w:pPr>
              <w:pStyle w:val="1111"/>
              <w:bidi w:val="0"/>
              <w:rPr>
                <w:rFonts w:hint="eastAsia"/>
              </w:rPr>
            </w:pPr>
            <w:r>
              <w:rPr>
                <w:rFonts w:hint="eastAsia"/>
                <w:lang w:val="en-US" w:eastAsia="zh-CN"/>
              </w:rPr>
              <w:t>NE</w:t>
            </w:r>
          </w:p>
        </w:tc>
        <w:tc>
          <w:tcPr>
            <w:tcW w:w="872" w:type="pct"/>
            <w:tcBorders>
              <w:tl2br w:val="nil"/>
              <w:tr2bl w:val="nil"/>
            </w:tcBorders>
            <w:shd w:val="clear" w:color="auto" w:fill="auto"/>
            <w:noWrap/>
            <w:vAlign w:val="center"/>
          </w:tcPr>
          <w:p w14:paraId="3E7C5349">
            <w:pPr>
              <w:pStyle w:val="1111"/>
              <w:bidi w:val="0"/>
              <w:rPr>
                <w:rFonts w:hint="eastAsia"/>
              </w:rPr>
            </w:pPr>
            <w:r>
              <w:rPr>
                <w:rFonts w:hint="eastAsia"/>
                <w:lang w:val="en-US" w:eastAsia="zh-CN"/>
              </w:rPr>
              <w:t>3713</w:t>
            </w:r>
          </w:p>
        </w:tc>
        <w:tc>
          <w:tcPr>
            <w:tcW w:w="612" w:type="pct"/>
            <w:tcBorders>
              <w:tl2br w:val="nil"/>
              <w:tr2bl w:val="nil"/>
            </w:tcBorders>
            <w:shd w:val="clear" w:color="auto" w:fill="auto"/>
            <w:noWrap/>
            <w:vAlign w:val="center"/>
          </w:tcPr>
          <w:p w14:paraId="179BE2C3">
            <w:pPr>
              <w:pStyle w:val="1111"/>
              <w:bidi w:val="0"/>
              <w:rPr>
                <w:rFonts w:hint="eastAsia"/>
              </w:rPr>
            </w:pPr>
            <w:r>
              <w:rPr>
                <w:rFonts w:hint="eastAsia"/>
                <w:lang w:val="en-US" w:eastAsia="zh-CN"/>
              </w:rPr>
              <w:t>居民</w:t>
            </w:r>
          </w:p>
        </w:tc>
        <w:tc>
          <w:tcPr>
            <w:tcW w:w="599" w:type="pct"/>
            <w:tcBorders>
              <w:tl2br w:val="nil"/>
              <w:tr2bl w:val="nil"/>
            </w:tcBorders>
            <w:shd w:val="clear" w:color="auto" w:fill="auto"/>
            <w:vAlign w:val="center"/>
          </w:tcPr>
          <w:p w14:paraId="107AE232">
            <w:pPr>
              <w:pStyle w:val="1111"/>
              <w:bidi w:val="0"/>
              <w:rPr>
                <w:rFonts w:hint="default"/>
              </w:rPr>
            </w:pPr>
            <w:r>
              <w:rPr>
                <w:rFonts w:hint="default"/>
                <w:lang w:val="en-US" w:eastAsia="zh-CN"/>
              </w:rPr>
              <w:t>300</w:t>
            </w:r>
          </w:p>
        </w:tc>
      </w:tr>
      <w:tr w14:paraId="11F08C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0EED59A4">
            <w:pPr>
              <w:pStyle w:val="1111"/>
              <w:bidi w:val="0"/>
              <w:rPr>
                <w:rFonts w:hint="eastAsia"/>
                <w:lang w:val="en-US" w:eastAsia="zh-CN"/>
              </w:rPr>
            </w:pPr>
          </w:p>
        </w:tc>
        <w:tc>
          <w:tcPr>
            <w:tcW w:w="345" w:type="pct"/>
            <w:tcBorders>
              <w:tl2br w:val="nil"/>
              <w:tr2bl w:val="nil"/>
            </w:tcBorders>
            <w:shd w:val="clear" w:color="auto" w:fill="auto"/>
            <w:noWrap/>
            <w:vAlign w:val="center"/>
          </w:tcPr>
          <w:p w14:paraId="066F2932">
            <w:pPr>
              <w:pStyle w:val="1111"/>
              <w:bidi w:val="0"/>
              <w:rPr>
                <w:rFonts w:hint="eastAsia"/>
              </w:rPr>
            </w:pPr>
            <w:r>
              <w:rPr>
                <w:rFonts w:hint="eastAsia"/>
                <w:lang w:val="en-US" w:eastAsia="zh-CN"/>
              </w:rPr>
              <w:t>67</w:t>
            </w:r>
          </w:p>
        </w:tc>
        <w:tc>
          <w:tcPr>
            <w:tcW w:w="1748" w:type="pct"/>
            <w:tcBorders>
              <w:tl2br w:val="nil"/>
              <w:tr2bl w:val="nil"/>
            </w:tcBorders>
            <w:shd w:val="clear" w:color="auto" w:fill="auto"/>
            <w:noWrap/>
            <w:vAlign w:val="center"/>
          </w:tcPr>
          <w:p w14:paraId="2A1E9C53">
            <w:pPr>
              <w:pStyle w:val="1111"/>
              <w:bidi w:val="0"/>
              <w:rPr>
                <w:rFonts w:hint="eastAsia"/>
              </w:rPr>
            </w:pPr>
            <w:r>
              <w:rPr>
                <w:rFonts w:hint="eastAsia"/>
                <w:lang w:val="en-US" w:eastAsia="zh-CN"/>
              </w:rPr>
              <w:t>晨光苑小区</w:t>
            </w:r>
          </w:p>
        </w:tc>
        <w:tc>
          <w:tcPr>
            <w:tcW w:w="474" w:type="pct"/>
            <w:tcBorders>
              <w:tl2br w:val="nil"/>
              <w:tr2bl w:val="nil"/>
            </w:tcBorders>
            <w:shd w:val="clear" w:color="auto" w:fill="auto"/>
            <w:noWrap/>
            <w:vAlign w:val="center"/>
          </w:tcPr>
          <w:p w14:paraId="1526CA4C">
            <w:pPr>
              <w:pStyle w:val="1111"/>
              <w:bidi w:val="0"/>
              <w:rPr>
                <w:rFonts w:hint="eastAsia"/>
              </w:rPr>
            </w:pPr>
            <w:r>
              <w:rPr>
                <w:rFonts w:hint="eastAsia"/>
                <w:lang w:val="en-US" w:eastAsia="zh-CN"/>
              </w:rPr>
              <w:t>SE</w:t>
            </w:r>
          </w:p>
        </w:tc>
        <w:tc>
          <w:tcPr>
            <w:tcW w:w="872" w:type="pct"/>
            <w:tcBorders>
              <w:tl2br w:val="nil"/>
              <w:tr2bl w:val="nil"/>
            </w:tcBorders>
            <w:shd w:val="clear" w:color="auto" w:fill="auto"/>
            <w:noWrap/>
            <w:vAlign w:val="center"/>
          </w:tcPr>
          <w:p w14:paraId="089D1925">
            <w:pPr>
              <w:pStyle w:val="1111"/>
              <w:bidi w:val="0"/>
              <w:rPr>
                <w:rFonts w:hint="eastAsia"/>
              </w:rPr>
            </w:pPr>
            <w:r>
              <w:rPr>
                <w:rFonts w:hint="eastAsia"/>
                <w:lang w:val="en-US" w:eastAsia="zh-CN"/>
              </w:rPr>
              <w:t>3818</w:t>
            </w:r>
          </w:p>
        </w:tc>
        <w:tc>
          <w:tcPr>
            <w:tcW w:w="612" w:type="pct"/>
            <w:tcBorders>
              <w:tl2br w:val="nil"/>
              <w:tr2bl w:val="nil"/>
            </w:tcBorders>
            <w:shd w:val="clear" w:color="auto" w:fill="auto"/>
            <w:noWrap/>
            <w:vAlign w:val="center"/>
          </w:tcPr>
          <w:p w14:paraId="59AFF3CF">
            <w:pPr>
              <w:pStyle w:val="1111"/>
              <w:bidi w:val="0"/>
              <w:rPr>
                <w:rFonts w:hint="eastAsia"/>
              </w:rPr>
            </w:pPr>
            <w:r>
              <w:rPr>
                <w:rFonts w:hint="eastAsia"/>
                <w:lang w:val="en-US" w:eastAsia="zh-CN"/>
              </w:rPr>
              <w:t>居民</w:t>
            </w:r>
          </w:p>
        </w:tc>
        <w:tc>
          <w:tcPr>
            <w:tcW w:w="599" w:type="pct"/>
            <w:tcBorders>
              <w:tl2br w:val="nil"/>
              <w:tr2bl w:val="nil"/>
            </w:tcBorders>
            <w:shd w:val="clear" w:color="auto" w:fill="auto"/>
            <w:vAlign w:val="center"/>
          </w:tcPr>
          <w:p w14:paraId="1CDE073C">
            <w:pPr>
              <w:pStyle w:val="1111"/>
              <w:bidi w:val="0"/>
              <w:rPr>
                <w:rFonts w:hint="default"/>
              </w:rPr>
            </w:pPr>
            <w:r>
              <w:rPr>
                <w:rFonts w:hint="default"/>
                <w:lang w:val="en-US" w:eastAsia="zh-CN"/>
              </w:rPr>
              <w:t>2880</w:t>
            </w:r>
          </w:p>
        </w:tc>
      </w:tr>
      <w:tr w14:paraId="48E1F2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0CC6A17C">
            <w:pPr>
              <w:pStyle w:val="1111"/>
              <w:bidi w:val="0"/>
              <w:rPr>
                <w:rFonts w:hint="eastAsia"/>
                <w:lang w:val="en-US" w:eastAsia="zh-CN"/>
              </w:rPr>
            </w:pPr>
          </w:p>
        </w:tc>
        <w:tc>
          <w:tcPr>
            <w:tcW w:w="345" w:type="pct"/>
            <w:tcBorders>
              <w:tl2br w:val="nil"/>
              <w:tr2bl w:val="nil"/>
            </w:tcBorders>
            <w:shd w:val="clear" w:color="auto" w:fill="auto"/>
            <w:noWrap/>
            <w:vAlign w:val="center"/>
          </w:tcPr>
          <w:p w14:paraId="56D8E5AC">
            <w:pPr>
              <w:pStyle w:val="1111"/>
              <w:bidi w:val="0"/>
              <w:rPr>
                <w:rFonts w:hint="eastAsia"/>
              </w:rPr>
            </w:pPr>
            <w:r>
              <w:rPr>
                <w:rFonts w:hint="eastAsia"/>
                <w:lang w:val="en-US" w:eastAsia="zh-CN"/>
              </w:rPr>
              <w:t>68</w:t>
            </w:r>
          </w:p>
        </w:tc>
        <w:tc>
          <w:tcPr>
            <w:tcW w:w="1748" w:type="pct"/>
            <w:tcBorders>
              <w:tl2br w:val="nil"/>
              <w:tr2bl w:val="nil"/>
            </w:tcBorders>
            <w:shd w:val="clear" w:color="auto" w:fill="auto"/>
            <w:noWrap/>
            <w:vAlign w:val="center"/>
          </w:tcPr>
          <w:p w14:paraId="7690F382">
            <w:pPr>
              <w:pStyle w:val="1111"/>
              <w:bidi w:val="0"/>
              <w:rPr>
                <w:rFonts w:hint="eastAsia"/>
              </w:rPr>
            </w:pPr>
            <w:r>
              <w:rPr>
                <w:rFonts w:hint="eastAsia"/>
                <w:lang w:val="en-US" w:eastAsia="zh-CN"/>
              </w:rPr>
              <w:t>依云小镇</w:t>
            </w:r>
          </w:p>
        </w:tc>
        <w:tc>
          <w:tcPr>
            <w:tcW w:w="474" w:type="pct"/>
            <w:tcBorders>
              <w:tl2br w:val="nil"/>
              <w:tr2bl w:val="nil"/>
            </w:tcBorders>
            <w:shd w:val="clear" w:color="auto" w:fill="auto"/>
            <w:noWrap/>
            <w:vAlign w:val="center"/>
          </w:tcPr>
          <w:p w14:paraId="0214E941">
            <w:pPr>
              <w:pStyle w:val="1111"/>
              <w:bidi w:val="0"/>
              <w:rPr>
                <w:rFonts w:hint="eastAsia"/>
              </w:rPr>
            </w:pPr>
            <w:r>
              <w:rPr>
                <w:rFonts w:hint="eastAsia"/>
                <w:lang w:val="en-US" w:eastAsia="zh-CN"/>
              </w:rPr>
              <w:t>SE</w:t>
            </w:r>
          </w:p>
        </w:tc>
        <w:tc>
          <w:tcPr>
            <w:tcW w:w="872" w:type="pct"/>
            <w:tcBorders>
              <w:tl2br w:val="nil"/>
              <w:tr2bl w:val="nil"/>
            </w:tcBorders>
            <w:shd w:val="clear" w:color="auto" w:fill="auto"/>
            <w:noWrap/>
            <w:vAlign w:val="center"/>
          </w:tcPr>
          <w:p w14:paraId="095BC6CA">
            <w:pPr>
              <w:pStyle w:val="1111"/>
              <w:bidi w:val="0"/>
              <w:rPr>
                <w:rFonts w:hint="eastAsia"/>
              </w:rPr>
            </w:pPr>
            <w:r>
              <w:rPr>
                <w:rFonts w:hint="eastAsia"/>
                <w:lang w:val="en-US" w:eastAsia="zh-CN"/>
              </w:rPr>
              <w:t>4008</w:t>
            </w:r>
          </w:p>
        </w:tc>
        <w:tc>
          <w:tcPr>
            <w:tcW w:w="612" w:type="pct"/>
            <w:tcBorders>
              <w:tl2br w:val="nil"/>
              <w:tr2bl w:val="nil"/>
            </w:tcBorders>
            <w:shd w:val="clear" w:color="auto" w:fill="auto"/>
            <w:noWrap/>
            <w:vAlign w:val="center"/>
          </w:tcPr>
          <w:p w14:paraId="0C36EBEB">
            <w:pPr>
              <w:pStyle w:val="1111"/>
              <w:bidi w:val="0"/>
              <w:rPr>
                <w:rFonts w:hint="eastAsia"/>
              </w:rPr>
            </w:pPr>
            <w:r>
              <w:rPr>
                <w:rFonts w:hint="eastAsia"/>
                <w:lang w:val="en-US" w:eastAsia="zh-CN"/>
              </w:rPr>
              <w:t>居民</w:t>
            </w:r>
          </w:p>
        </w:tc>
        <w:tc>
          <w:tcPr>
            <w:tcW w:w="599" w:type="pct"/>
            <w:tcBorders>
              <w:tl2br w:val="nil"/>
              <w:tr2bl w:val="nil"/>
            </w:tcBorders>
            <w:shd w:val="clear" w:color="auto" w:fill="auto"/>
            <w:vAlign w:val="center"/>
          </w:tcPr>
          <w:p w14:paraId="4BDC9142">
            <w:pPr>
              <w:pStyle w:val="1111"/>
              <w:bidi w:val="0"/>
              <w:rPr>
                <w:rFonts w:hint="default"/>
              </w:rPr>
            </w:pPr>
            <w:r>
              <w:rPr>
                <w:rFonts w:hint="default"/>
                <w:lang w:val="en-US" w:eastAsia="zh-CN"/>
              </w:rPr>
              <w:t>1890</w:t>
            </w:r>
          </w:p>
        </w:tc>
      </w:tr>
      <w:tr w14:paraId="2F6CB7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23791D85">
            <w:pPr>
              <w:pStyle w:val="1111"/>
              <w:bidi w:val="0"/>
              <w:rPr>
                <w:rFonts w:hint="eastAsia"/>
                <w:lang w:val="en-US" w:eastAsia="zh-CN"/>
              </w:rPr>
            </w:pPr>
          </w:p>
        </w:tc>
        <w:tc>
          <w:tcPr>
            <w:tcW w:w="345" w:type="pct"/>
            <w:tcBorders>
              <w:tl2br w:val="nil"/>
              <w:tr2bl w:val="nil"/>
            </w:tcBorders>
            <w:shd w:val="clear" w:color="auto" w:fill="auto"/>
            <w:noWrap/>
            <w:vAlign w:val="center"/>
          </w:tcPr>
          <w:p w14:paraId="3F262549">
            <w:pPr>
              <w:pStyle w:val="1111"/>
              <w:bidi w:val="0"/>
              <w:rPr>
                <w:rFonts w:hint="eastAsia"/>
              </w:rPr>
            </w:pPr>
            <w:r>
              <w:rPr>
                <w:rFonts w:hint="eastAsia"/>
                <w:lang w:val="en-US" w:eastAsia="zh-CN"/>
              </w:rPr>
              <w:t>69</w:t>
            </w:r>
          </w:p>
        </w:tc>
        <w:tc>
          <w:tcPr>
            <w:tcW w:w="1748" w:type="pct"/>
            <w:tcBorders>
              <w:tl2br w:val="nil"/>
              <w:tr2bl w:val="nil"/>
            </w:tcBorders>
            <w:shd w:val="clear" w:color="auto" w:fill="auto"/>
            <w:noWrap/>
            <w:vAlign w:val="center"/>
          </w:tcPr>
          <w:p w14:paraId="6C12A957">
            <w:pPr>
              <w:pStyle w:val="1111"/>
              <w:bidi w:val="0"/>
              <w:rPr>
                <w:rFonts w:hint="eastAsia"/>
              </w:rPr>
            </w:pPr>
            <w:r>
              <w:rPr>
                <w:rFonts w:hint="eastAsia"/>
                <w:lang w:val="en-US" w:eastAsia="zh-CN"/>
              </w:rPr>
              <w:t>连云港华杰高级中学</w:t>
            </w:r>
          </w:p>
        </w:tc>
        <w:tc>
          <w:tcPr>
            <w:tcW w:w="474" w:type="pct"/>
            <w:tcBorders>
              <w:tl2br w:val="nil"/>
              <w:tr2bl w:val="nil"/>
            </w:tcBorders>
            <w:shd w:val="clear" w:color="auto" w:fill="auto"/>
            <w:noWrap/>
            <w:vAlign w:val="center"/>
          </w:tcPr>
          <w:p w14:paraId="0CAE1D47">
            <w:pPr>
              <w:pStyle w:val="1111"/>
              <w:bidi w:val="0"/>
              <w:rPr>
                <w:rFonts w:hint="eastAsia"/>
              </w:rPr>
            </w:pPr>
            <w:r>
              <w:rPr>
                <w:rFonts w:hint="eastAsia"/>
                <w:lang w:val="en-US" w:eastAsia="zh-CN"/>
              </w:rPr>
              <w:t>NE</w:t>
            </w:r>
          </w:p>
        </w:tc>
        <w:tc>
          <w:tcPr>
            <w:tcW w:w="872" w:type="pct"/>
            <w:tcBorders>
              <w:tl2br w:val="nil"/>
              <w:tr2bl w:val="nil"/>
            </w:tcBorders>
            <w:shd w:val="clear" w:color="auto" w:fill="auto"/>
            <w:noWrap/>
            <w:vAlign w:val="center"/>
          </w:tcPr>
          <w:p w14:paraId="5C02BD3D">
            <w:pPr>
              <w:pStyle w:val="1111"/>
              <w:bidi w:val="0"/>
              <w:rPr>
                <w:rFonts w:hint="eastAsia"/>
              </w:rPr>
            </w:pPr>
            <w:r>
              <w:rPr>
                <w:rFonts w:hint="eastAsia"/>
                <w:lang w:val="en-US" w:eastAsia="zh-CN"/>
              </w:rPr>
              <w:t>4055</w:t>
            </w:r>
          </w:p>
        </w:tc>
        <w:tc>
          <w:tcPr>
            <w:tcW w:w="612" w:type="pct"/>
            <w:tcBorders>
              <w:tl2br w:val="nil"/>
              <w:tr2bl w:val="nil"/>
            </w:tcBorders>
            <w:shd w:val="clear" w:color="auto" w:fill="auto"/>
            <w:noWrap/>
            <w:vAlign w:val="center"/>
          </w:tcPr>
          <w:p w14:paraId="779533A6">
            <w:pPr>
              <w:pStyle w:val="1111"/>
              <w:bidi w:val="0"/>
              <w:rPr>
                <w:rFonts w:hint="eastAsia"/>
              </w:rPr>
            </w:pPr>
            <w:r>
              <w:rPr>
                <w:rFonts w:hint="eastAsia"/>
                <w:lang w:val="en-US" w:eastAsia="zh-CN"/>
              </w:rPr>
              <w:t>教育</w:t>
            </w:r>
          </w:p>
        </w:tc>
        <w:tc>
          <w:tcPr>
            <w:tcW w:w="599" w:type="pct"/>
            <w:tcBorders>
              <w:tl2br w:val="nil"/>
              <w:tr2bl w:val="nil"/>
            </w:tcBorders>
            <w:shd w:val="clear" w:color="auto" w:fill="auto"/>
            <w:vAlign w:val="center"/>
          </w:tcPr>
          <w:p w14:paraId="596BACAC">
            <w:pPr>
              <w:pStyle w:val="1111"/>
              <w:bidi w:val="0"/>
              <w:rPr>
                <w:rFonts w:hint="default"/>
              </w:rPr>
            </w:pPr>
            <w:r>
              <w:rPr>
                <w:rFonts w:hint="default"/>
                <w:lang w:val="en-US" w:eastAsia="zh-CN"/>
              </w:rPr>
              <w:t>3500</w:t>
            </w:r>
          </w:p>
        </w:tc>
      </w:tr>
      <w:tr w14:paraId="1B1CE4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333838A8">
            <w:pPr>
              <w:pStyle w:val="1111"/>
              <w:bidi w:val="0"/>
              <w:rPr>
                <w:rFonts w:hint="eastAsia"/>
                <w:lang w:val="en-US" w:eastAsia="zh-CN"/>
              </w:rPr>
            </w:pPr>
          </w:p>
        </w:tc>
        <w:tc>
          <w:tcPr>
            <w:tcW w:w="345" w:type="pct"/>
            <w:tcBorders>
              <w:tl2br w:val="nil"/>
              <w:tr2bl w:val="nil"/>
            </w:tcBorders>
            <w:shd w:val="clear" w:color="auto" w:fill="auto"/>
            <w:noWrap/>
            <w:vAlign w:val="center"/>
          </w:tcPr>
          <w:p w14:paraId="2C9C3DC6">
            <w:pPr>
              <w:pStyle w:val="1111"/>
              <w:bidi w:val="0"/>
              <w:rPr>
                <w:rFonts w:hint="eastAsia"/>
              </w:rPr>
            </w:pPr>
            <w:r>
              <w:rPr>
                <w:rFonts w:hint="eastAsia"/>
                <w:lang w:val="en-US" w:eastAsia="zh-CN"/>
              </w:rPr>
              <w:t>70</w:t>
            </w:r>
          </w:p>
        </w:tc>
        <w:tc>
          <w:tcPr>
            <w:tcW w:w="1748" w:type="pct"/>
            <w:tcBorders>
              <w:tl2br w:val="nil"/>
              <w:tr2bl w:val="nil"/>
            </w:tcBorders>
            <w:shd w:val="clear" w:color="auto" w:fill="auto"/>
            <w:noWrap/>
            <w:vAlign w:val="center"/>
          </w:tcPr>
          <w:p w14:paraId="331CF17E">
            <w:pPr>
              <w:pStyle w:val="1111"/>
              <w:bidi w:val="0"/>
              <w:rPr>
                <w:rFonts w:hint="eastAsia"/>
              </w:rPr>
            </w:pPr>
            <w:r>
              <w:rPr>
                <w:rFonts w:hint="eastAsia"/>
                <w:lang w:val="en-US" w:eastAsia="zh-CN"/>
              </w:rPr>
              <w:t>连云港华杰（国际）实验学校</w:t>
            </w:r>
          </w:p>
        </w:tc>
        <w:tc>
          <w:tcPr>
            <w:tcW w:w="474" w:type="pct"/>
            <w:tcBorders>
              <w:tl2br w:val="nil"/>
              <w:tr2bl w:val="nil"/>
            </w:tcBorders>
            <w:shd w:val="clear" w:color="auto" w:fill="auto"/>
            <w:noWrap/>
            <w:vAlign w:val="center"/>
          </w:tcPr>
          <w:p w14:paraId="091C62D1">
            <w:pPr>
              <w:pStyle w:val="1111"/>
              <w:bidi w:val="0"/>
              <w:rPr>
                <w:rFonts w:hint="eastAsia"/>
              </w:rPr>
            </w:pPr>
            <w:r>
              <w:rPr>
                <w:rFonts w:hint="eastAsia"/>
                <w:lang w:val="en-US" w:eastAsia="zh-CN"/>
              </w:rPr>
              <w:t>NE</w:t>
            </w:r>
          </w:p>
        </w:tc>
        <w:tc>
          <w:tcPr>
            <w:tcW w:w="872" w:type="pct"/>
            <w:tcBorders>
              <w:tl2br w:val="nil"/>
              <w:tr2bl w:val="nil"/>
            </w:tcBorders>
            <w:shd w:val="clear" w:color="auto" w:fill="auto"/>
            <w:noWrap/>
            <w:vAlign w:val="center"/>
          </w:tcPr>
          <w:p w14:paraId="0F70F74B">
            <w:pPr>
              <w:pStyle w:val="1111"/>
              <w:bidi w:val="0"/>
              <w:rPr>
                <w:rFonts w:hint="eastAsia"/>
              </w:rPr>
            </w:pPr>
            <w:r>
              <w:rPr>
                <w:rFonts w:hint="eastAsia"/>
                <w:lang w:val="en-US" w:eastAsia="zh-CN"/>
              </w:rPr>
              <w:t>4074</w:t>
            </w:r>
          </w:p>
        </w:tc>
        <w:tc>
          <w:tcPr>
            <w:tcW w:w="612" w:type="pct"/>
            <w:tcBorders>
              <w:tl2br w:val="nil"/>
              <w:tr2bl w:val="nil"/>
            </w:tcBorders>
            <w:shd w:val="clear" w:color="auto" w:fill="auto"/>
            <w:noWrap/>
            <w:vAlign w:val="center"/>
          </w:tcPr>
          <w:p w14:paraId="53EC6B4E">
            <w:pPr>
              <w:pStyle w:val="1111"/>
              <w:bidi w:val="0"/>
              <w:rPr>
                <w:rFonts w:hint="eastAsia"/>
              </w:rPr>
            </w:pPr>
            <w:r>
              <w:rPr>
                <w:rFonts w:hint="eastAsia"/>
                <w:lang w:val="en-US" w:eastAsia="zh-CN"/>
              </w:rPr>
              <w:t>教育</w:t>
            </w:r>
          </w:p>
        </w:tc>
        <w:tc>
          <w:tcPr>
            <w:tcW w:w="599" w:type="pct"/>
            <w:tcBorders>
              <w:tl2br w:val="nil"/>
              <w:tr2bl w:val="nil"/>
            </w:tcBorders>
            <w:shd w:val="clear" w:color="auto" w:fill="auto"/>
            <w:vAlign w:val="center"/>
          </w:tcPr>
          <w:p w14:paraId="6734803A">
            <w:pPr>
              <w:pStyle w:val="1111"/>
              <w:bidi w:val="0"/>
              <w:rPr>
                <w:rFonts w:hint="default"/>
              </w:rPr>
            </w:pPr>
            <w:r>
              <w:rPr>
                <w:rFonts w:hint="default"/>
                <w:lang w:val="en-US" w:eastAsia="zh-CN"/>
              </w:rPr>
              <w:t>3500</w:t>
            </w:r>
          </w:p>
        </w:tc>
      </w:tr>
      <w:tr w14:paraId="4B07CD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36A18660">
            <w:pPr>
              <w:pStyle w:val="1111"/>
              <w:bidi w:val="0"/>
              <w:rPr>
                <w:rFonts w:hint="eastAsia"/>
                <w:lang w:val="en-US" w:eastAsia="zh-CN"/>
              </w:rPr>
            </w:pPr>
          </w:p>
        </w:tc>
        <w:tc>
          <w:tcPr>
            <w:tcW w:w="345" w:type="pct"/>
            <w:tcBorders>
              <w:tl2br w:val="nil"/>
              <w:tr2bl w:val="nil"/>
            </w:tcBorders>
            <w:shd w:val="clear" w:color="auto" w:fill="auto"/>
            <w:noWrap/>
            <w:vAlign w:val="center"/>
          </w:tcPr>
          <w:p w14:paraId="32B4BF1A">
            <w:pPr>
              <w:pStyle w:val="1111"/>
              <w:bidi w:val="0"/>
              <w:rPr>
                <w:rFonts w:hint="eastAsia"/>
              </w:rPr>
            </w:pPr>
            <w:r>
              <w:rPr>
                <w:rFonts w:hint="eastAsia"/>
                <w:lang w:val="en-US" w:eastAsia="zh-CN"/>
              </w:rPr>
              <w:t>71</w:t>
            </w:r>
          </w:p>
        </w:tc>
        <w:tc>
          <w:tcPr>
            <w:tcW w:w="1748" w:type="pct"/>
            <w:tcBorders>
              <w:tl2br w:val="nil"/>
              <w:tr2bl w:val="nil"/>
            </w:tcBorders>
            <w:shd w:val="clear" w:color="auto" w:fill="auto"/>
            <w:noWrap/>
            <w:vAlign w:val="center"/>
          </w:tcPr>
          <w:p w14:paraId="3FEA2082">
            <w:pPr>
              <w:pStyle w:val="1111"/>
              <w:bidi w:val="0"/>
              <w:rPr>
                <w:rFonts w:hint="eastAsia"/>
              </w:rPr>
            </w:pPr>
            <w:r>
              <w:rPr>
                <w:rFonts w:hint="eastAsia"/>
                <w:lang w:val="en-US" w:eastAsia="zh-CN"/>
              </w:rPr>
              <w:t>小村</w:t>
            </w:r>
          </w:p>
        </w:tc>
        <w:tc>
          <w:tcPr>
            <w:tcW w:w="474" w:type="pct"/>
            <w:tcBorders>
              <w:tl2br w:val="nil"/>
              <w:tr2bl w:val="nil"/>
            </w:tcBorders>
            <w:shd w:val="clear" w:color="auto" w:fill="auto"/>
            <w:noWrap/>
            <w:vAlign w:val="center"/>
          </w:tcPr>
          <w:p w14:paraId="1BBF8060">
            <w:pPr>
              <w:pStyle w:val="1111"/>
              <w:bidi w:val="0"/>
              <w:rPr>
                <w:rFonts w:hint="eastAsia"/>
              </w:rPr>
            </w:pPr>
            <w:r>
              <w:rPr>
                <w:rFonts w:hint="eastAsia"/>
                <w:lang w:val="en-US" w:eastAsia="zh-CN"/>
              </w:rPr>
              <w:t>SE</w:t>
            </w:r>
          </w:p>
        </w:tc>
        <w:tc>
          <w:tcPr>
            <w:tcW w:w="872" w:type="pct"/>
            <w:tcBorders>
              <w:tl2br w:val="nil"/>
              <w:tr2bl w:val="nil"/>
            </w:tcBorders>
            <w:shd w:val="clear" w:color="auto" w:fill="auto"/>
            <w:noWrap/>
            <w:vAlign w:val="center"/>
          </w:tcPr>
          <w:p w14:paraId="48DD9EC1">
            <w:pPr>
              <w:pStyle w:val="1111"/>
              <w:bidi w:val="0"/>
              <w:rPr>
                <w:rFonts w:hint="eastAsia"/>
              </w:rPr>
            </w:pPr>
            <w:r>
              <w:rPr>
                <w:rFonts w:hint="eastAsia"/>
                <w:lang w:val="en-US" w:eastAsia="zh-CN"/>
              </w:rPr>
              <w:t>4244</w:t>
            </w:r>
          </w:p>
        </w:tc>
        <w:tc>
          <w:tcPr>
            <w:tcW w:w="612" w:type="pct"/>
            <w:tcBorders>
              <w:tl2br w:val="nil"/>
              <w:tr2bl w:val="nil"/>
            </w:tcBorders>
            <w:shd w:val="clear" w:color="auto" w:fill="auto"/>
            <w:noWrap/>
            <w:vAlign w:val="center"/>
          </w:tcPr>
          <w:p w14:paraId="1A84BEE7">
            <w:pPr>
              <w:pStyle w:val="1111"/>
              <w:bidi w:val="0"/>
              <w:rPr>
                <w:rFonts w:hint="eastAsia"/>
              </w:rPr>
            </w:pPr>
            <w:r>
              <w:rPr>
                <w:rFonts w:hint="eastAsia"/>
                <w:lang w:val="en-US" w:eastAsia="zh-CN"/>
              </w:rPr>
              <w:t>居民</w:t>
            </w:r>
          </w:p>
        </w:tc>
        <w:tc>
          <w:tcPr>
            <w:tcW w:w="599" w:type="pct"/>
            <w:tcBorders>
              <w:tl2br w:val="nil"/>
              <w:tr2bl w:val="nil"/>
            </w:tcBorders>
            <w:shd w:val="clear" w:color="auto" w:fill="auto"/>
            <w:vAlign w:val="center"/>
          </w:tcPr>
          <w:p w14:paraId="1AD5DFF9">
            <w:pPr>
              <w:pStyle w:val="1111"/>
              <w:bidi w:val="0"/>
              <w:rPr>
                <w:rFonts w:hint="default"/>
              </w:rPr>
            </w:pPr>
            <w:r>
              <w:rPr>
                <w:rFonts w:hint="default"/>
                <w:lang w:val="en-US" w:eastAsia="zh-CN"/>
              </w:rPr>
              <w:t>2880</w:t>
            </w:r>
          </w:p>
        </w:tc>
      </w:tr>
      <w:tr w14:paraId="1C012C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623E72A2">
            <w:pPr>
              <w:pStyle w:val="1111"/>
              <w:bidi w:val="0"/>
              <w:rPr>
                <w:rFonts w:hint="eastAsia"/>
                <w:lang w:val="en-US" w:eastAsia="zh-CN"/>
              </w:rPr>
            </w:pPr>
          </w:p>
        </w:tc>
        <w:tc>
          <w:tcPr>
            <w:tcW w:w="345" w:type="pct"/>
            <w:tcBorders>
              <w:tl2br w:val="nil"/>
              <w:tr2bl w:val="nil"/>
            </w:tcBorders>
            <w:shd w:val="clear" w:color="auto" w:fill="auto"/>
            <w:noWrap/>
            <w:vAlign w:val="center"/>
          </w:tcPr>
          <w:p w14:paraId="373D279C">
            <w:pPr>
              <w:pStyle w:val="1111"/>
              <w:bidi w:val="0"/>
              <w:rPr>
                <w:rFonts w:hint="eastAsia"/>
              </w:rPr>
            </w:pPr>
            <w:r>
              <w:rPr>
                <w:rFonts w:hint="eastAsia"/>
                <w:lang w:val="en-US" w:eastAsia="zh-CN"/>
              </w:rPr>
              <w:t>72</w:t>
            </w:r>
          </w:p>
        </w:tc>
        <w:tc>
          <w:tcPr>
            <w:tcW w:w="1748" w:type="pct"/>
            <w:tcBorders>
              <w:tl2br w:val="nil"/>
              <w:tr2bl w:val="nil"/>
            </w:tcBorders>
            <w:shd w:val="clear" w:color="auto" w:fill="auto"/>
            <w:noWrap/>
            <w:vAlign w:val="center"/>
          </w:tcPr>
          <w:p w14:paraId="24EC3519">
            <w:pPr>
              <w:pStyle w:val="1111"/>
              <w:bidi w:val="0"/>
              <w:rPr>
                <w:rFonts w:hint="eastAsia"/>
              </w:rPr>
            </w:pPr>
            <w:r>
              <w:rPr>
                <w:rFonts w:hint="eastAsia"/>
                <w:lang w:val="en-US" w:eastAsia="zh-CN"/>
              </w:rPr>
              <w:t>香溢广苑</w:t>
            </w:r>
          </w:p>
        </w:tc>
        <w:tc>
          <w:tcPr>
            <w:tcW w:w="474" w:type="pct"/>
            <w:tcBorders>
              <w:tl2br w:val="nil"/>
              <w:tr2bl w:val="nil"/>
            </w:tcBorders>
            <w:shd w:val="clear" w:color="auto" w:fill="auto"/>
            <w:noWrap/>
            <w:vAlign w:val="center"/>
          </w:tcPr>
          <w:p w14:paraId="7BE885F5">
            <w:pPr>
              <w:pStyle w:val="1111"/>
              <w:bidi w:val="0"/>
              <w:rPr>
                <w:rFonts w:hint="eastAsia"/>
              </w:rPr>
            </w:pPr>
            <w:r>
              <w:rPr>
                <w:rFonts w:hint="eastAsia"/>
                <w:lang w:val="en-US" w:eastAsia="zh-CN"/>
              </w:rPr>
              <w:t>SE</w:t>
            </w:r>
          </w:p>
        </w:tc>
        <w:tc>
          <w:tcPr>
            <w:tcW w:w="872" w:type="pct"/>
            <w:tcBorders>
              <w:tl2br w:val="nil"/>
              <w:tr2bl w:val="nil"/>
            </w:tcBorders>
            <w:shd w:val="clear" w:color="auto" w:fill="auto"/>
            <w:noWrap/>
            <w:vAlign w:val="center"/>
          </w:tcPr>
          <w:p w14:paraId="6BB254D5">
            <w:pPr>
              <w:pStyle w:val="1111"/>
              <w:bidi w:val="0"/>
              <w:rPr>
                <w:rFonts w:hint="eastAsia"/>
              </w:rPr>
            </w:pPr>
            <w:r>
              <w:rPr>
                <w:rFonts w:hint="eastAsia"/>
                <w:lang w:val="en-US" w:eastAsia="zh-CN"/>
              </w:rPr>
              <w:t>4387</w:t>
            </w:r>
          </w:p>
        </w:tc>
        <w:tc>
          <w:tcPr>
            <w:tcW w:w="612" w:type="pct"/>
            <w:tcBorders>
              <w:tl2br w:val="nil"/>
              <w:tr2bl w:val="nil"/>
            </w:tcBorders>
            <w:shd w:val="clear" w:color="auto" w:fill="auto"/>
            <w:noWrap/>
            <w:vAlign w:val="center"/>
          </w:tcPr>
          <w:p w14:paraId="0768D906">
            <w:pPr>
              <w:pStyle w:val="1111"/>
              <w:bidi w:val="0"/>
              <w:rPr>
                <w:rFonts w:hint="eastAsia"/>
              </w:rPr>
            </w:pPr>
            <w:r>
              <w:rPr>
                <w:rFonts w:hint="eastAsia"/>
                <w:lang w:val="en-US" w:eastAsia="zh-CN"/>
              </w:rPr>
              <w:t>居民</w:t>
            </w:r>
          </w:p>
        </w:tc>
        <w:tc>
          <w:tcPr>
            <w:tcW w:w="599" w:type="pct"/>
            <w:tcBorders>
              <w:tl2br w:val="nil"/>
              <w:tr2bl w:val="nil"/>
            </w:tcBorders>
            <w:shd w:val="clear" w:color="auto" w:fill="auto"/>
            <w:vAlign w:val="center"/>
          </w:tcPr>
          <w:p w14:paraId="1E381E25">
            <w:pPr>
              <w:pStyle w:val="1111"/>
              <w:bidi w:val="0"/>
              <w:rPr>
                <w:rFonts w:hint="default"/>
              </w:rPr>
            </w:pPr>
            <w:r>
              <w:rPr>
                <w:rFonts w:hint="default"/>
                <w:lang w:val="en-US" w:eastAsia="zh-CN"/>
              </w:rPr>
              <w:t>1890</w:t>
            </w:r>
          </w:p>
        </w:tc>
      </w:tr>
      <w:tr w14:paraId="368401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5F638429">
            <w:pPr>
              <w:pStyle w:val="1111"/>
              <w:bidi w:val="0"/>
              <w:rPr>
                <w:rFonts w:hint="eastAsia"/>
                <w:lang w:val="en-US" w:eastAsia="zh-CN"/>
              </w:rPr>
            </w:pPr>
          </w:p>
        </w:tc>
        <w:tc>
          <w:tcPr>
            <w:tcW w:w="345" w:type="pct"/>
            <w:tcBorders>
              <w:tl2br w:val="nil"/>
              <w:tr2bl w:val="nil"/>
            </w:tcBorders>
            <w:shd w:val="clear" w:color="auto" w:fill="auto"/>
            <w:noWrap/>
            <w:vAlign w:val="center"/>
          </w:tcPr>
          <w:p w14:paraId="3E497ACF">
            <w:pPr>
              <w:pStyle w:val="1111"/>
              <w:bidi w:val="0"/>
              <w:rPr>
                <w:rFonts w:hint="eastAsia"/>
              </w:rPr>
            </w:pPr>
            <w:r>
              <w:rPr>
                <w:rFonts w:hint="eastAsia"/>
                <w:lang w:val="en-US" w:eastAsia="zh-CN"/>
              </w:rPr>
              <w:t>73</w:t>
            </w:r>
          </w:p>
        </w:tc>
        <w:tc>
          <w:tcPr>
            <w:tcW w:w="1748" w:type="pct"/>
            <w:tcBorders>
              <w:tl2br w:val="nil"/>
              <w:tr2bl w:val="nil"/>
            </w:tcBorders>
            <w:shd w:val="clear" w:color="auto" w:fill="auto"/>
            <w:noWrap/>
            <w:vAlign w:val="center"/>
          </w:tcPr>
          <w:p w14:paraId="2439046E">
            <w:pPr>
              <w:pStyle w:val="1111"/>
              <w:bidi w:val="0"/>
              <w:rPr>
                <w:rFonts w:hint="eastAsia"/>
              </w:rPr>
            </w:pPr>
            <w:r>
              <w:rPr>
                <w:rFonts w:hint="eastAsia"/>
                <w:lang w:val="en-US" w:eastAsia="zh-CN"/>
              </w:rPr>
              <w:t>连云港工贸高等职业技术学校</w:t>
            </w:r>
          </w:p>
        </w:tc>
        <w:tc>
          <w:tcPr>
            <w:tcW w:w="474" w:type="pct"/>
            <w:tcBorders>
              <w:tl2br w:val="nil"/>
              <w:tr2bl w:val="nil"/>
            </w:tcBorders>
            <w:shd w:val="clear" w:color="auto" w:fill="auto"/>
            <w:noWrap/>
            <w:vAlign w:val="center"/>
          </w:tcPr>
          <w:p w14:paraId="3F875927">
            <w:pPr>
              <w:pStyle w:val="1111"/>
              <w:bidi w:val="0"/>
              <w:rPr>
                <w:rFonts w:hint="eastAsia"/>
              </w:rPr>
            </w:pPr>
            <w:r>
              <w:rPr>
                <w:rFonts w:hint="eastAsia"/>
                <w:lang w:val="en-US" w:eastAsia="zh-CN"/>
              </w:rPr>
              <w:t>SE</w:t>
            </w:r>
          </w:p>
        </w:tc>
        <w:tc>
          <w:tcPr>
            <w:tcW w:w="872" w:type="pct"/>
            <w:tcBorders>
              <w:tl2br w:val="nil"/>
              <w:tr2bl w:val="nil"/>
            </w:tcBorders>
            <w:shd w:val="clear" w:color="auto" w:fill="auto"/>
            <w:noWrap/>
            <w:vAlign w:val="center"/>
          </w:tcPr>
          <w:p w14:paraId="740C0C34">
            <w:pPr>
              <w:pStyle w:val="1111"/>
              <w:bidi w:val="0"/>
              <w:rPr>
                <w:rFonts w:hint="eastAsia"/>
              </w:rPr>
            </w:pPr>
            <w:r>
              <w:rPr>
                <w:rFonts w:hint="eastAsia"/>
                <w:lang w:val="en-US" w:eastAsia="zh-CN"/>
              </w:rPr>
              <w:t>4489</w:t>
            </w:r>
          </w:p>
        </w:tc>
        <w:tc>
          <w:tcPr>
            <w:tcW w:w="612" w:type="pct"/>
            <w:tcBorders>
              <w:tl2br w:val="nil"/>
              <w:tr2bl w:val="nil"/>
            </w:tcBorders>
            <w:shd w:val="clear" w:color="auto" w:fill="auto"/>
            <w:noWrap/>
            <w:vAlign w:val="center"/>
          </w:tcPr>
          <w:p w14:paraId="49254E0D">
            <w:pPr>
              <w:pStyle w:val="1111"/>
              <w:bidi w:val="0"/>
              <w:rPr>
                <w:rFonts w:hint="eastAsia"/>
              </w:rPr>
            </w:pPr>
            <w:r>
              <w:rPr>
                <w:rFonts w:hint="eastAsia"/>
                <w:lang w:val="en-US" w:eastAsia="zh-CN"/>
              </w:rPr>
              <w:t>教育</w:t>
            </w:r>
          </w:p>
        </w:tc>
        <w:tc>
          <w:tcPr>
            <w:tcW w:w="599" w:type="pct"/>
            <w:tcBorders>
              <w:tl2br w:val="nil"/>
              <w:tr2bl w:val="nil"/>
            </w:tcBorders>
            <w:shd w:val="clear" w:color="auto" w:fill="auto"/>
            <w:vAlign w:val="center"/>
          </w:tcPr>
          <w:p w14:paraId="291ADB43">
            <w:pPr>
              <w:pStyle w:val="1111"/>
              <w:bidi w:val="0"/>
              <w:rPr>
                <w:rFonts w:hint="default"/>
              </w:rPr>
            </w:pPr>
            <w:r>
              <w:rPr>
                <w:rFonts w:hint="default"/>
                <w:lang w:val="en-US" w:eastAsia="zh-CN"/>
              </w:rPr>
              <w:t>5000</w:t>
            </w:r>
          </w:p>
        </w:tc>
      </w:tr>
      <w:tr w14:paraId="3BE773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72235BF7">
            <w:pPr>
              <w:pStyle w:val="1111"/>
              <w:bidi w:val="0"/>
              <w:rPr>
                <w:rFonts w:hint="eastAsia"/>
                <w:lang w:val="en-US" w:eastAsia="zh-CN"/>
              </w:rPr>
            </w:pPr>
          </w:p>
        </w:tc>
        <w:tc>
          <w:tcPr>
            <w:tcW w:w="345" w:type="pct"/>
            <w:tcBorders>
              <w:tl2br w:val="nil"/>
              <w:tr2bl w:val="nil"/>
            </w:tcBorders>
            <w:shd w:val="clear" w:color="auto" w:fill="auto"/>
            <w:noWrap/>
            <w:vAlign w:val="center"/>
          </w:tcPr>
          <w:p w14:paraId="02D63E7D">
            <w:pPr>
              <w:pStyle w:val="1111"/>
              <w:bidi w:val="0"/>
              <w:rPr>
                <w:rFonts w:hint="eastAsia"/>
              </w:rPr>
            </w:pPr>
            <w:r>
              <w:rPr>
                <w:rFonts w:hint="eastAsia"/>
                <w:lang w:val="en-US" w:eastAsia="zh-CN"/>
              </w:rPr>
              <w:t>74</w:t>
            </w:r>
          </w:p>
        </w:tc>
        <w:tc>
          <w:tcPr>
            <w:tcW w:w="1748" w:type="pct"/>
            <w:tcBorders>
              <w:tl2br w:val="nil"/>
              <w:tr2bl w:val="nil"/>
            </w:tcBorders>
            <w:shd w:val="clear" w:color="auto" w:fill="auto"/>
            <w:noWrap/>
            <w:vAlign w:val="center"/>
          </w:tcPr>
          <w:p w14:paraId="63185039">
            <w:pPr>
              <w:pStyle w:val="1111"/>
              <w:bidi w:val="0"/>
              <w:rPr>
                <w:rFonts w:hint="eastAsia"/>
              </w:rPr>
            </w:pPr>
            <w:r>
              <w:rPr>
                <w:rFonts w:hint="eastAsia"/>
                <w:lang w:val="en-US" w:eastAsia="zh-CN"/>
              </w:rPr>
              <w:t>恒大翡翠湾花园</w:t>
            </w:r>
          </w:p>
        </w:tc>
        <w:tc>
          <w:tcPr>
            <w:tcW w:w="474" w:type="pct"/>
            <w:tcBorders>
              <w:tl2br w:val="nil"/>
              <w:tr2bl w:val="nil"/>
            </w:tcBorders>
            <w:shd w:val="clear" w:color="auto" w:fill="auto"/>
            <w:noWrap/>
            <w:vAlign w:val="center"/>
          </w:tcPr>
          <w:p w14:paraId="744A28D4">
            <w:pPr>
              <w:pStyle w:val="1111"/>
              <w:bidi w:val="0"/>
              <w:rPr>
                <w:rFonts w:hint="eastAsia"/>
              </w:rPr>
            </w:pPr>
            <w:r>
              <w:rPr>
                <w:rFonts w:hint="eastAsia"/>
                <w:lang w:val="en-US" w:eastAsia="zh-CN"/>
              </w:rPr>
              <w:t>NE</w:t>
            </w:r>
          </w:p>
        </w:tc>
        <w:tc>
          <w:tcPr>
            <w:tcW w:w="872" w:type="pct"/>
            <w:tcBorders>
              <w:tl2br w:val="nil"/>
              <w:tr2bl w:val="nil"/>
            </w:tcBorders>
            <w:shd w:val="clear" w:color="auto" w:fill="auto"/>
            <w:noWrap/>
            <w:vAlign w:val="center"/>
          </w:tcPr>
          <w:p w14:paraId="704043B6">
            <w:pPr>
              <w:pStyle w:val="1111"/>
              <w:bidi w:val="0"/>
              <w:rPr>
                <w:rFonts w:hint="eastAsia"/>
              </w:rPr>
            </w:pPr>
            <w:r>
              <w:rPr>
                <w:rFonts w:hint="eastAsia"/>
                <w:lang w:val="en-US" w:eastAsia="zh-CN"/>
              </w:rPr>
              <w:t>4527</w:t>
            </w:r>
          </w:p>
        </w:tc>
        <w:tc>
          <w:tcPr>
            <w:tcW w:w="612" w:type="pct"/>
            <w:tcBorders>
              <w:tl2br w:val="nil"/>
              <w:tr2bl w:val="nil"/>
            </w:tcBorders>
            <w:shd w:val="clear" w:color="auto" w:fill="auto"/>
            <w:noWrap/>
            <w:vAlign w:val="center"/>
          </w:tcPr>
          <w:p w14:paraId="306A87FA">
            <w:pPr>
              <w:pStyle w:val="1111"/>
              <w:bidi w:val="0"/>
              <w:rPr>
                <w:rFonts w:hint="eastAsia"/>
              </w:rPr>
            </w:pPr>
            <w:r>
              <w:rPr>
                <w:rFonts w:hint="eastAsia"/>
                <w:lang w:val="en-US" w:eastAsia="zh-CN"/>
              </w:rPr>
              <w:t>居民</w:t>
            </w:r>
          </w:p>
        </w:tc>
        <w:tc>
          <w:tcPr>
            <w:tcW w:w="599" w:type="pct"/>
            <w:tcBorders>
              <w:tl2br w:val="nil"/>
              <w:tr2bl w:val="nil"/>
            </w:tcBorders>
            <w:shd w:val="clear" w:color="auto" w:fill="auto"/>
            <w:vAlign w:val="center"/>
          </w:tcPr>
          <w:p w14:paraId="3D8FD3ED">
            <w:pPr>
              <w:pStyle w:val="1111"/>
              <w:bidi w:val="0"/>
              <w:rPr>
                <w:rFonts w:hint="default"/>
              </w:rPr>
            </w:pPr>
            <w:r>
              <w:rPr>
                <w:rFonts w:hint="eastAsia"/>
                <w:lang w:val="en-US" w:eastAsia="zh-CN"/>
              </w:rPr>
              <w:t>-</w:t>
            </w:r>
          </w:p>
        </w:tc>
      </w:tr>
      <w:tr w14:paraId="0CC78C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0D6B9890">
            <w:pPr>
              <w:pStyle w:val="1111"/>
              <w:bidi w:val="0"/>
              <w:rPr>
                <w:rFonts w:hint="eastAsia"/>
                <w:lang w:val="en-US" w:eastAsia="zh-CN"/>
              </w:rPr>
            </w:pPr>
          </w:p>
        </w:tc>
        <w:tc>
          <w:tcPr>
            <w:tcW w:w="345" w:type="pct"/>
            <w:tcBorders>
              <w:tl2br w:val="nil"/>
              <w:tr2bl w:val="nil"/>
            </w:tcBorders>
            <w:shd w:val="clear" w:color="auto" w:fill="auto"/>
            <w:noWrap/>
            <w:vAlign w:val="center"/>
          </w:tcPr>
          <w:p w14:paraId="3C1EF2F7">
            <w:pPr>
              <w:pStyle w:val="1111"/>
              <w:bidi w:val="0"/>
              <w:rPr>
                <w:rFonts w:hint="eastAsia"/>
              </w:rPr>
            </w:pPr>
            <w:r>
              <w:rPr>
                <w:rFonts w:hint="eastAsia"/>
                <w:lang w:val="en-US" w:eastAsia="zh-CN"/>
              </w:rPr>
              <w:t>75</w:t>
            </w:r>
          </w:p>
        </w:tc>
        <w:tc>
          <w:tcPr>
            <w:tcW w:w="1748" w:type="pct"/>
            <w:tcBorders>
              <w:tl2br w:val="nil"/>
              <w:tr2bl w:val="nil"/>
            </w:tcBorders>
            <w:shd w:val="clear" w:color="auto" w:fill="auto"/>
            <w:noWrap/>
            <w:vAlign w:val="center"/>
          </w:tcPr>
          <w:p w14:paraId="6C23934E">
            <w:pPr>
              <w:pStyle w:val="1111"/>
              <w:bidi w:val="0"/>
              <w:rPr>
                <w:rFonts w:hint="eastAsia"/>
              </w:rPr>
            </w:pPr>
            <w:r>
              <w:rPr>
                <w:rFonts w:hint="eastAsia"/>
                <w:lang w:val="en-US" w:eastAsia="zh-CN"/>
              </w:rPr>
              <w:t>连云港市体育运动学校</w:t>
            </w:r>
          </w:p>
        </w:tc>
        <w:tc>
          <w:tcPr>
            <w:tcW w:w="474" w:type="pct"/>
            <w:tcBorders>
              <w:tl2br w:val="nil"/>
              <w:tr2bl w:val="nil"/>
            </w:tcBorders>
            <w:shd w:val="clear" w:color="auto" w:fill="auto"/>
            <w:noWrap/>
            <w:vAlign w:val="center"/>
          </w:tcPr>
          <w:p w14:paraId="6C76A985">
            <w:pPr>
              <w:pStyle w:val="1111"/>
              <w:bidi w:val="0"/>
              <w:rPr>
                <w:rFonts w:hint="eastAsia"/>
              </w:rPr>
            </w:pPr>
            <w:r>
              <w:rPr>
                <w:rFonts w:hint="eastAsia"/>
                <w:lang w:val="en-US" w:eastAsia="zh-CN"/>
              </w:rPr>
              <w:t>S</w:t>
            </w:r>
          </w:p>
        </w:tc>
        <w:tc>
          <w:tcPr>
            <w:tcW w:w="872" w:type="pct"/>
            <w:tcBorders>
              <w:tl2br w:val="nil"/>
              <w:tr2bl w:val="nil"/>
            </w:tcBorders>
            <w:shd w:val="clear" w:color="auto" w:fill="auto"/>
            <w:noWrap/>
            <w:vAlign w:val="center"/>
          </w:tcPr>
          <w:p w14:paraId="182E10D1">
            <w:pPr>
              <w:pStyle w:val="1111"/>
              <w:bidi w:val="0"/>
              <w:rPr>
                <w:rFonts w:hint="eastAsia"/>
              </w:rPr>
            </w:pPr>
            <w:r>
              <w:rPr>
                <w:rFonts w:hint="eastAsia"/>
                <w:lang w:val="en-US" w:eastAsia="zh-CN"/>
              </w:rPr>
              <w:t>4690</w:t>
            </w:r>
          </w:p>
        </w:tc>
        <w:tc>
          <w:tcPr>
            <w:tcW w:w="612" w:type="pct"/>
            <w:tcBorders>
              <w:tl2br w:val="nil"/>
              <w:tr2bl w:val="nil"/>
            </w:tcBorders>
            <w:shd w:val="clear" w:color="auto" w:fill="auto"/>
            <w:noWrap/>
            <w:vAlign w:val="center"/>
          </w:tcPr>
          <w:p w14:paraId="5B48E815">
            <w:pPr>
              <w:pStyle w:val="1111"/>
              <w:bidi w:val="0"/>
              <w:rPr>
                <w:rFonts w:hint="eastAsia"/>
              </w:rPr>
            </w:pPr>
            <w:r>
              <w:rPr>
                <w:rFonts w:hint="eastAsia"/>
                <w:lang w:val="en-US" w:eastAsia="zh-CN"/>
              </w:rPr>
              <w:t>教育</w:t>
            </w:r>
          </w:p>
        </w:tc>
        <w:tc>
          <w:tcPr>
            <w:tcW w:w="599" w:type="pct"/>
            <w:tcBorders>
              <w:tl2br w:val="nil"/>
              <w:tr2bl w:val="nil"/>
            </w:tcBorders>
            <w:shd w:val="clear" w:color="auto" w:fill="auto"/>
            <w:vAlign w:val="center"/>
          </w:tcPr>
          <w:p w14:paraId="34E8C75D">
            <w:pPr>
              <w:pStyle w:val="1111"/>
              <w:bidi w:val="0"/>
              <w:rPr>
                <w:rFonts w:hint="default"/>
              </w:rPr>
            </w:pPr>
            <w:r>
              <w:rPr>
                <w:rFonts w:hint="default"/>
                <w:lang w:val="en-US" w:eastAsia="zh-CN"/>
              </w:rPr>
              <w:t>3500</w:t>
            </w:r>
          </w:p>
        </w:tc>
      </w:tr>
      <w:tr w14:paraId="5231D7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4DF88070">
            <w:pPr>
              <w:pStyle w:val="1111"/>
              <w:bidi w:val="0"/>
              <w:rPr>
                <w:rFonts w:hint="eastAsia"/>
                <w:lang w:val="en-US" w:eastAsia="zh-CN"/>
              </w:rPr>
            </w:pPr>
          </w:p>
        </w:tc>
        <w:tc>
          <w:tcPr>
            <w:tcW w:w="345" w:type="pct"/>
            <w:tcBorders>
              <w:tl2br w:val="nil"/>
              <w:tr2bl w:val="nil"/>
            </w:tcBorders>
            <w:shd w:val="clear" w:color="auto" w:fill="auto"/>
            <w:noWrap/>
            <w:vAlign w:val="center"/>
          </w:tcPr>
          <w:p w14:paraId="617DD97F">
            <w:pPr>
              <w:pStyle w:val="1111"/>
              <w:bidi w:val="0"/>
              <w:rPr>
                <w:rFonts w:hint="eastAsia"/>
              </w:rPr>
            </w:pPr>
            <w:r>
              <w:rPr>
                <w:rFonts w:hint="eastAsia"/>
                <w:lang w:val="en-US" w:eastAsia="zh-CN"/>
              </w:rPr>
              <w:t>76</w:t>
            </w:r>
          </w:p>
        </w:tc>
        <w:tc>
          <w:tcPr>
            <w:tcW w:w="1748" w:type="pct"/>
            <w:tcBorders>
              <w:tl2br w:val="nil"/>
              <w:tr2bl w:val="nil"/>
            </w:tcBorders>
            <w:shd w:val="clear" w:color="auto" w:fill="auto"/>
            <w:noWrap/>
            <w:vAlign w:val="center"/>
          </w:tcPr>
          <w:p w14:paraId="1D79195A">
            <w:pPr>
              <w:pStyle w:val="1111"/>
              <w:bidi w:val="0"/>
              <w:rPr>
                <w:rFonts w:hint="eastAsia"/>
              </w:rPr>
            </w:pPr>
            <w:r>
              <w:rPr>
                <w:rFonts w:hint="eastAsia"/>
                <w:lang w:val="en-US" w:eastAsia="zh-CN"/>
              </w:rPr>
              <w:t>名郡塞纳豪庭</w:t>
            </w:r>
          </w:p>
        </w:tc>
        <w:tc>
          <w:tcPr>
            <w:tcW w:w="474" w:type="pct"/>
            <w:tcBorders>
              <w:tl2br w:val="nil"/>
              <w:tr2bl w:val="nil"/>
            </w:tcBorders>
            <w:shd w:val="clear" w:color="auto" w:fill="auto"/>
            <w:noWrap/>
            <w:vAlign w:val="center"/>
          </w:tcPr>
          <w:p w14:paraId="78F0CA90">
            <w:pPr>
              <w:pStyle w:val="1111"/>
              <w:bidi w:val="0"/>
              <w:rPr>
                <w:rFonts w:hint="eastAsia"/>
              </w:rPr>
            </w:pPr>
            <w:r>
              <w:rPr>
                <w:rFonts w:hint="eastAsia"/>
                <w:lang w:val="en-US" w:eastAsia="zh-CN"/>
              </w:rPr>
              <w:t>S</w:t>
            </w:r>
          </w:p>
        </w:tc>
        <w:tc>
          <w:tcPr>
            <w:tcW w:w="872" w:type="pct"/>
            <w:tcBorders>
              <w:tl2br w:val="nil"/>
              <w:tr2bl w:val="nil"/>
            </w:tcBorders>
            <w:shd w:val="clear" w:color="auto" w:fill="auto"/>
            <w:noWrap/>
            <w:vAlign w:val="center"/>
          </w:tcPr>
          <w:p w14:paraId="226F4D2B">
            <w:pPr>
              <w:pStyle w:val="1111"/>
              <w:bidi w:val="0"/>
              <w:rPr>
                <w:rFonts w:hint="eastAsia"/>
              </w:rPr>
            </w:pPr>
            <w:r>
              <w:rPr>
                <w:rFonts w:hint="eastAsia"/>
                <w:lang w:val="en-US" w:eastAsia="zh-CN"/>
              </w:rPr>
              <w:t>4805</w:t>
            </w:r>
          </w:p>
        </w:tc>
        <w:tc>
          <w:tcPr>
            <w:tcW w:w="612" w:type="pct"/>
            <w:tcBorders>
              <w:tl2br w:val="nil"/>
              <w:tr2bl w:val="nil"/>
            </w:tcBorders>
            <w:shd w:val="clear" w:color="auto" w:fill="auto"/>
            <w:noWrap/>
            <w:vAlign w:val="center"/>
          </w:tcPr>
          <w:p w14:paraId="36A6589D">
            <w:pPr>
              <w:pStyle w:val="1111"/>
              <w:bidi w:val="0"/>
              <w:rPr>
                <w:rFonts w:hint="eastAsia"/>
              </w:rPr>
            </w:pPr>
            <w:r>
              <w:rPr>
                <w:rFonts w:hint="eastAsia"/>
                <w:lang w:val="en-US" w:eastAsia="zh-CN"/>
              </w:rPr>
              <w:t>居民</w:t>
            </w:r>
          </w:p>
        </w:tc>
        <w:tc>
          <w:tcPr>
            <w:tcW w:w="599" w:type="pct"/>
            <w:tcBorders>
              <w:tl2br w:val="nil"/>
              <w:tr2bl w:val="nil"/>
            </w:tcBorders>
            <w:shd w:val="clear" w:color="auto" w:fill="auto"/>
            <w:vAlign w:val="center"/>
          </w:tcPr>
          <w:p w14:paraId="0D7C9379">
            <w:pPr>
              <w:pStyle w:val="1111"/>
              <w:bidi w:val="0"/>
              <w:rPr>
                <w:rFonts w:hint="default"/>
              </w:rPr>
            </w:pPr>
            <w:r>
              <w:rPr>
                <w:rFonts w:hint="default"/>
                <w:lang w:val="en-US" w:eastAsia="zh-CN"/>
              </w:rPr>
              <w:t>1560</w:t>
            </w:r>
          </w:p>
        </w:tc>
      </w:tr>
      <w:tr w14:paraId="29A7E9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55681464">
            <w:pPr>
              <w:pStyle w:val="1111"/>
              <w:bidi w:val="0"/>
              <w:rPr>
                <w:rFonts w:hint="eastAsia"/>
                <w:lang w:val="en-US" w:eastAsia="zh-CN"/>
              </w:rPr>
            </w:pPr>
          </w:p>
        </w:tc>
        <w:tc>
          <w:tcPr>
            <w:tcW w:w="345" w:type="pct"/>
            <w:tcBorders>
              <w:tl2br w:val="nil"/>
              <w:tr2bl w:val="nil"/>
            </w:tcBorders>
            <w:shd w:val="clear" w:color="auto" w:fill="auto"/>
            <w:noWrap/>
            <w:vAlign w:val="center"/>
          </w:tcPr>
          <w:p w14:paraId="3D0826EA">
            <w:pPr>
              <w:pStyle w:val="1111"/>
              <w:bidi w:val="0"/>
              <w:rPr>
                <w:rFonts w:hint="eastAsia"/>
              </w:rPr>
            </w:pPr>
            <w:r>
              <w:rPr>
                <w:rFonts w:hint="eastAsia"/>
                <w:lang w:val="en-US" w:eastAsia="zh-CN"/>
              </w:rPr>
              <w:t>77</w:t>
            </w:r>
          </w:p>
        </w:tc>
        <w:tc>
          <w:tcPr>
            <w:tcW w:w="1748" w:type="pct"/>
            <w:tcBorders>
              <w:tl2br w:val="nil"/>
              <w:tr2bl w:val="nil"/>
            </w:tcBorders>
            <w:shd w:val="clear" w:color="auto" w:fill="auto"/>
            <w:noWrap/>
            <w:vAlign w:val="center"/>
          </w:tcPr>
          <w:p w14:paraId="2BA5B8C3">
            <w:pPr>
              <w:pStyle w:val="1111"/>
              <w:bidi w:val="0"/>
              <w:rPr>
                <w:rFonts w:hint="eastAsia"/>
              </w:rPr>
            </w:pPr>
            <w:r>
              <w:rPr>
                <w:rFonts w:hint="eastAsia"/>
                <w:lang w:val="en-US" w:eastAsia="zh-CN"/>
              </w:rPr>
              <w:t>江苏才会职业学院</w:t>
            </w:r>
          </w:p>
        </w:tc>
        <w:tc>
          <w:tcPr>
            <w:tcW w:w="474" w:type="pct"/>
            <w:tcBorders>
              <w:tl2br w:val="nil"/>
              <w:tr2bl w:val="nil"/>
            </w:tcBorders>
            <w:shd w:val="clear" w:color="auto" w:fill="auto"/>
            <w:noWrap/>
            <w:vAlign w:val="center"/>
          </w:tcPr>
          <w:p w14:paraId="33655604">
            <w:pPr>
              <w:pStyle w:val="1111"/>
              <w:bidi w:val="0"/>
              <w:rPr>
                <w:rFonts w:hint="eastAsia"/>
              </w:rPr>
            </w:pPr>
            <w:r>
              <w:rPr>
                <w:rFonts w:hint="eastAsia"/>
                <w:lang w:val="en-US" w:eastAsia="zh-CN"/>
              </w:rPr>
              <w:t>SE</w:t>
            </w:r>
          </w:p>
        </w:tc>
        <w:tc>
          <w:tcPr>
            <w:tcW w:w="872" w:type="pct"/>
            <w:tcBorders>
              <w:tl2br w:val="nil"/>
              <w:tr2bl w:val="nil"/>
            </w:tcBorders>
            <w:shd w:val="clear" w:color="auto" w:fill="auto"/>
            <w:noWrap/>
            <w:vAlign w:val="center"/>
          </w:tcPr>
          <w:p w14:paraId="21AED504">
            <w:pPr>
              <w:pStyle w:val="1111"/>
              <w:bidi w:val="0"/>
              <w:rPr>
                <w:rFonts w:hint="eastAsia"/>
              </w:rPr>
            </w:pPr>
            <w:r>
              <w:rPr>
                <w:rFonts w:hint="eastAsia"/>
                <w:lang w:val="en-US" w:eastAsia="zh-CN"/>
              </w:rPr>
              <w:t>4885</w:t>
            </w:r>
          </w:p>
        </w:tc>
        <w:tc>
          <w:tcPr>
            <w:tcW w:w="612" w:type="pct"/>
            <w:tcBorders>
              <w:tl2br w:val="nil"/>
              <w:tr2bl w:val="nil"/>
            </w:tcBorders>
            <w:shd w:val="clear" w:color="auto" w:fill="auto"/>
            <w:noWrap/>
            <w:vAlign w:val="center"/>
          </w:tcPr>
          <w:p w14:paraId="382C20C4">
            <w:pPr>
              <w:pStyle w:val="1111"/>
              <w:bidi w:val="0"/>
              <w:rPr>
                <w:rFonts w:hint="eastAsia"/>
              </w:rPr>
            </w:pPr>
            <w:r>
              <w:rPr>
                <w:rFonts w:hint="eastAsia"/>
                <w:lang w:val="en-US" w:eastAsia="zh-CN"/>
              </w:rPr>
              <w:t>教育</w:t>
            </w:r>
          </w:p>
        </w:tc>
        <w:tc>
          <w:tcPr>
            <w:tcW w:w="599" w:type="pct"/>
            <w:tcBorders>
              <w:tl2br w:val="nil"/>
              <w:tr2bl w:val="nil"/>
            </w:tcBorders>
            <w:shd w:val="clear" w:color="auto" w:fill="auto"/>
            <w:vAlign w:val="center"/>
          </w:tcPr>
          <w:p w14:paraId="77844C5C">
            <w:pPr>
              <w:pStyle w:val="1111"/>
              <w:bidi w:val="0"/>
              <w:rPr>
                <w:rFonts w:hint="default"/>
              </w:rPr>
            </w:pPr>
            <w:r>
              <w:rPr>
                <w:rFonts w:hint="default"/>
                <w:lang w:val="en-US" w:eastAsia="zh-CN"/>
              </w:rPr>
              <w:t>5000</w:t>
            </w:r>
          </w:p>
        </w:tc>
      </w:tr>
      <w:tr w14:paraId="145A05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13CF9473">
            <w:pPr>
              <w:pStyle w:val="1111"/>
              <w:bidi w:val="0"/>
              <w:rPr>
                <w:rFonts w:hint="eastAsia"/>
                <w:lang w:val="en-US" w:eastAsia="zh-CN"/>
              </w:rPr>
            </w:pPr>
          </w:p>
        </w:tc>
        <w:tc>
          <w:tcPr>
            <w:tcW w:w="345" w:type="pct"/>
            <w:tcBorders>
              <w:tl2br w:val="nil"/>
              <w:tr2bl w:val="nil"/>
            </w:tcBorders>
            <w:shd w:val="clear" w:color="auto" w:fill="auto"/>
            <w:noWrap/>
            <w:vAlign w:val="center"/>
          </w:tcPr>
          <w:p w14:paraId="705DBFE0">
            <w:pPr>
              <w:pStyle w:val="1111"/>
              <w:bidi w:val="0"/>
              <w:rPr>
                <w:rFonts w:hint="eastAsia"/>
              </w:rPr>
            </w:pPr>
            <w:r>
              <w:rPr>
                <w:rFonts w:hint="eastAsia"/>
                <w:lang w:val="en-US" w:eastAsia="zh-CN"/>
              </w:rPr>
              <w:t>78</w:t>
            </w:r>
          </w:p>
        </w:tc>
        <w:tc>
          <w:tcPr>
            <w:tcW w:w="1748" w:type="pct"/>
            <w:tcBorders>
              <w:tl2br w:val="nil"/>
              <w:tr2bl w:val="nil"/>
            </w:tcBorders>
            <w:shd w:val="clear" w:color="auto" w:fill="auto"/>
            <w:noWrap/>
            <w:vAlign w:val="center"/>
          </w:tcPr>
          <w:p w14:paraId="44D008C9">
            <w:pPr>
              <w:pStyle w:val="1111"/>
              <w:bidi w:val="0"/>
              <w:rPr>
                <w:rFonts w:hint="eastAsia"/>
              </w:rPr>
            </w:pPr>
            <w:r>
              <w:rPr>
                <w:rFonts w:hint="eastAsia"/>
                <w:lang w:val="en-US" w:eastAsia="zh-CN"/>
              </w:rPr>
              <w:t>康达学院</w:t>
            </w:r>
          </w:p>
        </w:tc>
        <w:tc>
          <w:tcPr>
            <w:tcW w:w="474" w:type="pct"/>
            <w:tcBorders>
              <w:tl2br w:val="nil"/>
              <w:tr2bl w:val="nil"/>
            </w:tcBorders>
            <w:shd w:val="clear" w:color="auto" w:fill="auto"/>
            <w:noWrap/>
            <w:vAlign w:val="center"/>
          </w:tcPr>
          <w:p w14:paraId="0AC0E9B0">
            <w:pPr>
              <w:pStyle w:val="1111"/>
              <w:bidi w:val="0"/>
              <w:rPr>
                <w:rFonts w:hint="eastAsia"/>
              </w:rPr>
            </w:pPr>
            <w:r>
              <w:rPr>
                <w:rFonts w:hint="eastAsia"/>
                <w:lang w:val="en-US" w:eastAsia="zh-CN"/>
              </w:rPr>
              <w:t>S</w:t>
            </w:r>
          </w:p>
        </w:tc>
        <w:tc>
          <w:tcPr>
            <w:tcW w:w="872" w:type="pct"/>
            <w:tcBorders>
              <w:tl2br w:val="nil"/>
              <w:tr2bl w:val="nil"/>
            </w:tcBorders>
            <w:shd w:val="clear" w:color="auto" w:fill="auto"/>
            <w:noWrap/>
            <w:vAlign w:val="center"/>
          </w:tcPr>
          <w:p w14:paraId="3A67D61D">
            <w:pPr>
              <w:pStyle w:val="1111"/>
              <w:bidi w:val="0"/>
              <w:rPr>
                <w:rFonts w:hint="eastAsia"/>
              </w:rPr>
            </w:pPr>
            <w:r>
              <w:rPr>
                <w:rFonts w:hint="eastAsia"/>
                <w:lang w:val="en-US" w:eastAsia="zh-CN"/>
              </w:rPr>
              <w:t>4895</w:t>
            </w:r>
          </w:p>
        </w:tc>
        <w:tc>
          <w:tcPr>
            <w:tcW w:w="612" w:type="pct"/>
            <w:tcBorders>
              <w:tl2br w:val="nil"/>
              <w:tr2bl w:val="nil"/>
            </w:tcBorders>
            <w:shd w:val="clear" w:color="auto" w:fill="auto"/>
            <w:noWrap/>
            <w:vAlign w:val="center"/>
          </w:tcPr>
          <w:p w14:paraId="5C42A5EB">
            <w:pPr>
              <w:pStyle w:val="1111"/>
              <w:bidi w:val="0"/>
              <w:rPr>
                <w:rFonts w:hint="eastAsia"/>
              </w:rPr>
            </w:pPr>
            <w:r>
              <w:rPr>
                <w:rFonts w:hint="eastAsia"/>
                <w:lang w:val="en-US" w:eastAsia="zh-CN"/>
              </w:rPr>
              <w:t>教育</w:t>
            </w:r>
          </w:p>
        </w:tc>
        <w:tc>
          <w:tcPr>
            <w:tcW w:w="599" w:type="pct"/>
            <w:tcBorders>
              <w:tl2br w:val="nil"/>
              <w:tr2bl w:val="nil"/>
            </w:tcBorders>
            <w:shd w:val="clear" w:color="auto" w:fill="auto"/>
            <w:vAlign w:val="center"/>
          </w:tcPr>
          <w:p w14:paraId="6DBC30D9">
            <w:pPr>
              <w:pStyle w:val="1111"/>
              <w:bidi w:val="0"/>
              <w:rPr>
                <w:rFonts w:hint="default"/>
              </w:rPr>
            </w:pPr>
            <w:r>
              <w:rPr>
                <w:rFonts w:hint="default"/>
                <w:lang w:val="en-US" w:eastAsia="zh-CN"/>
              </w:rPr>
              <w:t>5000</w:t>
            </w:r>
          </w:p>
        </w:tc>
      </w:tr>
      <w:tr w14:paraId="58C2E1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285BEC29">
            <w:pPr>
              <w:pStyle w:val="1111"/>
              <w:bidi w:val="0"/>
              <w:rPr>
                <w:rFonts w:hint="eastAsia"/>
                <w:lang w:val="en-US" w:eastAsia="zh-CN"/>
              </w:rPr>
            </w:pPr>
          </w:p>
        </w:tc>
        <w:tc>
          <w:tcPr>
            <w:tcW w:w="345" w:type="pct"/>
            <w:tcBorders>
              <w:tl2br w:val="nil"/>
              <w:tr2bl w:val="nil"/>
            </w:tcBorders>
            <w:shd w:val="clear" w:color="auto" w:fill="auto"/>
            <w:noWrap/>
            <w:vAlign w:val="center"/>
          </w:tcPr>
          <w:p w14:paraId="660EE27B">
            <w:pPr>
              <w:pStyle w:val="1111"/>
              <w:bidi w:val="0"/>
              <w:rPr>
                <w:rFonts w:hint="eastAsia"/>
              </w:rPr>
            </w:pPr>
            <w:r>
              <w:rPr>
                <w:rFonts w:hint="eastAsia"/>
                <w:lang w:val="en-US" w:eastAsia="zh-CN"/>
              </w:rPr>
              <w:t>79</w:t>
            </w:r>
          </w:p>
        </w:tc>
        <w:tc>
          <w:tcPr>
            <w:tcW w:w="1748" w:type="pct"/>
            <w:tcBorders>
              <w:tl2br w:val="nil"/>
              <w:tr2bl w:val="nil"/>
            </w:tcBorders>
            <w:shd w:val="clear" w:color="auto" w:fill="auto"/>
            <w:noWrap/>
            <w:vAlign w:val="center"/>
          </w:tcPr>
          <w:p w14:paraId="55480C14">
            <w:pPr>
              <w:pStyle w:val="1111"/>
              <w:bidi w:val="0"/>
              <w:rPr>
                <w:rFonts w:hint="eastAsia"/>
              </w:rPr>
            </w:pPr>
            <w:r>
              <w:rPr>
                <w:rFonts w:hint="eastAsia"/>
                <w:lang w:val="en-US" w:eastAsia="zh-CN"/>
              </w:rPr>
              <w:t>西庄村</w:t>
            </w:r>
          </w:p>
        </w:tc>
        <w:tc>
          <w:tcPr>
            <w:tcW w:w="474" w:type="pct"/>
            <w:tcBorders>
              <w:tl2br w:val="nil"/>
              <w:tr2bl w:val="nil"/>
            </w:tcBorders>
            <w:shd w:val="clear" w:color="auto" w:fill="auto"/>
            <w:noWrap/>
            <w:vAlign w:val="center"/>
          </w:tcPr>
          <w:p w14:paraId="07C18C4D">
            <w:pPr>
              <w:pStyle w:val="1111"/>
              <w:bidi w:val="0"/>
              <w:rPr>
                <w:rFonts w:hint="eastAsia"/>
              </w:rPr>
            </w:pPr>
            <w:r>
              <w:rPr>
                <w:rFonts w:hint="eastAsia"/>
                <w:lang w:val="en-US" w:eastAsia="zh-CN"/>
              </w:rPr>
              <w:t>SE</w:t>
            </w:r>
          </w:p>
        </w:tc>
        <w:tc>
          <w:tcPr>
            <w:tcW w:w="872" w:type="pct"/>
            <w:tcBorders>
              <w:tl2br w:val="nil"/>
              <w:tr2bl w:val="nil"/>
            </w:tcBorders>
            <w:shd w:val="clear" w:color="auto" w:fill="auto"/>
            <w:noWrap/>
            <w:vAlign w:val="center"/>
          </w:tcPr>
          <w:p w14:paraId="14734A34">
            <w:pPr>
              <w:pStyle w:val="1111"/>
              <w:bidi w:val="0"/>
              <w:rPr>
                <w:rFonts w:hint="default"/>
                <w:lang w:val="en-US"/>
              </w:rPr>
            </w:pPr>
            <w:r>
              <w:rPr>
                <w:rFonts w:hint="eastAsia"/>
                <w:lang w:val="en-US" w:eastAsia="zh-CN"/>
              </w:rPr>
              <w:t>4904</w:t>
            </w:r>
          </w:p>
        </w:tc>
        <w:tc>
          <w:tcPr>
            <w:tcW w:w="612" w:type="pct"/>
            <w:tcBorders>
              <w:tl2br w:val="nil"/>
              <w:tr2bl w:val="nil"/>
            </w:tcBorders>
            <w:shd w:val="clear" w:color="auto" w:fill="auto"/>
            <w:noWrap/>
            <w:vAlign w:val="center"/>
          </w:tcPr>
          <w:p w14:paraId="7CBD3C89">
            <w:pPr>
              <w:pStyle w:val="1111"/>
              <w:bidi w:val="0"/>
              <w:rPr>
                <w:rFonts w:hint="eastAsia"/>
              </w:rPr>
            </w:pPr>
            <w:r>
              <w:rPr>
                <w:rFonts w:hint="eastAsia"/>
                <w:lang w:val="en-US" w:eastAsia="zh-CN"/>
              </w:rPr>
              <w:t>居民</w:t>
            </w:r>
          </w:p>
        </w:tc>
        <w:tc>
          <w:tcPr>
            <w:tcW w:w="599" w:type="pct"/>
            <w:tcBorders>
              <w:tl2br w:val="nil"/>
              <w:tr2bl w:val="nil"/>
            </w:tcBorders>
            <w:shd w:val="clear" w:color="auto" w:fill="auto"/>
            <w:vAlign w:val="center"/>
          </w:tcPr>
          <w:p w14:paraId="31727222">
            <w:pPr>
              <w:pStyle w:val="1111"/>
              <w:bidi w:val="0"/>
              <w:rPr>
                <w:rFonts w:hint="default"/>
              </w:rPr>
            </w:pPr>
            <w:r>
              <w:rPr>
                <w:rFonts w:hint="default"/>
                <w:lang w:val="en-US" w:eastAsia="zh-CN"/>
              </w:rPr>
              <w:t>2758</w:t>
            </w:r>
          </w:p>
        </w:tc>
      </w:tr>
      <w:tr w14:paraId="545831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5000" w:type="pct"/>
            <w:gridSpan w:val="7"/>
            <w:tcBorders>
              <w:tl2br w:val="nil"/>
              <w:tr2bl w:val="nil"/>
            </w:tcBorders>
            <w:shd w:val="clear" w:color="auto" w:fill="auto"/>
            <w:noWrap/>
            <w:vAlign w:val="center"/>
          </w:tcPr>
          <w:p w14:paraId="6492DB8B">
            <w:pPr>
              <w:pStyle w:val="1111"/>
              <w:bidi w:val="0"/>
              <w:rPr>
                <w:rFonts w:hint="default"/>
                <w:lang w:val="en-US" w:eastAsia="zh-CN"/>
              </w:rPr>
            </w:pPr>
            <w:r>
              <w:rPr>
                <w:rFonts w:hint="eastAsia"/>
                <w:lang w:val="en-US" w:eastAsia="zh-CN"/>
              </w:rPr>
              <w:t>厂址周边5km范围内</w:t>
            </w:r>
          </w:p>
        </w:tc>
      </w:tr>
      <w:tr w14:paraId="0975C4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4400" w:type="pct"/>
            <w:gridSpan w:val="6"/>
            <w:tcBorders>
              <w:tl2br w:val="nil"/>
              <w:tr2bl w:val="nil"/>
            </w:tcBorders>
            <w:shd w:val="clear" w:color="auto" w:fill="auto"/>
            <w:noWrap/>
            <w:vAlign w:val="center"/>
          </w:tcPr>
          <w:p w14:paraId="11722DF9">
            <w:pPr>
              <w:pStyle w:val="1111"/>
              <w:bidi w:val="0"/>
              <w:rPr>
                <w:rFonts w:hint="eastAsia"/>
                <w:lang w:val="en-US" w:eastAsia="zh-CN"/>
              </w:rPr>
            </w:pPr>
            <w:r>
              <w:t>厂址周边5km范围内人口数小计</w:t>
            </w:r>
          </w:p>
        </w:tc>
        <w:tc>
          <w:tcPr>
            <w:tcW w:w="599" w:type="pct"/>
            <w:tcBorders>
              <w:tl2br w:val="nil"/>
              <w:tr2bl w:val="nil"/>
            </w:tcBorders>
            <w:shd w:val="clear" w:color="auto" w:fill="auto"/>
            <w:vAlign w:val="center"/>
          </w:tcPr>
          <w:p w14:paraId="3C4E2706">
            <w:pPr>
              <w:pStyle w:val="1111"/>
              <w:bidi w:val="0"/>
              <w:rPr>
                <w:rFonts w:hint="default"/>
                <w:lang w:val="en-US" w:eastAsia="zh-CN"/>
              </w:rPr>
            </w:pPr>
            <w:r>
              <w:t>110915</w:t>
            </w:r>
          </w:p>
        </w:tc>
      </w:tr>
      <w:tr w14:paraId="1951DD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4400" w:type="pct"/>
            <w:gridSpan w:val="6"/>
            <w:tcBorders>
              <w:tl2br w:val="nil"/>
              <w:tr2bl w:val="nil"/>
            </w:tcBorders>
            <w:shd w:val="clear" w:color="auto" w:fill="auto"/>
            <w:noWrap/>
            <w:vAlign w:val="center"/>
          </w:tcPr>
          <w:p w14:paraId="00D5A8BC">
            <w:pPr>
              <w:pStyle w:val="1111"/>
              <w:bidi w:val="0"/>
              <w:rPr>
                <w:rFonts w:hint="eastAsia"/>
                <w:lang w:val="en-US" w:eastAsia="zh-CN"/>
              </w:rPr>
            </w:pPr>
            <w:r>
              <w:t>厂址周边500m范围内人口数小计</w:t>
            </w:r>
          </w:p>
        </w:tc>
        <w:tc>
          <w:tcPr>
            <w:tcW w:w="599" w:type="pct"/>
            <w:tcBorders>
              <w:tl2br w:val="nil"/>
              <w:tr2bl w:val="nil"/>
            </w:tcBorders>
            <w:shd w:val="clear" w:color="auto" w:fill="auto"/>
            <w:vAlign w:val="center"/>
          </w:tcPr>
          <w:p w14:paraId="457093FA">
            <w:pPr>
              <w:pStyle w:val="1111"/>
              <w:bidi w:val="0"/>
              <w:rPr>
                <w:rFonts w:hint="default"/>
                <w:lang w:val="en-US" w:eastAsia="zh-CN"/>
              </w:rPr>
            </w:pPr>
            <w:r>
              <w:rPr>
                <w:rFonts w:hint="eastAsia"/>
                <w:lang w:val="en-US" w:eastAsia="zh-CN"/>
              </w:rPr>
              <w:t>50</w:t>
            </w:r>
          </w:p>
        </w:tc>
      </w:tr>
      <w:tr w14:paraId="502706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4400" w:type="pct"/>
            <w:gridSpan w:val="6"/>
            <w:tcBorders>
              <w:tl2br w:val="nil"/>
              <w:tr2bl w:val="nil"/>
            </w:tcBorders>
            <w:shd w:val="clear" w:color="auto" w:fill="auto"/>
            <w:noWrap/>
            <w:vAlign w:val="center"/>
          </w:tcPr>
          <w:p w14:paraId="2836A4DD">
            <w:pPr>
              <w:pStyle w:val="1111"/>
              <w:bidi w:val="0"/>
              <w:rPr>
                <w:rFonts w:hint="eastAsia"/>
                <w:lang w:val="en-US" w:eastAsia="zh-CN"/>
              </w:rPr>
            </w:pPr>
            <w:r>
              <w:t>大气环境敏感程度E值</w:t>
            </w:r>
          </w:p>
        </w:tc>
        <w:tc>
          <w:tcPr>
            <w:tcW w:w="599" w:type="pct"/>
            <w:tcBorders>
              <w:tl2br w:val="nil"/>
              <w:tr2bl w:val="nil"/>
            </w:tcBorders>
            <w:shd w:val="clear" w:color="auto" w:fill="auto"/>
            <w:vAlign w:val="center"/>
          </w:tcPr>
          <w:p w14:paraId="1AC50E72">
            <w:pPr>
              <w:pStyle w:val="1111"/>
              <w:bidi w:val="0"/>
              <w:rPr>
                <w:rFonts w:hint="default"/>
                <w:lang w:val="en-US" w:eastAsia="zh-CN"/>
              </w:rPr>
            </w:pPr>
            <w:r>
              <w:t>E1</w:t>
            </w:r>
          </w:p>
        </w:tc>
      </w:tr>
      <w:tr w14:paraId="685C61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restart"/>
            <w:tcBorders>
              <w:tl2br w:val="nil"/>
              <w:tr2bl w:val="nil"/>
            </w:tcBorders>
            <w:shd w:val="clear" w:color="auto" w:fill="auto"/>
            <w:noWrap/>
            <w:vAlign w:val="center"/>
          </w:tcPr>
          <w:p w14:paraId="0212CEDC">
            <w:pPr>
              <w:pStyle w:val="1111"/>
              <w:bidi w:val="0"/>
              <w:rPr>
                <w:rFonts w:hint="eastAsia"/>
                <w:lang w:val="en-US" w:eastAsia="zh-CN"/>
              </w:rPr>
            </w:pPr>
            <w:r>
              <w:rPr>
                <w:rFonts w:hint="eastAsia"/>
                <w:lang w:val="en-US" w:eastAsia="zh-CN"/>
              </w:rPr>
              <w:t>地表水</w:t>
            </w:r>
          </w:p>
        </w:tc>
        <w:tc>
          <w:tcPr>
            <w:tcW w:w="4653" w:type="pct"/>
            <w:gridSpan w:val="6"/>
            <w:tcBorders>
              <w:tl2br w:val="nil"/>
              <w:tr2bl w:val="nil"/>
            </w:tcBorders>
            <w:shd w:val="clear" w:color="auto" w:fill="auto"/>
            <w:noWrap/>
            <w:vAlign w:val="center"/>
          </w:tcPr>
          <w:p w14:paraId="46647F95">
            <w:pPr>
              <w:pStyle w:val="1111"/>
              <w:bidi w:val="0"/>
              <w:rPr>
                <w:rFonts w:hint="default"/>
                <w:lang w:val="en-US" w:eastAsia="zh-CN"/>
              </w:rPr>
            </w:pPr>
            <w:r>
              <w:rPr>
                <w:rFonts w:hint="eastAsia"/>
                <w:lang w:val="en-US" w:eastAsia="zh-CN"/>
              </w:rPr>
              <w:t>受纳水体</w:t>
            </w:r>
          </w:p>
        </w:tc>
      </w:tr>
      <w:tr w14:paraId="60930E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53DBAB44">
            <w:pPr>
              <w:pStyle w:val="1111"/>
              <w:bidi w:val="0"/>
              <w:rPr>
                <w:rFonts w:hint="eastAsia"/>
                <w:lang w:val="en-US" w:eastAsia="zh-CN"/>
              </w:rPr>
            </w:pPr>
          </w:p>
        </w:tc>
        <w:tc>
          <w:tcPr>
            <w:tcW w:w="345" w:type="pct"/>
            <w:tcBorders>
              <w:tl2br w:val="nil"/>
              <w:tr2bl w:val="nil"/>
            </w:tcBorders>
            <w:shd w:val="clear" w:color="auto" w:fill="auto"/>
            <w:noWrap/>
            <w:vAlign w:val="center"/>
          </w:tcPr>
          <w:p w14:paraId="2FE7B213">
            <w:pPr>
              <w:pStyle w:val="1111"/>
              <w:bidi w:val="0"/>
              <w:rPr>
                <w:rFonts w:hint="eastAsia"/>
                <w:lang w:val="en-US" w:eastAsia="zh-CN"/>
              </w:rPr>
            </w:pPr>
            <w:r>
              <w:rPr>
                <w:rFonts w:hint="eastAsia"/>
                <w:lang w:val="en-US" w:eastAsia="zh-CN"/>
              </w:rPr>
              <w:t>序号</w:t>
            </w:r>
          </w:p>
        </w:tc>
        <w:tc>
          <w:tcPr>
            <w:tcW w:w="2223" w:type="pct"/>
            <w:gridSpan w:val="2"/>
            <w:tcBorders>
              <w:tl2br w:val="nil"/>
              <w:tr2bl w:val="nil"/>
            </w:tcBorders>
            <w:shd w:val="clear" w:color="auto" w:fill="auto"/>
            <w:noWrap/>
            <w:vAlign w:val="center"/>
          </w:tcPr>
          <w:p w14:paraId="30BAA7BD">
            <w:pPr>
              <w:pStyle w:val="1111"/>
              <w:bidi w:val="0"/>
              <w:rPr>
                <w:rFonts w:hint="eastAsia"/>
                <w:lang w:val="en-US" w:eastAsia="zh-CN"/>
              </w:rPr>
            </w:pPr>
            <w:r>
              <w:rPr>
                <w:rFonts w:hint="eastAsia"/>
                <w:lang w:val="en-US" w:eastAsia="zh-CN"/>
              </w:rPr>
              <w:t>受纳水体名称</w:t>
            </w:r>
          </w:p>
        </w:tc>
        <w:tc>
          <w:tcPr>
            <w:tcW w:w="872" w:type="pct"/>
            <w:tcBorders>
              <w:tl2br w:val="nil"/>
              <w:tr2bl w:val="nil"/>
            </w:tcBorders>
            <w:shd w:val="clear" w:color="auto" w:fill="auto"/>
            <w:noWrap/>
            <w:vAlign w:val="center"/>
          </w:tcPr>
          <w:p w14:paraId="740E15C3">
            <w:pPr>
              <w:pStyle w:val="1111"/>
              <w:bidi w:val="0"/>
              <w:rPr>
                <w:rFonts w:hint="eastAsia"/>
                <w:lang w:val="en-US" w:eastAsia="zh-CN"/>
              </w:rPr>
            </w:pPr>
            <w:r>
              <w:rPr>
                <w:rFonts w:hint="eastAsia"/>
                <w:lang w:val="en-US" w:eastAsia="zh-CN"/>
              </w:rPr>
              <w:t>排放点水域功能</w:t>
            </w:r>
          </w:p>
        </w:tc>
        <w:tc>
          <w:tcPr>
            <w:tcW w:w="1212" w:type="pct"/>
            <w:gridSpan w:val="2"/>
            <w:tcBorders>
              <w:tl2br w:val="nil"/>
              <w:tr2bl w:val="nil"/>
            </w:tcBorders>
            <w:shd w:val="clear" w:color="auto" w:fill="auto"/>
            <w:noWrap/>
            <w:vAlign w:val="center"/>
          </w:tcPr>
          <w:p w14:paraId="412973ED">
            <w:pPr>
              <w:pStyle w:val="1111"/>
              <w:bidi w:val="0"/>
              <w:rPr>
                <w:rFonts w:hint="default"/>
                <w:lang w:val="en-US" w:eastAsia="zh-CN"/>
              </w:rPr>
            </w:pPr>
            <w:r>
              <w:rPr>
                <w:rFonts w:hint="eastAsia"/>
                <w:lang w:val="en-US" w:eastAsia="zh-CN"/>
              </w:rPr>
              <w:t>24h内流经范围</w:t>
            </w:r>
          </w:p>
        </w:tc>
      </w:tr>
      <w:tr w14:paraId="5EB891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3EE1C547">
            <w:pPr>
              <w:pStyle w:val="1111"/>
              <w:bidi w:val="0"/>
              <w:rPr>
                <w:rFonts w:hint="eastAsia"/>
                <w:lang w:val="en-US" w:eastAsia="zh-CN"/>
              </w:rPr>
            </w:pPr>
          </w:p>
        </w:tc>
        <w:tc>
          <w:tcPr>
            <w:tcW w:w="345" w:type="pct"/>
            <w:tcBorders>
              <w:tl2br w:val="nil"/>
              <w:tr2bl w:val="nil"/>
            </w:tcBorders>
            <w:shd w:val="clear" w:color="auto" w:fill="auto"/>
            <w:noWrap/>
            <w:vAlign w:val="center"/>
          </w:tcPr>
          <w:p w14:paraId="7C086DA1">
            <w:pPr>
              <w:pStyle w:val="1111"/>
              <w:bidi w:val="0"/>
              <w:rPr>
                <w:rFonts w:hint="default"/>
                <w:lang w:val="en-US" w:eastAsia="zh-CN"/>
              </w:rPr>
            </w:pPr>
            <w:r>
              <w:rPr>
                <w:rFonts w:hint="eastAsia"/>
                <w:lang w:val="en-US" w:eastAsia="zh-CN"/>
              </w:rPr>
              <w:t>1</w:t>
            </w:r>
          </w:p>
        </w:tc>
        <w:tc>
          <w:tcPr>
            <w:tcW w:w="2223" w:type="pct"/>
            <w:gridSpan w:val="2"/>
            <w:tcBorders>
              <w:tl2br w:val="nil"/>
              <w:tr2bl w:val="nil"/>
            </w:tcBorders>
            <w:shd w:val="clear" w:color="auto" w:fill="auto"/>
            <w:noWrap/>
            <w:vAlign w:val="center"/>
          </w:tcPr>
          <w:p w14:paraId="428FD8B0">
            <w:pPr>
              <w:pStyle w:val="1111"/>
              <w:bidi w:val="0"/>
              <w:rPr>
                <w:rFonts w:hint="eastAsia"/>
                <w:lang w:val="en-US" w:eastAsia="zh-CN"/>
              </w:rPr>
            </w:pPr>
            <w:r>
              <w:t>大浦河排污通道</w:t>
            </w:r>
          </w:p>
        </w:tc>
        <w:tc>
          <w:tcPr>
            <w:tcW w:w="872" w:type="pct"/>
            <w:tcBorders>
              <w:tl2br w:val="nil"/>
              <w:tr2bl w:val="nil"/>
            </w:tcBorders>
            <w:shd w:val="clear" w:color="auto" w:fill="auto"/>
            <w:noWrap/>
            <w:vAlign w:val="center"/>
          </w:tcPr>
          <w:p w14:paraId="6B40523F">
            <w:pPr>
              <w:pStyle w:val="1111"/>
              <w:bidi w:val="0"/>
              <w:rPr>
                <w:rFonts w:hint="eastAsia"/>
                <w:lang w:val="en-US" w:eastAsia="zh-CN"/>
              </w:rPr>
            </w:pPr>
            <w:r>
              <w:rPr>
                <w:rFonts w:hint="eastAsia"/>
              </w:rPr>
              <w:t>Ⅲ</w:t>
            </w:r>
            <w:r>
              <w:t>类</w:t>
            </w:r>
          </w:p>
        </w:tc>
        <w:tc>
          <w:tcPr>
            <w:tcW w:w="1212" w:type="pct"/>
            <w:gridSpan w:val="2"/>
            <w:tcBorders>
              <w:tl2br w:val="nil"/>
              <w:tr2bl w:val="nil"/>
            </w:tcBorders>
            <w:shd w:val="clear" w:color="auto" w:fill="auto"/>
            <w:noWrap/>
            <w:vAlign w:val="center"/>
          </w:tcPr>
          <w:p w14:paraId="0C8D0098">
            <w:pPr>
              <w:pStyle w:val="1111"/>
              <w:bidi w:val="0"/>
              <w:rPr>
                <w:rFonts w:hint="eastAsia"/>
                <w:lang w:val="en-US" w:eastAsia="zh-CN"/>
              </w:rPr>
            </w:pPr>
            <w:r>
              <w:rPr>
                <w:rFonts w:hint="eastAsia"/>
                <w:lang w:val="en-US" w:eastAsia="zh-CN"/>
              </w:rPr>
              <w:t>其他</w:t>
            </w:r>
          </w:p>
        </w:tc>
      </w:tr>
      <w:tr w14:paraId="5162B0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3705B4FB">
            <w:pPr>
              <w:pStyle w:val="1111"/>
              <w:bidi w:val="0"/>
              <w:rPr>
                <w:rFonts w:hint="eastAsia"/>
                <w:lang w:val="en-US" w:eastAsia="zh-CN"/>
              </w:rPr>
            </w:pPr>
          </w:p>
        </w:tc>
        <w:tc>
          <w:tcPr>
            <w:tcW w:w="4653" w:type="pct"/>
            <w:gridSpan w:val="6"/>
            <w:tcBorders>
              <w:tl2br w:val="nil"/>
              <w:tr2bl w:val="nil"/>
            </w:tcBorders>
            <w:shd w:val="clear" w:color="auto" w:fill="auto"/>
            <w:noWrap/>
            <w:vAlign w:val="center"/>
          </w:tcPr>
          <w:p w14:paraId="44B88194">
            <w:pPr>
              <w:pStyle w:val="1111"/>
              <w:bidi w:val="0"/>
              <w:rPr>
                <w:rFonts w:hint="eastAsia"/>
                <w:lang w:val="en-US" w:eastAsia="zh-CN"/>
              </w:rPr>
            </w:pPr>
            <w:r>
              <w:t>内陆水体的排放点下游10km（近岸海域一个潮周期最大水平距离两倍）范围内敏感目标</w:t>
            </w:r>
          </w:p>
        </w:tc>
      </w:tr>
      <w:tr w14:paraId="17D150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32C2111D">
            <w:pPr>
              <w:pStyle w:val="1111"/>
              <w:bidi w:val="0"/>
              <w:rPr>
                <w:rFonts w:hint="eastAsia"/>
                <w:lang w:val="en-US" w:eastAsia="zh-CN"/>
              </w:rPr>
            </w:pPr>
          </w:p>
        </w:tc>
        <w:tc>
          <w:tcPr>
            <w:tcW w:w="345" w:type="pct"/>
            <w:tcBorders>
              <w:tl2br w:val="nil"/>
              <w:tr2bl w:val="nil"/>
            </w:tcBorders>
            <w:shd w:val="clear" w:color="auto" w:fill="auto"/>
            <w:noWrap/>
            <w:vAlign w:val="center"/>
          </w:tcPr>
          <w:p w14:paraId="5A64F5C8">
            <w:pPr>
              <w:pStyle w:val="1111"/>
              <w:bidi w:val="0"/>
              <w:rPr>
                <w:rFonts w:hint="eastAsia"/>
                <w:lang w:val="en-US" w:eastAsia="zh-CN"/>
              </w:rPr>
            </w:pPr>
            <w:r>
              <w:t>序号</w:t>
            </w:r>
          </w:p>
        </w:tc>
        <w:tc>
          <w:tcPr>
            <w:tcW w:w="2223" w:type="pct"/>
            <w:gridSpan w:val="2"/>
            <w:tcBorders>
              <w:tl2br w:val="nil"/>
              <w:tr2bl w:val="nil"/>
            </w:tcBorders>
            <w:shd w:val="clear" w:color="auto" w:fill="auto"/>
            <w:noWrap/>
            <w:vAlign w:val="center"/>
          </w:tcPr>
          <w:p w14:paraId="32ECC014">
            <w:pPr>
              <w:pStyle w:val="1111"/>
              <w:bidi w:val="0"/>
              <w:rPr>
                <w:rFonts w:hint="eastAsia"/>
                <w:lang w:val="en-US" w:eastAsia="zh-CN"/>
              </w:rPr>
            </w:pPr>
            <w:r>
              <w:t>敏感目标名称</w:t>
            </w:r>
          </w:p>
        </w:tc>
        <w:tc>
          <w:tcPr>
            <w:tcW w:w="872" w:type="pct"/>
            <w:tcBorders>
              <w:tl2br w:val="nil"/>
              <w:tr2bl w:val="nil"/>
            </w:tcBorders>
            <w:shd w:val="clear" w:color="auto" w:fill="auto"/>
            <w:noWrap/>
            <w:vAlign w:val="center"/>
          </w:tcPr>
          <w:p w14:paraId="55EBB02F">
            <w:pPr>
              <w:pStyle w:val="1111"/>
              <w:bidi w:val="0"/>
              <w:rPr>
                <w:rFonts w:hint="eastAsia"/>
                <w:lang w:val="en-US" w:eastAsia="zh-CN"/>
              </w:rPr>
            </w:pPr>
            <w:r>
              <w:t>环境敏感特征</w:t>
            </w:r>
          </w:p>
        </w:tc>
        <w:tc>
          <w:tcPr>
            <w:tcW w:w="612" w:type="pct"/>
            <w:tcBorders>
              <w:tl2br w:val="nil"/>
              <w:tr2bl w:val="nil"/>
            </w:tcBorders>
            <w:shd w:val="clear" w:color="auto" w:fill="auto"/>
            <w:noWrap/>
            <w:vAlign w:val="center"/>
          </w:tcPr>
          <w:p w14:paraId="5D6F24BF">
            <w:pPr>
              <w:pStyle w:val="1111"/>
              <w:bidi w:val="0"/>
              <w:rPr>
                <w:rFonts w:hint="eastAsia"/>
                <w:lang w:val="en-US" w:eastAsia="zh-CN"/>
              </w:rPr>
            </w:pPr>
            <w:r>
              <w:t>目标水质</w:t>
            </w:r>
          </w:p>
        </w:tc>
        <w:tc>
          <w:tcPr>
            <w:tcW w:w="599" w:type="pct"/>
            <w:tcBorders>
              <w:tl2br w:val="nil"/>
              <w:tr2bl w:val="nil"/>
            </w:tcBorders>
            <w:shd w:val="clear" w:color="auto" w:fill="auto"/>
            <w:vAlign w:val="center"/>
          </w:tcPr>
          <w:p w14:paraId="25AD5644">
            <w:pPr>
              <w:pStyle w:val="1111"/>
              <w:bidi w:val="0"/>
              <w:rPr>
                <w:rFonts w:hint="default"/>
                <w:lang w:val="en-US" w:eastAsia="zh-CN"/>
              </w:rPr>
            </w:pPr>
            <w:r>
              <w:t>与排放点距离/m</w:t>
            </w:r>
          </w:p>
        </w:tc>
      </w:tr>
      <w:tr w14:paraId="6C1B7B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6FB18647">
            <w:pPr>
              <w:pStyle w:val="1111"/>
              <w:bidi w:val="0"/>
              <w:rPr>
                <w:rFonts w:hint="eastAsia"/>
                <w:lang w:val="en-US" w:eastAsia="zh-CN"/>
              </w:rPr>
            </w:pPr>
          </w:p>
        </w:tc>
        <w:tc>
          <w:tcPr>
            <w:tcW w:w="345" w:type="pct"/>
            <w:tcBorders>
              <w:tl2br w:val="nil"/>
              <w:tr2bl w:val="nil"/>
            </w:tcBorders>
            <w:shd w:val="clear" w:color="auto" w:fill="auto"/>
            <w:noWrap/>
            <w:vAlign w:val="center"/>
          </w:tcPr>
          <w:p w14:paraId="5470DC84">
            <w:pPr>
              <w:pStyle w:val="1111"/>
              <w:bidi w:val="0"/>
              <w:rPr>
                <w:rFonts w:hint="eastAsia"/>
                <w:lang w:val="en-US" w:eastAsia="zh-CN"/>
              </w:rPr>
            </w:pPr>
            <w:r>
              <w:rPr>
                <w:rFonts w:hint="eastAsia"/>
                <w:lang w:val="en-US" w:eastAsia="zh-CN"/>
              </w:rPr>
              <w:t>1</w:t>
            </w:r>
          </w:p>
        </w:tc>
        <w:tc>
          <w:tcPr>
            <w:tcW w:w="2223" w:type="pct"/>
            <w:gridSpan w:val="2"/>
            <w:tcBorders>
              <w:tl2br w:val="nil"/>
              <w:tr2bl w:val="nil"/>
            </w:tcBorders>
            <w:shd w:val="clear" w:color="auto" w:fill="auto"/>
            <w:noWrap/>
            <w:vAlign w:val="center"/>
          </w:tcPr>
          <w:p w14:paraId="5F6D328F">
            <w:pPr>
              <w:pStyle w:val="1111"/>
              <w:bidi w:val="0"/>
              <w:rPr>
                <w:rFonts w:hint="eastAsia"/>
                <w:lang w:eastAsia="zh-CN"/>
              </w:rPr>
            </w:pPr>
            <w:r>
              <w:rPr>
                <w:rFonts w:hint="eastAsia"/>
                <w:lang w:eastAsia="zh-CN"/>
              </w:rPr>
              <w:t>连云港临洪河口省级湿地公园</w:t>
            </w:r>
          </w:p>
        </w:tc>
        <w:tc>
          <w:tcPr>
            <w:tcW w:w="872" w:type="pct"/>
            <w:tcBorders>
              <w:tl2br w:val="nil"/>
              <w:tr2bl w:val="nil"/>
            </w:tcBorders>
            <w:shd w:val="clear" w:color="auto" w:fill="auto"/>
            <w:noWrap/>
            <w:vAlign w:val="center"/>
          </w:tcPr>
          <w:p w14:paraId="01361F29">
            <w:pPr>
              <w:pStyle w:val="1111"/>
              <w:bidi w:val="0"/>
            </w:pPr>
            <w:r>
              <w:rPr>
                <w:rFonts w:hint="eastAsia"/>
                <w:lang w:val="en-US" w:eastAsia="zh-CN"/>
              </w:rPr>
              <w:t>湿地公园的湿地保育区和恢复重建区</w:t>
            </w:r>
          </w:p>
        </w:tc>
        <w:tc>
          <w:tcPr>
            <w:tcW w:w="612" w:type="pct"/>
            <w:tcBorders>
              <w:tl2br w:val="nil"/>
              <w:tr2bl w:val="nil"/>
            </w:tcBorders>
            <w:shd w:val="clear" w:color="auto" w:fill="auto"/>
            <w:noWrap/>
            <w:vAlign w:val="center"/>
          </w:tcPr>
          <w:p w14:paraId="411BB39B">
            <w:pPr>
              <w:pStyle w:val="1111"/>
              <w:bidi w:val="0"/>
              <w:rPr>
                <w:rFonts w:hint="eastAsia"/>
                <w:lang w:val="en-US" w:eastAsia="zh-CN"/>
              </w:rPr>
            </w:pPr>
            <w:r>
              <w:rPr>
                <w:rFonts w:hint="eastAsia"/>
                <w:lang w:val="en-US" w:eastAsia="zh-CN"/>
              </w:rPr>
              <w:t>/</w:t>
            </w:r>
          </w:p>
        </w:tc>
        <w:tc>
          <w:tcPr>
            <w:tcW w:w="599" w:type="pct"/>
            <w:tcBorders>
              <w:tl2br w:val="nil"/>
              <w:tr2bl w:val="nil"/>
            </w:tcBorders>
            <w:shd w:val="clear" w:color="auto" w:fill="auto"/>
            <w:vAlign w:val="center"/>
          </w:tcPr>
          <w:p w14:paraId="036CBAF0">
            <w:pPr>
              <w:pStyle w:val="1111"/>
              <w:bidi w:val="0"/>
              <w:rPr>
                <w:rFonts w:hint="default"/>
                <w:lang w:val="en-US" w:eastAsia="zh-CN"/>
              </w:rPr>
            </w:pPr>
            <w:r>
              <w:rPr>
                <w:rFonts w:hint="eastAsia"/>
                <w:lang w:val="en-US" w:eastAsia="zh-CN"/>
              </w:rPr>
              <w:t>7086</w:t>
            </w:r>
          </w:p>
        </w:tc>
      </w:tr>
      <w:tr w14:paraId="19DB57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trPr>
        <w:tc>
          <w:tcPr>
            <w:tcW w:w="346" w:type="pct"/>
            <w:vMerge w:val="continue"/>
            <w:tcBorders>
              <w:tl2br w:val="nil"/>
              <w:tr2bl w:val="nil"/>
            </w:tcBorders>
            <w:shd w:val="clear" w:color="auto" w:fill="auto"/>
            <w:noWrap/>
            <w:vAlign w:val="center"/>
          </w:tcPr>
          <w:p w14:paraId="4F547DC5">
            <w:pPr>
              <w:pStyle w:val="1111"/>
              <w:bidi w:val="0"/>
              <w:rPr>
                <w:rFonts w:hint="eastAsia"/>
                <w:lang w:val="en-US" w:eastAsia="zh-CN"/>
              </w:rPr>
            </w:pPr>
          </w:p>
        </w:tc>
        <w:tc>
          <w:tcPr>
            <w:tcW w:w="345" w:type="pct"/>
            <w:tcBorders>
              <w:tl2br w:val="nil"/>
              <w:tr2bl w:val="nil"/>
            </w:tcBorders>
            <w:shd w:val="clear" w:color="auto" w:fill="auto"/>
            <w:noWrap/>
            <w:vAlign w:val="center"/>
          </w:tcPr>
          <w:p w14:paraId="7DE57423">
            <w:pPr>
              <w:pStyle w:val="1111"/>
              <w:bidi w:val="0"/>
              <w:rPr>
                <w:rFonts w:hint="eastAsia"/>
                <w:lang w:val="en-US" w:eastAsia="zh-CN"/>
              </w:rPr>
            </w:pPr>
            <w:r>
              <w:rPr>
                <w:rFonts w:hint="eastAsia"/>
                <w:lang w:val="en-US" w:eastAsia="zh-CN"/>
              </w:rPr>
              <w:t>2</w:t>
            </w:r>
          </w:p>
        </w:tc>
        <w:tc>
          <w:tcPr>
            <w:tcW w:w="2223" w:type="pct"/>
            <w:gridSpan w:val="2"/>
            <w:tcBorders>
              <w:tl2br w:val="nil"/>
              <w:tr2bl w:val="nil"/>
            </w:tcBorders>
            <w:shd w:val="clear" w:color="auto" w:fill="auto"/>
            <w:noWrap/>
            <w:vAlign w:val="center"/>
          </w:tcPr>
          <w:p w14:paraId="74EE794C">
            <w:pPr>
              <w:pStyle w:val="1111"/>
              <w:bidi w:val="0"/>
              <w:rPr>
                <w:rFonts w:hint="eastAsia"/>
                <w:lang w:eastAsia="zh-CN"/>
              </w:rPr>
            </w:pPr>
            <w:r>
              <w:rPr>
                <w:rFonts w:hint="eastAsia"/>
                <w:lang w:eastAsia="zh-CN"/>
              </w:rPr>
              <w:t>临洪河重要湿地</w:t>
            </w:r>
          </w:p>
        </w:tc>
        <w:tc>
          <w:tcPr>
            <w:tcW w:w="872" w:type="pct"/>
            <w:tcBorders>
              <w:tl2br w:val="nil"/>
              <w:tr2bl w:val="nil"/>
            </w:tcBorders>
            <w:shd w:val="clear" w:color="auto" w:fill="auto"/>
            <w:noWrap/>
            <w:vAlign w:val="center"/>
          </w:tcPr>
          <w:p w14:paraId="563C9F32">
            <w:pPr>
              <w:pStyle w:val="1111"/>
              <w:bidi w:val="0"/>
            </w:pPr>
            <w:r>
              <w:t>湿地生态系统保护</w:t>
            </w:r>
          </w:p>
        </w:tc>
        <w:tc>
          <w:tcPr>
            <w:tcW w:w="612" w:type="pct"/>
            <w:tcBorders>
              <w:tl2br w:val="nil"/>
              <w:tr2bl w:val="nil"/>
            </w:tcBorders>
            <w:shd w:val="clear" w:color="auto" w:fill="auto"/>
            <w:noWrap/>
            <w:vAlign w:val="center"/>
          </w:tcPr>
          <w:p w14:paraId="59644ADE">
            <w:pPr>
              <w:pStyle w:val="1111"/>
              <w:bidi w:val="0"/>
            </w:pPr>
            <w:r>
              <w:rPr>
                <w:rFonts w:hint="eastAsia"/>
                <w:lang w:val="en-US" w:eastAsia="zh-CN"/>
              </w:rPr>
              <w:t>/</w:t>
            </w:r>
          </w:p>
        </w:tc>
        <w:tc>
          <w:tcPr>
            <w:tcW w:w="599" w:type="pct"/>
            <w:tcBorders>
              <w:tl2br w:val="nil"/>
              <w:tr2bl w:val="nil"/>
            </w:tcBorders>
            <w:shd w:val="clear" w:color="auto" w:fill="auto"/>
            <w:vAlign w:val="center"/>
          </w:tcPr>
          <w:p w14:paraId="48356296">
            <w:pPr>
              <w:pStyle w:val="1111"/>
              <w:bidi w:val="0"/>
              <w:rPr>
                <w:rFonts w:hint="default"/>
                <w:lang w:val="en-US"/>
              </w:rPr>
            </w:pPr>
            <w:r>
              <w:rPr>
                <w:rFonts w:hint="eastAsia"/>
                <w:lang w:val="en-US" w:eastAsia="zh-CN"/>
              </w:rPr>
              <w:t>7014</w:t>
            </w:r>
          </w:p>
        </w:tc>
      </w:tr>
      <w:tr w14:paraId="6D3100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346" w:type="pct"/>
            <w:vMerge w:val="continue"/>
            <w:tcBorders>
              <w:tl2br w:val="nil"/>
              <w:tr2bl w:val="nil"/>
            </w:tcBorders>
            <w:shd w:val="clear" w:color="auto" w:fill="auto"/>
            <w:noWrap/>
            <w:vAlign w:val="center"/>
          </w:tcPr>
          <w:p w14:paraId="65CCFDE0">
            <w:pPr>
              <w:pStyle w:val="1111"/>
              <w:bidi w:val="0"/>
              <w:rPr>
                <w:rFonts w:hint="eastAsia"/>
                <w:lang w:val="en-US" w:eastAsia="zh-CN"/>
              </w:rPr>
            </w:pPr>
          </w:p>
        </w:tc>
        <w:tc>
          <w:tcPr>
            <w:tcW w:w="4053" w:type="pct"/>
            <w:gridSpan w:val="5"/>
            <w:tcBorders>
              <w:tl2br w:val="nil"/>
              <w:tr2bl w:val="nil"/>
            </w:tcBorders>
            <w:shd w:val="clear" w:color="auto" w:fill="auto"/>
            <w:noWrap/>
            <w:vAlign w:val="center"/>
          </w:tcPr>
          <w:p w14:paraId="269DC440">
            <w:pPr>
              <w:pStyle w:val="1111"/>
              <w:bidi w:val="0"/>
              <w:rPr>
                <w:rFonts w:hint="eastAsia"/>
                <w:lang w:val="en-US" w:eastAsia="zh-CN"/>
              </w:rPr>
            </w:pPr>
            <w:r>
              <w:t>地表水环境敏感程度E值</w:t>
            </w:r>
          </w:p>
        </w:tc>
        <w:tc>
          <w:tcPr>
            <w:tcW w:w="599" w:type="pct"/>
            <w:tcBorders>
              <w:tl2br w:val="nil"/>
              <w:tr2bl w:val="nil"/>
            </w:tcBorders>
            <w:shd w:val="clear" w:color="auto" w:fill="auto"/>
            <w:vAlign w:val="center"/>
          </w:tcPr>
          <w:p w14:paraId="0EE4868A">
            <w:pPr>
              <w:pStyle w:val="1111"/>
              <w:bidi w:val="0"/>
              <w:rPr>
                <w:rFonts w:hint="eastAsia"/>
                <w:lang w:val="en-US" w:eastAsia="zh-CN"/>
              </w:rPr>
            </w:pPr>
            <w:r>
              <w:t>E</w:t>
            </w:r>
            <w:r>
              <w:rPr>
                <w:rFonts w:hint="eastAsia"/>
                <w:lang w:val="en-US" w:eastAsia="zh-CN"/>
              </w:rPr>
              <w:t>1</w:t>
            </w:r>
          </w:p>
        </w:tc>
      </w:tr>
      <w:tr w14:paraId="6ED1D5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restart"/>
            <w:tcBorders>
              <w:tl2br w:val="nil"/>
              <w:tr2bl w:val="nil"/>
            </w:tcBorders>
            <w:shd w:val="clear" w:color="auto" w:fill="auto"/>
            <w:noWrap/>
            <w:vAlign w:val="center"/>
          </w:tcPr>
          <w:p w14:paraId="0F9C89D3">
            <w:pPr>
              <w:pStyle w:val="1111"/>
              <w:bidi w:val="0"/>
              <w:rPr>
                <w:rFonts w:hint="eastAsia"/>
                <w:lang w:val="en-US" w:eastAsia="zh-CN"/>
              </w:rPr>
            </w:pPr>
            <w:r>
              <w:rPr>
                <w:rFonts w:hint="eastAsia"/>
                <w:lang w:val="en-US" w:eastAsia="zh-CN"/>
              </w:rPr>
              <w:t>地下水</w:t>
            </w:r>
          </w:p>
        </w:tc>
        <w:tc>
          <w:tcPr>
            <w:tcW w:w="345" w:type="pct"/>
            <w:tcBorders>
              <w:tl2br w:val="nil"/>
              <w:tr2bl w:val="nil"/>
            </w:tcBorders>
            <w:shd w:val="clear" w:color="auto" w:fill="auto"/>
            <w:noWrap/>
            <w:vAlign w:val="center"/>
          </w:tcPr>
          <w:p w14:paraId="128243F0">
            <w:pPr>
              <w:pStyle w:val="1111"/>
              <w:bidi w:val="0"/>
              <w:rPr>
                <w:rFonts w:hint="eastAsia"/>
                <w:lang w:val="en-US" w:eastAsia="zh-CN"/>
              </w:rPr>
            </w:pPr>
            <w:r>
              <w:t>序号</w:t>
            </w:r>
          </w:p>
        </w:tc>
        <w:tc>
          <w:tcPr>
            <w:tcW w:w="1748" w:type="pct"/>
            <w:tcBorders>
              <w:tl2br w:val="nil"/>
              <w:tr2bl w:val="nil"/>
            </w:tcBorders>
            <w:shd w:val="clear" w:color="auto" w:fill="auto"/>
            <w:noWrap/>
            <w:vAlign w:val="center"/>
          </w:tcPr>
          <w:p w14:paraId="181A06BD">
            <w:pPr>
              <w:pStyle w:val="1111"/>
              <w:bidi w:val="0"/>
              <w:rPr>
                <w:rFonts w:hint="eastAsia"/>
                <w:lang w:val="en-US" w:eastAsia="zh-CN"/>
              </w:rPr>
            </w:pPr>
            <w:r>
              <w:t>敏感目标名称</w:t>
            </w:r>
          </w:p>
        </w:tc>
        <w:tc>
          <w:tcPr>
            <w:tcW w:w="474" w:type="pct"/>
            <w:tcBorders>
              <w:tl2br w:val="nil"/>
              <w:tr2bl w:val="nil"/>
            </w:tcBorders>
            <w:shd w:val="clear" w:color="auto" w:fill="auto"/>
            <w:noWrap/>
            <w:vAlign w:val="center"/>
          </w:tcPr>
          <w:p w14:paraId="122BA485">
            <w:pPr>
              <w:pStyle w:val="1111"/>
              <w:bidi w:val="0"/>
              <w:rPr>
                <w:rFonts w:hint="eastAsia"/>
                <w:lang w:val="en-US" w:eastAsia="zh-CN"/>
              </w:rPr>
            </w:pPr>
            <w:r>
              <w:t>敏感特征</w:t>
            </w:r>
          </w:p>
        </w:tc>
        <w:tc>
          <w:tcPr>
            <w:tcW w:w="872" w:type="pct"/>
            <w:tcBorders>
              <w:tl2br w:val="nil"/>
              <w:tr2bl w:val="nil"/>
            </w:tcBorders>
            <w:shd w:val="clear" w:color="auto" w:fill="auto"/>
            <w:noWrap/>
            <w:vAlign w:val="center"/>
          </w:tcPr>
          <w:p w14:paraId="65452BDD">
            <w:pPr>
              <w:pStyle w:val="1111"/>
              <w:bidi w:val="0"/>
              <w:rPr>
                <w:rFonts w:hint="eastAsia"/>
                <w:lang w:val="en-US" w:eastAsia="zh-CN"/>
              </w:rPr>
            </w:pPr>
            <w:r>
              <w:t>目标水质</w:t>
            </w:r>
          </w:p>
        </w:tc>
        <w:tc>
          <w:tcPr>
            <w:tcW w:w="612" w:type="pct"/>
            <w:tcBorders>
              <w:tl2br w:val="nil"/>
              <w:tr2bl w:val="nil"/>
            </w:tcBorders>
            <w:shd w:val="clear" w:color="auto" w:fill="auto"/>
            <w:noWrap/>
            <w:vAlign w:val="center"/>
          </w:tcPr>
          <w:p w14:paraId="2A620A81">
            <w:pPr>
              <w:pStyle w:val="1111"/>
              <w:bidi w:val="0"/>
              <w:rPr>
                <w:rFonts w:hint="eastAsia"/>
                <w:lang w:val="en-US" w:eastAsia="zh-CN"/>
              </w:rPr>
            </w:pPr>
            <w:r>
              <w:t>包气带防污性能</w:t>
            </w:r>
          </w:p>
        </w:tc>
        <w:tc>
          <w:tcPr>
            <w:tcW w:w="599" w:type="pct"/>
            <w:tcBorders>
              <w:tl2br w:val="nil"/>
              <w:tr2bl w:val="nil"/>
            </w:tcBorders>
            <w:shd w:val="clear" w:color="auto" w:fill="auto"/>
            <w:vAlign w:val="center"/>
          </w:tcPr>
          <w:p w14:paraId="5F1BF6D6">
            <w:pPr>
              <w:pStyle w:val="1111"/>
              <w:bidi w:val="0"/>
              <w:rPr>
                <w:rFonts w:hint="default"/>
                <w:lang w:val="en-US" w:eastAsia="zh-CN"/>
              </w:rPr>
            </w:pPr>
            <w:r>
              <w:t>与下游厂界距离/m</w:t>
            </w:r>
          </w:p>
        </w:tc>
      </w:tr>
      <w:tr w14:paraId="4265F4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2C3405AD">
            <w:pPr>
              <w:pStyle w:val="1111"/>
              <w:bidi w:val="0"/>
              <w:rPr>
                <w:rFonts w:hint="eastAsia"/>
                <w:lang w:val="en-US" w:eastAsia="zh-CN"/>
              </w:rPr>
            </w:pPr>
          </w:p>
        </w:tc>
        <w:tc>
          <w:tcPr>
            <w:tcW w:w="345" w:type="pct"/>
            <w:tcBorders>
              <w:tl2br w:val="nil"/>
              <w:tr2bl w:val="nil"/>
            </w:tcBorders>
            <w:shd w:val="clear" w:color="auto" w:fill="auto"/>
            <w:noWrap/>
            <w:vAlign w:val="center"/>
          </w:tcPr>
          <w:p w14:paraId="23EB17F7">
            <w:pPr>
              <w:pStyle w:val="1111"/>
              <w:bidi w:val="0"/>
              <w:rPr>
                <w:rFonts w:hint="eastAsia"/>
                <w:lang w:val="en-US" w:eastAsia="zh-CN"/>
              </w:rPr>
            </w:pPr>
            <w:r>
              <w:t>1</w:t>
            </w:r>
          </w:p>
        </w:tc>
        <w:tc>
          <w:tcPr>
            <w:tcW w:w="1748" w:type="pct"/>
            <w:tcBorders>
              <w:tl2br w:val="nil"/>
              <w:tr2bl w:val="nil"/>
            </w:tcBorders>
            <w:shd w:val="clear" w:color="auto" w:fill="auto"/>
            <w:noWrap/>
            <w:vAlign w:val="center"/>
          </w:tcPr>
          <w:p w14:paraId="1C269111">
            <w:pPr>
              <w:pStyle w:val="1111"/>
              <w:bidi w:val="0"/>
              <w:rPr>
                <w:rFonts w:hint="eastAsia"/>
                <w:lang w:val="en-US" w:eastAsia="zh-CN"/>
              </w:rPr>
            </w:pPr>
            <w:r>
              <w:t>无</w:t>
            </w:r>
          </w:p>
        </w:tc>
        <w:tc>
          <w:tcPr>
            <w:tcW w:w="474" w:type="pct"/>
            <w:tcBorders>
              <w:tl2br w:val="nil"/>
              <w:tr2bl w:val="nil"/>
            </w:tcBorders>
            <w:shd w:val="clear" w:color="auto" w:fill="auto"/>
            <w:noWrap/>
            <w:vAlign w:val="center"/>
          </w:tcPr>
          <w:p w14:paraId="3FF4AB11">
            <w:pPr>
              <w:pStyle w:val="1111"/>
              <w:bidi w:val="0"/>
              <w:rPr>
                <w:rFonts w:hint="eastAsia"/>
                <w:lang w:val="en-US" w:eastAsia="zh-CN"/>
              </w:rPr>
            </w:pPr>
            <w:r>
              <w:t>无</w:t>
            </w:r>
          </w:p>
        </w:tc>
        <w:tc>
          <w:tcPr>
            <w:tcW w:w="872" w:type="pct"/>
            <w:tcBorders>
              <w:tl2br w:val="nil"/>
              <w:tr2bl w:val="nil"/>
            </w:tcBorders>
            <w:shd w:val="clear" w:color="auto" w:fill="auto"/>
            <w:noWrap/>
            <w:vAlign w:val="center"/>
          </w:tcPr>
          <w:p w14:paraId="29A747F7">
            <w:pPr>
              <w:pStyle w:val="1111"/>
              <w:bidi w:val="0"/>
              <w:rPr>
                <w:rFonts w:hint="eastAsia"/>
                <w:lang w:val="en-US" w:eastAsia="zh-CN"/>
              </w:rPr>
            </w:pPr>
            <w:r>
              <w:t>无</w:t>
            </w:r>
          </w:p>
        </w:tc>
        <w:tc>
          <w:tcPr>
            <w:tcW w:w="612" w:type="pct"/>
            <w:tcBorders>
              <w:tl2br w:val="nil"/>
              <w:tr2bl w:val="nil"/>
            </w:tcBorders>
            <w:shd w:val="clear" w:color="auto" w:fill="auto"/>
            <w:noWrap/>
            <w:vAlign w:val="center"/>
          </w:tcPr>
          <w:p w14:paraId="7E1A319F">
            <w:pPr>
              <w:pStyle w:val="1111"/>
              <w:bidi w:val="0"/>
              <w:rPr>
                <w:rFonts w:hint="eastAsia"/>
                <w:lang w:val="en-US" w:eastAsia="zh-CN"/>
              </w:rPr>
            </w:pPr>
            <w:r>
              <w:t>无</w:t>
            </w:r>
          </w:p>
        </w:tc>
        <w:tc>
          <w:tcPr>
            <w:tcW w:w="599" w:type="pct"/>
            <w:tcBorders>
              <w:tl2br w:val="nil"/>
              <w:tr2bl w:val="nil"/>
            </w:tcBorders>
            <w:shd w:val="clear" w:color="auto" w:fill="auto"/>
            <w:vAlign w:val="center"/>
          </w:tcPr>
          <w:p w14:paraId="185B4193">
            <w:pPr>
              <w:pStyle w:val="1111"/>
              <w:bidi w:val="0"/>
              <w:rPr>
                <w:rFonts w:hint="default"/>
                <w:lang w:val="en-US" w:eastAsia="zh-CN"/>
              </w:rPr>
            </w:pPr>
            <w:r>
              <w:t>无</w:t>
            </w:r>
          </w:p>
        </w:tc>
      </w:tr>
      <w:tr w14:paraId="035490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46" w:type="pct"/>
            <w:vMerge w:val="continue"/>
            <w:tcBorders>
              <w:tl2br w:val="nil"/>
              <w:tr2bl w:val="nil"/>
            </w:tcBorders>
            <w:shd w:val="clear" w:color="auto" w:fill="auto"/>
            <w:noWrap/>
            <w:vAlign w:val="center"/>
          </w:tcPr>
          <w:p w14:paraId="7FA97484">
            <w:pPr>
              <w:pStyle w:val="1111"/>
              <w:bidi w:val="0"/>
              <w:rPr>
                <w:rFonts w:hint="eastAsia"/>
                <w:lang w:val="en-US" w:eastAsia="zh-CN"/>
              </w:rPr>
            </w:pPr>
          </w:p>
        </w:tc>
        <w:tc>
          <w:tcPr>
            <w:tcW w:w="4053" w:type="pct"/>
            <w:gridSpan w:val="5"/>
            <w:tcBorders>
              <w:tl2br w:val="nil"/>
              <w:tr2bl w:val="nil"/>
            </w:tcBorders>
            <w:shd w:val="clear" w:color="auto" w:fill="auto"/>
            <w:noWrap/>
            <w:vAlign w:val="center"/>
          </w:tcPr>
          <w:p w14:paraId="50BFC7FF">
            <w:pPr>
              <w:pStyle w:val="1111"/>
              <w:bidi w:val="0"/>
              <w:rPr>
                <w:rFonts w:hint="eastAsia"/>
                <w:lang w:val="en-US" w:eastAsia="zh-CN"/>
              </w:rPr>
            </w:pPr>
            <w:r>
              <w:t>地下水环境敏感程度E值</w:t>
            </w:r>
          </w:p>
        </w:tc>
        <w:tc>
          <w:tcPr>
            <w:tcW w:w="599" w:type="pct"/>
            <w:tcBorders>
              <w:tl2br w:val="nil"/>
              <w:tr2bl w:val="nil"/>
            </w:tcBorders>
            <w:shd w:val="clear" w:color="auto" w:fill="auto"/>
            <w:vAlign w:val="center"/>
          </w:tcPr>
          <w:p w14:paraId="3AB3A839">
            <w:pPr>
              <w:pStyle w:val="1111"/>
              <w:bidi w:val="0"/>
              <w:rPr>
                <w:rFonts w:hint="default"/>
                <w:lang w:val="en-US" w:eastAsia="zh-CN"/>
              </w:rPr>
            </w:pPr>
            <w:r>
              <w:t>E3</w:t>
            </w:r>
          </w:p>
        </w:tc>
      </w:tr>
    </w:tbl>
    <w:p w14:paraId="34216A6B">
      <w:pPr>
        <w:pStyle w:val="512"/>
        <w:bidi w:val="0"/>
        <w:rPr>
          <w:rFonts w:hint="eastAsia"/>
          <w:lang w:val="en-US" w:eastAsia="zh-CN"/>
        </w:rPr>
      </w:pPr>
      <w:r>
        <w:rPr>
          <w:rFonts w:hint="eastAsia"/>
          <w:lang w:val="en-US" w:eastAsia="zh-CN"/>
        </w:rPr>
        <w:t>环境敏感目标图见附图七。</w:t>
      </w:r>
    </w:p>
    <w:p w14:paraId="7654B650">
      <w:pPr>
        <w:pStyle w:val="515"/>
        <w:bidi w:val="0"/>
        <w:rPr>
          <w:rFonts w:hint="eastAsia"/>
          <w:lang w:val="en-US" w:eastAsia="zh-CN"/>
        </w:rPr>
      </w:pPr>
      <w:r>
        <w:rPr>
          <w:rFonts w:hint="eastAsia"/>
          <w:lang w:val="en-US" w:eastAsia="zh-CN"/>
        </w:rPr>
        <w:t>3环境风险潜势初判</w:t>
      </w:r>
    </w:p>
    <w:p w14:paraId="5C4125D6">
      <w:pPr>
        <w:pStyle w:val="515"/>
        <w:bidi w:val="0"/>
        <w:rPr>
          <w:rFonts w:hint="eastAsia"/>
          <w:lang w:val="en-US" w:eastAsia="zh-CN"/>
        </w:rPr>
      </w:pPr>
      <w:r>
        <w:rPr>
          <w:rFonts w:hint="eastAsia"/>
          <w:lang w:val="en-US" w:eastAsia="zh-CN"/>
        </w:rPr>
        <w:t>3.1危险物质及工艺系统危险性（P）分级</w:t>
      </w:r>
    </w:p>
    <w:p w14:paraId="0E249020">
      <w:pPr>
        <w:pStyle w:val="512"/>
        <w:bidi w:val="0"/>
      </w:pPr>
      <w:r>
        <w:t>根据《建设项目环境风险评价技术导则HJ169-2018》附录C，危险物质及工艺系统危险性（P）分级原则如下：</w:t>
      </w:r>
    </w:p>
    <w:p w14:paraId="72E73DDB">
      <w:pPr>
        <w:pStyle w:val="1111"/>
        <w:bidi w:val="0"/>
        <w:rPr>
          <w:rFonts w:hint="eastAsia"/>
          <w:lang w:val="en-US" w:eastAsia="zh-CN"/>
        </w:rPr>
      </w:pPr>
      <w:r>
        <w:rPr>
          <w:rFonts w:hint="eastAsia"/>
          <w:lang w:eastAsia="zh-CN"/>
        </w:rPr>
        <w:t>表</w:t>
      </w:r>
      <w:r>
        <w:rPr>
          <w:rFonts w:hint="eastAsia"/>
          <w:lang w:val="en-US" w:eastAsia="zh-CN"/>
        </w:rPr>
        <w:t>3-1 危险物质及工艺系统危险性（P）等级判断</w:t>
      </w:r>
    </w:p>
    <w:tbl>
      <w:tblPr>
        <w:tblStyle w:val="7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82"/>
        <w:gridCol w:w="1645"/>
        <w:gridCol w:w="1812"/>
        <w:gridCol w:w="1812"/>
        <w:gridCol w:w="1809"/>
      </w:tblGrid>
      <w:tr w14:paraId="3237E3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4" w:type="pct"/>
            <w:vMerge w:val="restart"/>
            <w:tcBorders>
              <w:tl2br w:val="nil"/>
              <w:tr2bl w:val="nil"/>
            </w:tcBorders>
            <w:vAlign w:val="center"/>
          </w:tcPr>
          <w:p w14:paraId="5B95BC38">
            <w:pPr>
              <w:pStyle w:val="1111"/>
              <w:bidi w:val="0"/>
            </w:pPr>
            <w:r>
              <w:t>危险物质数量与临界量比值（Q）</w:t>
            </w:r>
          </w:p>
        </w:tc>
        <w:tc>
          <w:tcPr>
            <w:tcW w:w="3906" w:type="pct"/>
            <w:gridSpan w:val="4"/>
            <w:tcBorders>
              <w:tl2br w:val="nil"/>
              <w:tr2bl w:val="nil"/>
            </w:tcBorders>
            <w:vAlign w:val="center"/>
          </w:tcPr>
          <w:p w14:paraId="4131B188">
            <w:pPr>
              <w:pStyle w:val="1111"/>
              <w:bidi w:val="0"/>
              <w:rPr>
                <w:rFonts w:hint="eastAsia" w:eastAsia="宋体"/>
                <w:lang w:eastAsia="zh-CN"/>
              </w:rPr>
            </w:pPr>
            <w:r>
              <w:t>行业及生产工艺（M</w:t>
            </w:r>
            <w:r>
              <w:rPr>
                <w:rFonts w:hint="eastAsia"/>
                <w:lang w:eastAsia="zh-CN"/>
              </w:rPr>
              <w:t>）</w:t>
            </w:r>
          </w:p>
        </w:tc>
      </w:tr>
      <w:tr w14:paraId="3E54AA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4" w:type="pct"/>
            <w:vMerge w:val="continue"/>
            <w:tcBorders>
              <w:tl2br w:val="nil"/>
              <w:tr2bl w:val="nil"/>
            </w:tcBorders>
            <w:vAlign w:val="center"/>
          </w:tcPr>
          <w:p w14:paraId="6B4014E3">
            <w:pPr>
              <w:pStyle w:val="1111"/>
              <w:bidi w:val="0"/>
            </w:pPr>
          </w:p>
        </w:tc>
        <w:tc>
          <w:tcPr>
            <w:tcW w:w="908" w:type="pct"/>
            <w:tcBorders>
              <w:tl2br w:val="nil"/>
              <w:tr2bl w:val="nil"/>
            </w:tcBorders>
            <w:vAlign w:val="center"/>
          </w:tcPr>
          <w:p w14:paraId="7995E197">
            <w:pPr>
              <w:pStyle w:val="1111"/>
              <w:bidi w:val="0"/>
            </w:pPr>
            <w:r>
              <w:t>Ml</w:t>
            </w:r>
          </w:p>
        </w:tc>
        <w:tc>
          <w:tcPr>
            <w:tcW w:w="1000" w:type="pct"/>
            <w:tcBorders>
              <w:tl2br w:val="nil"/>
              <w:tr2bl w:val="nil"/>
            </w:tcBorders>
            <w:vAlign w:val="center"/>
          </w:tcPr>
          <w:p w14:paraId="051712D7">
            <w:pPr>
              <w:pStyle w:val="1111"/>
              <w:bidi w:val="0"/>
            </w:pPr>
            <w:r>
              <w:t>M2</w:t>
            </w:r>
          </w:p>
        </w:tc>
        <w:tc>
          <w:tcPr>
            <w:tcW w:w="1000" w:type="pct"/>
            <w:tcBorders>
              <w:tl2br w:val="nil"/>
              <w:tr2bl w:val="nil"/>
            </w:tcBorders>
            <w:vAlign w:val="center"/>
          </w:tcPr>
          <w:p w14:paraId="4B2538A1">
            <w:pPr>
              <w:pStyle w:val="1111"/>
              <w:bidi w:val="0"/>
            </w:pPr>
            <w:r>
              <w:t>M3</w:t>
            </w:r>
          </w:p>
        </w:tc>
        <w:tc>
          <w:tcPr>
            <w:tcW w:w="998" w:type="pct"/>
            <w:tcBorders>
              <w:tl2br w:val="nil"/>
              <w:tr2bl w:val="nil"/>
            </w:tcBorders>
            <w:vAlign w:val="center"/>
          </w:tcPr>
          <w:p w14:paraId="7BD33BF8">
            <w:pPr>
              <w:pStyle w:val="1111"/>
              <w:bidi w:val="0"/>
            </w:pPr>
            <w:r>
              <w:t>M4</w:t>
            </w:r>
          </w:p>
        </w:tc>
      </w:tr>
      <w:tr w14:paraId="13CAE1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4" w:type="pct"/>
            <w:tcBorders>
              <w:tl2br w:val="nil"/>
              <w:tr2bl w:val="nil"/>
            </w:tcBorders>
            <w:vAlign w:val="center"/>
          </w:tcPr>
          <w:p w14:paraId="003389EF">
            <w:pPr>
              <w:pStyle w:val="1111"/>
              <w:bidi w:val="0"/>
            </w:pPr>
            <w:r>
              <w:t>Q≥100</w:t>
            </w:r>
          </w:p>
        </w:tc>
        <w:tc>
          <w:tcPr>
            <w:tcW w:w="908" w:type="pct"/>
            <w:tcBorders>
              <w:tl2br w:val="nil"/>
              <w:tr2bl w:val="nil"/>
            </w:tcBorders>
            <w:vAlign w:val="center"/>
          </w:tcPr>
          <w:p w14:paraId="785C970A">
            <w:pPr>
              <w:pStyle w:val="1111"/>
              <w:bidi w:val="0"/>
            </w:pPr>
            <w:r>
              <w:t>P1</w:t>
            </w:r>
          </w:p>
        </w:tc>
        <w:tc>
          <w:tcPr>
            <w:tcW w:w="1000" w:type="pct"/>
            <w:tcBorders>
              <w:tl2br w:val="nil"/>
              <w:tr2bl w:val="nil"/>
            </w:tcBorders>
            <w:vAlign w:val="center"/>
          </w:tcPr>
          <w:p w14:paraId="4079D2DA">
            <w:pPr>
              <w:pStyle w:val="1111"/>
              <w:bidi w:val="0"/>
            </w:pPr>
            <w:r>
              <w:t>P1</w:t>
            </w:r>
          </w:p>
        </w:tc>
        <w:tc>
          <w:tcPr>
            <w:tcW w:w="1000" w:type="pct"/>
            <w:tcBorders>
              <w:tl2br w:val="nil"/>
              <w:tr2bl w:val="nil"/>
            </w:tcBorders>
            <w:vAlign w:val="center"/>
          </w:tcPr>
          <w:p w14:paraId="78240161">
            <w:pPr>
              <w:pStyle w:val="1111"/>
              <w:bidi w:val="0"/>
            </w:pPr>
            <w:r>
              <w:t>P2</w:t>
            </w:r>
          </w:p>
        </w:tc>
        <w:tc>
          <w:tcPr>
            <w:tcW w:w="998" w:type="pct"/>
            <w:tcBorders>
              <w:tl2br w:val="nil"/>
              <w:tr2bl w:val="nil"/>
            </w:tcBorders>
            <w:vAlign w:val="center"/>
          </w:tcPr>
          <w:p w14:paraId="17BCC3D5">
            <w:pPr>
              <w:pStyle w:val="1111"/>
              <w:bidi w:val="0"/>
            </w:pPr>
            <w:r>
              <w:t>P3</w:t>
            </w:r>
          </w:p>
        </w:tc>
      </w:tr>
      <w:tr w14:paraId="184B75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4" w:type="pct"/>
            <w:tcBorders>
              <w:tl2br w:val="nil"/>
              <w:tr2bl w:val="nil"/>
            </w:tcBorders>
            <w:vAlign w:val="center"/>
          </w:tcPr>
          <w:p w14:paraId="5A78944E">
            <w:pPr>
              <w:pStyle w:val="1111"/>
              <w:bidi w:val="0"/>
            </w:pPr>
            <w:r>
              <w:t>10≤Q&lt;100</w:t>
            </w:r>
          </w:p>
        </w:tc>
        <w:tc>
          <w:tcPr>
            <w:tcW w:w="908" w:type="pct"/>
            <w:tcBorders>
              <w:tl2br w:val="nil"/>
              <w:tr2bl w:val="nil"/>
            </w:tcBorders>
            <w:vAlign w:val="center"/>
          </w:tcPr>
          <w:p w14:paraId="5ED6ECCC">
            <w:pPr>
              <w:pStyle w:val="1111"/>
              <w:bidi w:val="0"/>
            </w:pPr>
            <w:r>
              <w:t>P1</w:t>
            </w:r>
          </w:p>
        </w:tc>
        <w:tc>
          <w:tcPr>
            <w:tcW w:w="1000" w:type="pct"/>
            <w:tcBorders>
              <w:tl2br w:val="nil"/>
              <w:tr2bl w:val="nil"/>
            </w:tcBorders>
            <w:vAlign w:val="center"/>
          </w:tcPr>
          <w:p w14:paraId="5255C20A">
            <w:pPr>
              <w:pStyle w:val="1111"/>
              <w:bidi w:val="0"/>
            </w:pPr>
            <w:r>
              <w:t>P2</w:t>
            </w:r>
          </w:p>
        </w:tc>
        <w:tc>
          <w:tcPr>
            <w:tcW w:w="1000" w:type="pct"/>
            <w:tcBorders>
              <w:tl2br w:val="nil"/>
              <w:tr2bl w:val="nil"/>
            </w:tcBorders>
            <w:vAlign w:val="center"/>
          </w:tcPr>
          <w:p w14:paraId="4CB2D52B">
            <w:pPr>
              <w:pStyle w:val="1111"/>
              <w:bidi w:val="0"/>
            </w:pPr>
            <w:r>
              <w:t>P3</w:t>
            </w:r>
          </w:p>
        </w:tc>
        <w:tc>
          <w:tcPr>
            <w:tcW w:w="998" w:type="pct"/>
            <w:tcBorders>
              <w:tl2br w:val="nil"/>
              <w:tr2bl w:val="nil"/>
            </w:tcBorders>
            <w:vAlign w:val="center"/>
          </w:tcPr>
          <w:p w14:paraId="170FE193">
            <w:pPr>
              <w:pStyle w:val="1111"/>
              <w:bidi w:val="0"/>
            </w:pPr>
            <w:r>
              <w:t>P4</w:t>
            </w:r>
          </w:p>
        </w:tc>
      </w:tr>
      <w:tr w14:paraId="183B3B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4" w:type="pct"/>
            <w:tcBorders>
              <w:tl2br w:val="nil"/>
              <w:tr2bl w:val="nil"/>
            </w:tcBorders>
            <w:vAlign w:val="center"/>
          </w:tcPr>
          <w:p w14:paraId="7AD7BC05">
            <w:pPr>
              <w:pStyle w:val="1111"/>
              <w:bidi w:val="0"/>
            </w:pPr>
            <w:r>
              <w:t>1≤Q&lt;10</w:t>
            </w:r>
          </w:p>
        </w:tc>
        <w:tc>
          <w:tcPr>
            <w:tcW w:w="908" w:type="pct"/>
            <w:tcBorders>
              <w:tl2br w:val="nil"/>
              <w:tr2bl w:val="nil"/>
            </w:tcBorders>
            <w:vAlign w:val="center"/>
          </w:tcPr>
          <w:p w14:paraId="60776B75">
            <w:pPr>
              <w:pStyle w:val="1111"/>
              <w:bidi w:val="0"/>
            </w:pPr>
            <w:r>
              <w:t>P2</w:t>
            </w:r>
          </w:p>
        </w:tc>
        <w:tc>
          <w:tcPr>
            <w:tcW w:w="1000" w:type="pct"/>
            <w:tcBorders>
              <w:tl2br w:val="nil"/>
              <w:tr2bl w:val="nil"/>
            </w:tcBorders>
            <w:vAlign w:val="center"/>
          </w:tcPr>
          <w:p w14:paraId="48863029">
            <w:pPr>
              <w:pStyle w:val="1111"/>
              <w:bidi w:val="0"/>
            </w:pPr>
            <w:r>
              <w:t>P3</w:t>
            </w:r>
          </w:p>
        </w:tc>
        <w:tc>
          <w:tcPr>
            <w:tcW w:w="1000" w:type="pct"/>
            <w:tcBorders>
              <w:tl2br w:val="nil"/>
              <w:tr2bl w:val="nil"/>
            </w:tcBorders>
            <w:vAlign w:val="center"/>
          </w:tcPr>
          <w:p w14:paraId="6450CD26">
            <w:pPr>
              <w:pStyle w:val="1111"/>
              <w:bidi w:val="0"/>
            </w:pPr>
            <w:r>
              <w:t>P4</w:t>
            </w:r>
          </w:p>
        </w:tc>
        <w:tc>
          <w:tcPr>
            <w:tcW w:w="998" w:type="pct"/>
            <w:tcBorders>
              <w:tl2br w:val="nil"/>
              <w:tr2bl w:val="nil"/>
            </w:tcBorders>
            <w:vAlign w:val="center"/>
          </w:tcPr>
          <w:p w14:paraId="2369CB78">
            <w:pPr>
              <w:pStyle w:val="1111"/>
              <w:bidi w:val="0"/>
            </w:pPr>
            <w:r>
              <w:t>P4</w:t>
            </w:r>
          </w:p>
        </w:tc>
      </w:tr>
    </w:tbl>
    <w:p w14:paraId="0CF74257">
      <w:pPr>
        <w:pStyle w:val="512"/>
        <w:bidi w:val="0"/>
      </w:pPr>
      <w:r>
        <w:t>本项目危险物质数量与临界量比值属于1≤Q</w:t>
      </w:r>
      <w:r>
        <w:rPr>
          <w:rFonts w:hint="eastAsia"/>
          <w:lang w:val="en-US" w:eastAsia="zh-CN"/>
        </w:rPr>
        <w:t>&lt;</w:t>
      </w:r>
      <w:r>
        <w:t>10，行业及生产工艺属于M</w:t>
      </w:r>
      <w:r>
        <w:rPr>
          <w:rFonts w:hint="eastAsia"/>
          <w:lang w:val="en-US" w:eastAsia="zh-CN"/>
        </w:rPr>
        <w:t>4</w:t>
      </w:r>
      <w:r>
        <w:t>，由下表可知：本项目危险物质及工艺系统危险性等级判断为P4。</w:t>
      </w:r>
    </w:p>
    <w:p w14:paraId="3FB7CFCA">
      <w:pPr>
        <w:pStyle w:val="515"/>
        <w:bidi w:val="0"/>
      </w:pPr>
      <w:bookmarkStart w:id="15" w:name="_Toc146013778"/>
      <w:r>
        <w:rPr>
          <w:rFonts w:hint="eastAsia"/>
          <w:lang w:val="en-US" w:eastAsia="zh-CN"/>
        </w:rPr>
        <w:t>3</w:t>
      </w:r>
      <w:r>
        <w:t>.2环境敏感程度（E）分级</w:t>
      </w:r>
      <w:bookmarkEnd w:id="15"/>
    </w:p>
    <w:p w14:paraId="4F95B337">
      <w:pPr>
        <w:pStyle w:val="512"/>
        <w:bidi w:val="0"/>
      </w:pPr>
      <w:r>
        <w:rPr>
          <w:rFonts w:hint="eastAsia"/>
          <w:lang w:eastAsia="zh-CN"/>
        </w:rPr>
        <w:t>（</w:t>
      </w:r>
      <w:r>
        <w:rPr>
          <w:rFonts w:hint="eastAsia"/>
          <w:lang w:val="en-US" w:eastAsia="zh-CN"/>
        </w:rPr>
        <w:t>1</w:t>
      </w:r>
      <w:r>
        <w:rPr>
          <w:rFonts w:hint="eastAsia"/>
          <w:lang w:eastAsia="zh-CN"/>
        </w:rPr>
        <w:t>）</w:t>
      </w:r>
      <w:r>
        <w:t>大气环境</w:t>
      </w:r>
    </w:p>
    <w:p w14:paraId="4B17DCE6">
      <w:pPr>
        <w:pStyle w:val="512"/>
        <w:bidi w:val="0"/>
      </w:pPr>
      <w:r>
        <w:t>根据《建设项目环境风险评价技术导则》</w:t>
      </w:r>
      <w:r>
        <w:rPr>
          <w:rFonts w:hint="eastAsia"/>
          <w:lang w:eastAsia="zh-CN"/>
        </w:rPr>
        <w:t>（</w:t>
      </w:r>
      <w:r>
        <w:t>HJ169-2018</w:t>
      </w:r>
      <w:r>
        <w:rPr>
          <w:rFonts w:hint="eastAsia"/>
          <w:lang w:eastAsia="zh-CN"/>
        </w:rPr>
        <w:t>）</w:t>
      </w:r>
      <w:r>
        <w:t>附录D，大气环境敏感程度（E）分级原则如下：</w:t>
      </w:r>
    </w:p>
    <w:p w14:paraId="75F0A10F">
      <w:pPr>
        <w:pStyle w:val="1111"/>
        <w:bidi w:val="0"/>
      </w:pPr>
      <w:r>
        <w:t>表</w:t>
      </w:r>
      <w:r>
        <w:rPr>
          <w:rFonts w:hint="eastAsia"/>
          <w:lang w:val="en-US" w:eastAsia="zh-CN"/>
        </w:rPr>
        <w:t>3</w:t>
      </w:r>
      <w:r>
        <w:t>-2  大气环境敏感程度分级</w:t>
      </w:r>
    </w:p>
    <w:tbl>
      <w:tblPr>
        <w:tblStyle w:val="7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8"/>
        <w:gridCol w:w="8352"/>
      </w:tblGrid>
      <w:tr w14:paraId="6F906E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91" w:type="pct"/>
            <w:tcBorders>
              <w:tl2br w:val="nil"/>
              <w:tr2bl w:val="nil"/>
            </w:tcBorders>
            <w:vAlign w:val="center"/>
          </w:tcPr>
          <w:p w14:paraId="1528A61B">
            <w:pPr>
              <w:pStyle w:val="1111"/>
              <w:bidi w:val="0"/>
            </w:pPr>
            <w:r>
              <w:t>分级</w:t>
            </w:r>
          </w:p>
        </w:tc>
        <w:tc>
          <w:tcPr>
            <w:tcW w:w="4609" w:type="pct"/>
            <w:tcBorders>
              <w:tl2br w:val="nil"/>
              <w:tr2bl w:val="nil"/>
            </w:tcBorders>
            <w:vAlign w:val="center"/>
          </w:tcPr>
          <w:p w14:paraId="5B84E043">
            <w:pPr>
              <w:pStyle w:val="1111"/>
              <w:bidi w:val="0"/>
            </w:pPr>
            <w:r>
              <w:t>大气环境敏感性</w:t>
            </w:r>
          </w:p>
        </w:tc>
      </w:tr>
      <w:tr w14:paraId="31308C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91" w:type="pct"/>
            <w:tcBorders>
              <w:tl2br w:val="nil"/>
              <w:tr2bl w:val="nil"/>
            </w:tcBorders>
            <w:vAlign w:val="center"/>
          </w:tcPr>
          <w:p w14:paraId="596E5663">
            <w:pPr>
              <w:pStyle w:val="1111"/>
              <w:bidi w:val="0"/>
            </w:pPr>
            <w:r>
              <w:t>E1</w:t>
            </w:r>
          </w:p>
        </w:tc>
        <w:tc>
          <w:tcPr>
            <w:tcW w:w="4609" w:type="pct"/>
            <w:tcBorders>
              <w:tl2br w:val="nil"/>
              <w:tr2bl w:val="nil"/>
            </w:tcBorders>
            <w:vAlign w:val="center"/>
          </w:tcPr>
          <w:p w14:paraId="200B5D74">
            <w:pPr>
              <w:pStyle w:val="1111"/>
              <w:bidi w:val="0"/>
            </w:pPr>
            <w:r>
              <w:t>周边5公里范围内居住区、医疗卫生、文化教育、科研、行政办公等机构人口总数大于5万人，或其他需要特殊保护区域；或周边500米范围内人口总数大于1000人；油气、化学品输送管线管段周边200m范围内，每千米管段人口数大于200人</w:t>
            </w:r>
          </w:p>
        </w:tc>
      </w:tr>
      <w:tr w14:paraId="3843F6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91" w:type="pct"/>
            <w:tcBorders>
              <w:tl2br w:val="nil"/>
              <w:tr2bl w:val="nil"/>
            </w:tcBorders>
            <w:vAlign w:val="center"/>
          </w:tcPr>
          <w:p w14:paraId="3BC78410">
            <w:pPr>
              <w:pStyle w:val="1111"/>
              <w:bidi w:val="0"/>
            </w:pPr>
            <w:r>
              <w:t>E2</w:t>
            </w:r>
          </w:p>
        </w:tc>
        <w:tc>
          <w:tcPr>
            <w:tcW w:w="4609" w:type="pct"/>
            <w:tcBorders>
              <w:tl2br w:val="nil"/>
              <w:tr2bl w:val="nil"/>
            </w:tcBorders>
            <w:vAlign w:val="center"/>
          </w:tcPr>
          <w:p w14:paraId="2A5648AF">
            <w:pPr>
              <w:pStyle w:val="1111"/>
              <w:bidi w:val="0"/>
            </w:pPr>
            <w:r>
              <w:t>周边5公里范围内居住区、医疗卫生、文化教育、科研、行政办公等机构人口总数大于1万人、小于5万人；或周边500米范围内人口总数大于500人、小于1000人；油气、化学品输送管线管段周边200m范围内，每千米管段人口数大于100人、小于200人</w:t>
            </w:r>
          </w:p>
        </w:tc>
      </w:tr>
      <w:tr w14:paraId="087BCD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91" w:type="pct"/>
            <w:tcBorders>
              <w:tl2br w:val="nil"/>
              <w:tr2bl w:val="nil"/>
            </w:tcBorders>
            <w:vAlign w:val="center"/>
          </w:tcPr>
          <w:p w14:paraId="3BA6D117">
            <w:pPr>
              <w:pStyle w:val="1111"/>
              <w:bidi w:val="0"/>
            </w:pPr>
            <w:r>
              <w:t>E3</w:t>
            </w:r>
          </w:p>
        </w:tc>
        <w:tc>
          <w:tcPr>
            <w:tcW w:w="4609" w:type="pct"/>
            <w:tcBorders>
              <w:tl2br w:val="nil"/>
              <w:tr2bl w:val="nil"/>
            </w:tcBorders>
            <w:vAlign w:val="center"/>
          </w:tcPr>
          <w:p w14:paraId="0D692AC5">
            <w:pPr>
              <w:pStyle w:val="1111"/>
              <w:bidi w:val="0"/>
            </w:pPr>
            <w:r>
              <w:t>周边5公里范围内居住区、医疗卫生、文化教育、科研、行政办公等机构人口总数小于1万人；或周边500米范围内人口总数小于500人；油气、化学品输送管线管段周边200m范围内，每千米管段人口数小于100人</w:t>
            </w:r>
          </w:p>
        </w:tc>
      </w:tr>
    </w:tbl>
    <w:p w14:paraId="5D08753A">
      <w:pPr>
        <w:pStyle w:val="512"/>
        <w:bidi w:val="0"/>
      </w:pPr>
      <w:r>
        <w:t>经调查本项目厂址周边5km范围内人口总数大于5万人，因此，本项目大气环境敏感程度为E1。</w:t>
      </w:r>
    </w:p>
    <w:p w14:paraId="0E0D5F0C">
      <w:pPr>
        <w:pStyle w:val="512"/>
        <w:bidi w:val="0"/>
      </w:pPr>
      <w:r>
        <w:rPr>
          <w:rFonts w:hint="eastAsia"/>
          <w:lang w:eastAsia="zh-CN"/>
        </w:rPr>
        <w:t>（</w:t>
      </w:r>
      <w:r>
        <w:rPr>
          <w:rFonts w:hint="eastAsia"/>
          <w:lang w:val="en-US" w:eastAsia="zh-CN"/>
        </w:rPr>
        <w:t>2</w:t>
      </w:r>
      <w:r>
        <w:rPr>
          <w:rFonts w:hint="eastAsia"/>
          <w:lang w:eastAsia="zh-CN"/>
        </w:rPr>
        <w:t>）</w:t>
      </w:r>
      <w:r>
        <w:t>地表水环境</w:t>
      </w:r>
    </w:p>
    <w:p w14:paraId="5D7E59F6">
      <w:pPr>
        <w:pStyle w:val="512"/>
        <w:bidi w:val="0"/>
      </w:pPr>
      <w:r>
        <w:t>根据《建设项目环境风险评价技术导则》（HJ/T169-2018），地表水环境敏感程度分级见下表。</w:t>
      </w:r>
    </w:p>
    <w:p w14:paraId="480197BB">
      <w:pPr>
        <w:pStyle w:val="1111"/>
        <w:bidi w:val="0"/>
      </w:pPr>
      <w:r>
        <w:t>表</w:t>
      </w:r>
      <w:r>
        <w:rPr>
          <w:rFonts w:hint="eastAsia"/>
          <w:lang w:val="en-US" w:eastAsia="zh-CN"/>
        </w:rPr>
        <w:t>3</w:t>
      </w:r>
      <w:r>
        <w:t>-3  地表水环境敏感程度分级</w:t>
      </w:r>
    </w:p>
    <w:tbl>
      <w:tblPr>
        <w:tblStyle w:val="7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65"/>
        <w:gridCol w:w="2265"/>
        <w:gridCol w:w="2265"/>
        <w:gridCol w:w="2265"/>
      </w:tblGrid>
      <w:tr w14:paraId="1E656C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50" w:type="pct"/>
            <w:vMerge w:val="restart"/>
            <w:tcBorders>
              <w:tl2br w:val="nil"/>
              <w:tr2bl w:val="nil"/>
            </w:tcBorders>
            <w:shd w:val="clear" w:color="auto" w:fill="auto"/>
            <w:vAlign w:val="center"/>
          </w:tcPr>
          <w:p w14:paraId="6707D151">
            <w:pPr>
              <w:pStyle w:val="1111"/>
              <w:bidi w:val="0"/>
            </w:pPr>
            <w:r>
              <w:t>环境敏感目标</w:t>
            </w:r>
          </w:p>
        </w:tc>
        <w:tc>
          <w:tcPr>
            <w:tcW w:w="3750" w:type="pct"/>
            <w:gridSpan w:val="3"/>
            <w:tcBorders>
              <w:tl2br w:val="nil"/>
              <w:tr2bl w:val="nil"/>
            </w:tcBorders>
            <w:shd w:val="clear" w:color="auto" w:fill="auto"/>
            <w:vAlign w:val="center"/>
          </w:tcPr>
          <w:p w14:paraId="63792F58">
            <w:pPr>
              <w:pStyle w:val="1111"/>
              <w:bidi w:val="0"/>
            </w:pPr>
            <w:r>
              <w:t>地表水功能敏感性</w:t>
            </w:r>
          </w:p>
        </w:tc>
      </w:tr>
      <w:tr w14:paraId="176A52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50" w:type="pct"/>
            <w:vMerge w:val="continue"/>
            <w:tcBorders>
              <w:tl2br w:val="nil"/>
              <w:tr2bl w:val="nil"/>
            </w:tcBorders>
            <w:shd w:val="clear" w:color="auto" w:fill="auto"/>
            <w:vAlign w:val="center"/>
          </w:tcPr>
          <w:p w14:paraId="3B2FA71A">
            <w:pPr>
              <w:pStyle w:val="1111"/>
              <w:bidi w:val="0"/>
            </w:pPr>
          </w:p>
        </w:tc>
        <w:tc>
          <w:tcPr>
            <w:tcW w:w="1250" w:type="pct"/>
            <w:tcBorders>
              <w:tl2br w:val="nil"/>
              <w:tr2bl w:val="nil"/>
            </w:tcBorders>
            <w:shd w:val="clear" w:color="auto" w:fill="auto"/>
            <w:vAlign w:val="center"/>
          </w:tcPr>
          <w:p w14:paraId="1763A779">
            <w:pPr>
              <w:pStyle w:val="1111"/>
              <w:bidi w:val="0"/>
            </w:pPr>
            <w:r>
              <w:t>F1</w:t>
            </w:r>
          </w:p>
        </w:tc>
        <w:tc>
          <w:tcPr>
            <w:tcW w:w="1250" w:type="pct"/>
            <w:tcBorders>
              <w:tl2br w:val="nil"/>
              <w:tr2bl w:val="nil"/>
            </w:tcBorders>
            <w:shd w:val="clear" w:color="auto" w:fill="auto"/>
            <w:vAlign w:val="center"/>
          </w:tcPr>
          <w:p w14:paraId="5C08B0AC">
            <w:pPr>
              <w:pStyle w:val="1111"/>
              <w:bidi w:val="0"/>
            </w:pPr>
            <w:r>
              <w:t>F2</w:t>
            </w:r>
          </w:p>
        </w:tc>
        <w:tc>
          <w:tcPr>
            <w:tcW w:w="1250" w:type="pct"/>
            <w:tcBorders>
              <w:tl2br w:val="nil"/>
              <w:tr2bl w:val="nil"/>
            </w:tcBorders>
            <w:shd w:val="clear" w:color="auto" w:fill="auto"/>
            <w:vAlign w:val="center"/>
          </w:tcPr>
          <w:p w14:paraId="5853A9C3">
            <w:pPr>
              <w:pStyle w:val="1111"/>
              <w:bidi w:val="0"/>
            </w:pPr>
            <w:r>
              <w:t>F3</w:t>
            </w:r>
          </w:p>
        </w:tc>
      </w:tr>
      <w:tr w14:paraId="58670D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50" w:type="pct"/>
            <w:tcBorders>
              <w:tl2br w:val="nil"/>
              <w:tr2bl w:val="nil"/>
            </w:tcBorders>
            <w:shd w:val="clear" w:color="auto" w:fill="auto"/>
            <w:vAlign w:val="center"/>
          </w:tcPr>
          <w:p w14:paraId="5099D10E">
            <w:pPr>
              <w:pStyle w:val="1111"/>
              <w:bidi w:val="0"/>
            </w:pPr>
            <w:r>
              <w:t>S1</w:t>
            </w:r>
          </w:p>
        </w:tc>
        <w:tc>
          <w:tcPr>
            <w:tcW w:w="1250" w:type="pct"/>
            <w:tcBorders>
              <w:tl2br w:val="nil"/>
              <w:tr2bl w:val="nil"/>
            </w:tcBorders>
            <w:shd w:val="clear" w:color="auto" w:fill="auto"/>
            <w:vAlign w:val="center"/>
          </w:tcPr>
          <w:p w14:paraId="32CDB10D">
            <w:pPr>
              <w:pStyle w:val="1111"/>
              <w:bidi w:val="0"/>
            </w:pPr>
            <w:r>
              <w:t>E1</w:t>
            </w:r>
          </w:p>
        </w:tc>
        <w:tc>
          <w:tcPr>
            <w:tcW w:w="1250" w:type="pct"/>
            <w:tcBorders>
              <w:tl2br w:val="nil"/>
              <w:tr2bl w:val="nil"/>
            </w:tcBorders>
            <w:shd w:val="clear" w:color="auto" w:fill="auto"/>
            <w:vAlign w:val="center"/>
          </w:tcPr>
          <w:p w14:paraId="00D95AB0">
            <w:pPr>
              <w:pStyle w:val="1111"/>
              <w:bidi w:val="0"/>
            </w:pPr>
            <w:r>
              <w:t>E1</w:t>
            </w:r>
          </w:p>
        </w:tc>
        <w:tc>
          <w:tcPr>
            <w:tcW w:w="1250" w:type="pct"/>
            <w:tcBorders>
              <w:tl2br w:val="nil"/>
              <w:tr2bl w:val="nil"/>
            </w:tcBorders>
            <w:shd w:val="clear" w:color="auto" w:fill="auto"/>
            <w:vAlign w:val="center"/>
          </w:tcPr>
          <w:p w14:paraId="10D54A66">
            <w:pPr>
              <w:pStyle w:val="1111"/>
              <w:bidi w:val="0"/>
            </w:pPr>
            <w:r>
              <w:t>E2</w:t>
            </w:r>
          </w:p>
        </w:tc>
      </w:tr>
      <w:tr w14:paraId="295034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50" w:type="pct"/>
            <w:tcBorders>
              <w:tl2br w:val="nil"/>
              <w:tr2bl w:val="nil"/>
            </w:tcBorders>
            <w:shd w:val="clear" w:color="auto" w:fill="auto"/>
            <w:vAlign w:val="center"/>
          </w:tcPr>
          <w:p w14:paraId="630FBD1C">
            <w:pPr>
              <w:pStyle w:val="1111"/>
              <w:bidi w:val="0"/>
            </w:pPr>
            <w:r>
              <w:t>S2</w:t>
            </w:r>
          </w:p>
        </w:tc>
        <w:tc>
          <w:tcPr>
            <w:tcW w:w="1250" w:type="pct"/>
            <w:tcBorders>
              <w:tl2br w:val="nil"/>
              <w:tr2bl w:val="nil"/>
            </w:tcBorders>
            <w:shd w:val="clear" w:color="auto" w:fill="auto"/>
            <w:vAlign w:val="center"/>
          </w:tcPr>
          <w:p w14:paraId="3DBE3341">
            <w:pPr>
              <w:pStyle w:val="1111"/>
              <w:bidi w:val="0"/>
            </w:pPr>
            <w:r>
              <w:t>E1</w:t>
            </w:r>
          </w:p>
        </w:tc>
        <w:tc>
          <w:tcPr>
            <w:tcW w:w="1250" w:type="pct"/>
            <w:tcBorders>
              <w:tl2br w:val="nil"/>
              <w:tr2bl w:val="nil"/>
            </w:tcBorders>
            <w:shd w:val="clear" w:color="auto" w:fill="auto"/>
            <w:vAlign w:val="center"/>
          </w:tcPr>
          <w:p w14:paraId="5EFED151">
            <w:pPr>
              <w:pStyle w:val="1111"/>
              <w:bidi w:val="0"/>
            </w:pPr>
            <w:r>
              <w:t>E2</w:t>
            </w:r>
          </w:p>
        </w:tc>
        <w:tc>
          <w:tcPr>
            <w:tcW w:w="1250" w:type="pct"/>
            <w:tcBorders>
              <w:tl2br w:val="nil"/>
              <w:tr2bl w:val="nil"/>
            </w:tcBorders>
            <w:shd w:val="clear" w:color="auto" w:fill="auto"/>
            <w:vAlign w:val="center"/>
          </w:tcPr>
          <w:p w14:paraId="1669D4E7">
            <w:pPr>
              <w:pStyle w:val="1111"/>
              <w:bidi w:val="0"/>
            </w:pPr>
            <w:r>
              <w:t>E3</w:t>
            </w:r>
          </w:p>
        </w:tc>
      </w:tr>
      <w:tr w14:paraId="1E6B89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50" w:type="pct"/>
            <w:tcBorders>
              <w:tl2br w:val="nil"/>
              <w:tr2bl w:val="nil"/>
            </w:tcBorders>
            <w:shd w:val="clear" w:color="auto" w:fill="auto"/>
            <w:vAlign w:val="center"/>
          </w:tcPr>
          <w:p w14:paraId="58F2576A">
            <w:pPr>
              <w:pStyle w:val="1111"/>
              <w:bidi w:val="0"/>
            </w:pPr>
            <w:r>
              <w:t>S3</w:t>
            </w:r>
          </w:p>
        </w:tc>
        <w:tc>
          <w:tcPr>
            <w:tcW w:w="1250" w:type="pct"/>
            <w:tcBorders>
              <w:tl2br w:val="nil"/>
              <w:tr2bl w:val="nil"/>
            </w:tcBorders>
            <w:shd w:val="clear" w:color="auto" w:fill="auto"/>
            <w:vAlign w:val="center"/>
          </w:tcPr>
          <w:p w14:paraId="1402C1F5">
            <w:pPr>
              <w:pStyle w:val="1111"/>
              <w:bidi w:val="0"/>
            </w:pPr>
            <w:r>
              <w:t>E1</w:t>
            </w:r>
          </w:p>
        </w:tc>
        <w:tc>
          <w:tcPr>
            <w:tcW w:w="1250" w:type="pct"/>
            <w:tcBorders>
              <w:tl2br w:val="nil"/>
              <w:tr2bl w:val="nil"/>
            </w:tcBorders>
            <w:shd w:val="clear" w:color="auto" w:fill="auto"/>
            <w:vAlign w:val="center"/>
          </w:tcPr>
          <w:p w14:paraId="2B9C92B1">
            <w:pPr>
              <w:pStyle w:val="1111"/>
              <w:bidi w:val="0"/>
            </w:pPr>
            <w:r>
              <w:t>E2</w:t>
            </w:r>
          </w:p>
        </w:tc>
        <w:tc>
          <w:tcPr>
            <w:tcW w:w="1250" w:type="pct"/>
            <w:tcBorders>
              <w:tl2br w:val="nil"/>
              <w:tr2bl w:val="nil"/>
            </w:tcBorders>
            <w:shd w:val="clear" w:color="auto" w:fill="auto"/>
            <w:vAlign w:val="center"/>
          </w:tcPr>
          <w:p w14:paraId="2A0D6088">
            <w:pPr>
              <w:pStyle w:val="1111"/>
              <w:bidi w:val="0"/>
            </w:pPr>
            <w:r>
              <w:t>E3</w:t>
            </w:r>
          </w:p>
        </w:tc>
      </w:tr>
    </w:tbl>
    <w:p w14:paraId="22FD8703">
      <w:pPr>
        <w:pStyle w:val="1111"/>
        <w:bidi w:val="0"/>
      </w:pPr>
      <w:r>
        <w:t>表</w:t>
      </w:r>
      <w:r>
        <w:rPr>
          <w:rFonts w:hint="eastAsia"/>
          <w:lang w:val="en-US" w:eastAsia="zh-CN"/>
        </w:rPr>
        <w:t>3</w:t>
      </w:r>
      <w:r>
        <w:t>-4  地表水功能敏感性分区</w:t>
      </w:r>
    </w:p>
    <w:tbl>
      <w:tblPr>
        <w:tblStyle w:val="7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92"/>
        <w:gridCol w:w="7668"/>
      </w:tblGrid>
      <w:tr w14:paraId="7BF4A7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8" w:type="pct"/>
            <w:tcBorders>
              <w:tl2br w:val="nil"/>
              <w:tr2bl w:val="nil"/>
            </w:tcBorders>
            <w:shd w:val="clear" w:color="auto" w:fill="auto"/>
            <w:vAlign w:val="center"/>
          </w:tcPr>
          <w:p w14:paraId="6BEADF26">
            <w:pPr>
              <w:pStyle w:val="1111"/>
              <w:bidi w:val="0"/>
            </w:pPr>
            <w:r>
              <w:t>敏感性</w:t>
            </w:r>
          </w:p>
        </w:tc>
        <w:tc>
          <w:tcPr>
            <w:tcW w:w="4232" w:type="pct"/>
            <w:tcBorders>
              <w:tl2br w:val="nil"/>
              <w:tr2bl w:val="nil"/>
            </w:tcBorders>
            <w:shd w:val="clear" w:color="auto" w:fill="auto"/>
            <w:vAlign w:val="center"/>
          </w:tcPr>
          <w:p w14:paraId="0F36D095">
            <w:pPr>
              <w:pStyle w:val="1111"/>
              <w:bidi w:val="0"/>
            </w:pPr>
            <w:r>
              <w:t>地表水环境敏感特征</w:t>
            </w:r>
          </w:p>
        </w:tc>
      </w:tr>
      <w:tr w14:paraId="2EB377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8" w:type="pct"/>
            <w:tcBorders>
              <w:tl2br w:val="nil"/>
              <w:tr2bl w:val="nil"/>
            </w:tcBorders>
            <w:shd w:val="clear" w:color="auto" w:fill="auto"/>
            <w:vAlign w:val="center"/>
          </w:tcPr>
          <w:p w14:paraId="5DE603CC">
            <w:pPr>
              <w:pStyle w:val="1111"/>
              <w:bidi w:val="0"/>
            </w:pPr>
            <w:r>
              <w:t>敏感F1</w:t>
            </w:r>
          </w:p>
        </w:tc>
        <w:tc>
          <w:tcPr>
            <w:tcW w:w="4232" w:type="pct"/>
            <w:tcBorders>
              <w:tl2br w:val="nil"/>
              <w:tr2bl w:val="nil"/>
            </w:tcBorders>
            <w:shd w:val="clear" w:color="auto" w:fill="auto"/>
            <w:vAlign w:val="center"/>
          </w:tcPr>
          <w:p w14:paraId="402D352B">
            <w:pPr>
              <w:pStyle w:val="1111"/>
              <w:bidi w:val="0"/>
            </w:pPr>
            <w:r>
              <w:t>排放点进入地表水水域环境功能为II类及以上，或海水水质分类第一类；或发生事故时，危险物质泄漏到水体的排放点算起，排放进入受纳河流最大流速时，24h流经范围内涉跨国界的</w:t>
            </w:r>
          </w:p>
        </w:tc>
      </w:tr>
      <w:tr w14:paraId="6915F8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8" w:type="pct"/>
            <w:tcBorders>
              <w:tl2br w:val="nil"/>
              <w:tr2bl w:val="nil"/>
            </w:tcBorders>
            <w:shd w:val="clear" w:color="auto" w:fill="auto"/>
            <w:vAlign w:val="center"/>
          </w:tcPr>
          <w:p w14:paraId="117485C4">
            <w:pPr>
              <w:pStyle w:val="1111"/>
              <w:bidi w:val="0"/>
            </w:pPr>
            <w:r>
              <w:t>较敏感F2</w:t>
            </w:r>
          </w:p>
        </w:tc>
        <w:tc>
          <w:tcPr>
            <w:tcW w:w="4232" w:type="pct"/>
            <w:tcBorders>
              <w:tl2br w:val="nil"/>
              <w:tr2bl w:val="nil"/>
            </w:tcBorders>
            <w:shd w:val="clear" w:color="auto" w:fill="auto"/>
            <w:vAlign w:val="center"/>
          </w:tcPr>
          <w:p w14:paraId="602AEEB6">
            <w:pPr>
              <w:pStyle w:val="1111"/>
              <w:bidi w:val="0"/>
            </w:pPr>
            <w:r>
              <w:t>排放点进入地表水水域环境功能为III类及以上，或海水水质分类第二类；或发生事故时，危险物质泄漏到水体的排放点算起，排放进入受纳河流最大流速时，24h流经范围内涉跨省界的</w:t>
            </w:r>
          </w:p>
        </w:tc>
      </w:tr>
      <w:tr w14:paraId="7C9513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8" w:type="pct"/>
            <w:tcBorders>
              <w:tl2br w:val="nil"/>
              <w:tr2bl w:val="nil"/>
            </w:tcBorders>
            <w:shd w:val="clear" w:color="auto" w:fill="auto"/>
            <w:vAlign w:val="center"/>
          </w:tcPr>
          <w:p w14:paraId="2B4660E9">
            <w:pPr>
              <w:pStyle w:val="1111"/>
              <w:bidi w:val="0"/>
            </w:pPr>
            <w:r>
              <w:t>低敏感F3</w:t>
            </w:r>
          </w:p>
        </w:tc>
        <w:tc>
          <w:tcPr>
            <w:tcW w:w="4232" w:type="pct"/>
            <w:tcBorders>
              <w:tl2br w:val="nil"/>
              <w:tr2bl w:val="nil"/>
            </w:tcBorders>
            <w:shd w:val="clear" w:color="auto" w:fill="auto"/>
            <w:vAlign w:val="center"/>
          </w:tcPr>
          <w:p w14:paraId="623B9C39">
            <w:pPr>
              <w:pStyle w:val="1111"/>
              <w:bidi w:val="0"/>
            </w:pPr>
            <w:r>
              <w:t>上述地区之外的其他地区</w:t>
            </w:r>
          </w:p>
        </w:tc>
      </w:tr>
    </w:tbl>
    <w:p w14:paraId="3A1689AD">
      <w:pPr>
        <w:pStyle w:val="1111"/>
        <w:bidi w:val="0"/>
      </w:pPr>
      <w:r>
        <w:t>表</w:t>
      </w:r>
      <w:r>
        <w:rPr>
          <w:rFonts w:hint="eastAsia"/>
          <w:lang w:val="en-US" w:eastAsia="zh-CN"/>
        </w:rPr>
        <w:t>3</w:t>
      </w:r>
      <w:r>
        <w:t>-5  环境敏感目标分级</w:t>
      </w:r>
    </w:p>
    <w:tbl>
      <w:tblPr>
        <w:tblStyle w:val="7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9"/>
        <w:gridCol w:w="7851"/>
      </w:tblGrid>
      <w:tr w14:paraId="197E44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 w:hRule="atLeast"/>
          <w:jc w:val="center"/>
        </w:trPr>
        <w:tc>
          <w:tcPr>
            <w:tcW w:w="667" w:type="pct"/>
            <w:tcBorders>
              <w:tl2br w:val="nil"/>
              <w:tr2bl w:val="nil"/>
            </w:tcBorders>
            <w:shd w:val="clear" w:color="auto" w:fill="auto"/>
            <w:vAlign w:val="center"/>
          </w:tcPr>
          <w:p w14:paraId="646F5CE9">
            <w:pPr>
              <w:pStyle w:val="1111"/>
              <w:bidi w:val="0"/>
            </w:pPr>
            <w:r>
              <w:t>分级</w:t>
            </w:r>
          </w:p>
        </w:tc>
        <w:tc>
          <w:tcPr>
            <w:tcW w:w="4333" w:type="pct"/>
            <w:tcBorders>
              <w:tl2br w:val="nil"/>
              <w:tr2bl w:val="nil"/>
            </w:tcBorders>
            <w:shd w:val="clear" w:color="auto" w:fill="auto"/>
            <w:vAlign w:val="center"/>
          </w:tcPr>
          <w:p w14:paraId="7D13E477">
            <w:pPr>
              <w:pStyle w:val="1111"/>
              <w:bidi w:val="0"/>
            </w:pPr>
            <w:r>
              <w:t>环境敏感目标</w:t>
            </w:r>
          </w:p>
        </w:tc>
      </w:tr>
      <w:tr w14:paraId="49DEF8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7" w:type="pct"/>
            <w:tcBorders>
              <w:tl2br w:val="nil"/>
              <w:tr2bl w:val="nil"/>
            </w:tcBorders>
            <w:shd w:val="clear" w:color="auto" w:fill="auto"/>
            <w:vAlign w:val="center"/>
          </w:tcPr>
          <w:p w14:paraId="16635BFF">
            <w:pPr>
              <w:pStyle w:val="1111"/>
              <w:bidi w:val="0"/>
            </w:pPr>
            <w:r>
              <w:t>S1</w:t>
            </w:r>
          </w:p>
        </w:tc>
        <w:tc>
          <w:tcPr>
            <w:tcW w:w="4333" w:type="pct"/>
            <w:tcBorders>
              <w:tl2br w:val="nil"/>
              <w:tr2bl w:val="nil"/>
            </w:tcBorders>
            <w:shd w:val="clear" w:color="auto" w:fill="auto"/>
            <w:vAlign w:val="center"/>
          </w:tcPr>
          <w:p w14:paraId="7E895DD2">
            <w:pPr>
              <w:pStyle w:val="1111"/>
              <w:bidi w:val="0"/>
            </w:pPr>
            <w:r>
              <w:t>发生事故时，危险物质泄漏到内陆水体的排放点下游（顺水流向）10km范围内、近岸海域一个潮周期水质点可能达到的最大水平距离的两倍范围内，有如下一类或多类环境风险受体：集中式地表水饮用水水源保护区（包括一级保护区、二级保护区及准保护区）；农村及分散式饮用水水源保护区；自然保护区；重要湿地；珍惜濒危野生动植物天然集中分布区；重要水生生物的自然产卵场及索饵场、越冬场和洄游通道；世界文化和自然遗产地；红树林、珊瑚礁等滨海湿地生态系统；珍稀、濒危海洋生物的天然集中分布区；海洋特别保护区；海上自然保护区；盐场保护区；海水浴场；海洋自然历史遗迹；风景名胜区；或其他特殊重要保护区域</w:t>
            </w:r>
          </w:p>
        </w:tc>
      </w:tr>
      <w:tr w14:paraId="1C8521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7" w:type="pct"/>
            <w:tcBorders>
              <w:tl2br w:val="nil"/>
              <w:tr2bl w:val="nil"/>
            </w:tcBorders>
            <w:shd w:val="clear" w:color="auto" w:fill="auto"/>
            <w:vAlign w:val="center"/>
          </w:tcPr>
          <w:p w14:paraId="23AA0AF1">
            <w:pPr>
              <w:pStyle w:val="1111"/>
              <w:bidi w:val="0"/>
            </w:pPr>
            <w:r>
              <w:t>S2</w:t>
            </w:r>
          </w:p>
        </w:tc>
        <w:tc>
          <w:tcPr>
            <w:tcW w:w="4333" w:type="pct"/>
            <w:tcBorders>
              <w:tl2br w:val="nil"/>
              <w:tr2bl w:val="nil"/>
            </w:tcBorders>
            <w:shd w:val="clear" w:color="auto" w:fill="auto"/>
            <w:vAlign w:val="center"/>
          </w:tcPr>
          <w:p w14:paraId="3A1A1022">
            <w:pPr>
              <w:pStyle w:val="1111"/>
              <w:bidi w:val="0"/>
            </w:pPr>
            <w:r>
              <w:t>发生事故时，危险物质泄漏到内陆水体的排放点下游（顺水流向）10km范围内、近岸海域一个潮周期水质点可能达到的最大水平距离的两倍范围内，有如下一类或多类环境风险受体：水产养殖区；天然渔场；森林公园；地质公园；滨海风景游览区；具有重要经济价值的海洋生物生存区域</w:t>
            </w:r>
          </w:p>
        </w:tc>
      </w:tr>
      <w:tr w14:paraId="0E2747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7" w:type="pct"/>
            <w:tcBorders>
              <w:tl2br w:val="nil"/>
              <w:tr2bl w:val="nil"/>
            </w:tcBorders>
            <w:shd w:val="clear" w:color="auto" w:fill="auto"/>
            <w:vAlign w:val="center"/>
          </w:tcPr>
          <w:p w14:paraId="33C2870F">
            <w:pPr>
              <w:pStyle w:val="1111"/>
              <w:bidi w:val="0"/>
            </w:pPr>
            <w:r>
              <w:t>S3</w:t>
            </w:r>
          </w:p>
        </w:tc>
        <w:tc>
          <w:tcPr>
            <w:tcW w:w="4333" w:type="pct"/>
            <w:tcBorders>
              <w:tl2br w:val="nil"/>
              <w:tr2bl w:val="nil"/>
            </w:tcBorders>
            <w:shd w:val="clear" w:color="auto" w:fill="auto"/>
            <w:vAlign w:val="center"/>
          </w:tcPr>
          <w:p w14:paraId="264134E2">
            <w:pPr>
              <w:pStyle w:val="1111"/>
              <w:bidi w:val="0"/>
            </w:pPr>
            <w:r>
              <w:t>排放点下游（顺水流向）10km范围内、近岸海域一个潮周期水质点可能达到的最大水平距离的两倍范围内无上述类型1和类型2包括的敏感保护目标</w:t>
            </w:r>
          </w:p>
        </w:tc>
      </w:tr>
    </w:tbl>
    <w:p w14:paraId="7B465AC3">
      <w:pPr>
        <w:pStyle w:val="512"/>
        <w:bidi w:val="0"/>
      </w:pPr>
      <w:r>
        <w:t>本项目</w:t>
      </w:r>
      <w:r>
        <w:rPr>
          <w:rFonts w:hint="eastAsia"/>
          <w:lang w:eastAsia="zh-CN"/>
        </w:rPr>
        <w:t>废水经处理后排入大浦河排污通道，大浦河排污通道水域环境功能为</w:t>
      </w:r>
      <w:r>
        <w:t>III类，地表水功能敏感性分区为F</w:t>
      </w:r>
      <w:r>
        <w:rPr>
          <w:rFonts w:hint="eastAsia"/>
          <w:lang w:val="en-US" w:eastAsia="zh-CN"/>
        </w:rPr>
        <w:t>2</w:t>
      </w:r>
      <w:r>
        <w:t>，项目地所在</w:t>
      </w:r>
      <w:r>
        <w:rPr>
          <w:rFonts w:hint="eastAsia"/>
        </w:rPr>
        <w:t>地附近有</w:t>
      </w:r>
      <w:r>
        <w:rPr>
          <w:rFonts w:hint="eastAsia"/>
          <w:lang w:eastAsia="zh-CN"/>
        </w:rPr>
        <w:t>临洪河重要湿地</w:t>
      </w:r>
      <w:r>
        <w:t>，环境敏感目标分级为S1，因此，地表水环境敏感程度分级为E</w:t>
      </w:r>
      <w:r>
        <w:rPr>
          <w:rFonts w:hint="eastAsia"/>
          <w:lang w:val="en-US" w:eastAsia="zh-CN"/>
        </w:rPr>
        <w:t>1</w:t>
      </w:r>
      <w:r>
        <w:t>。</w:t>
      </w:r>
    </w:p>
    <w:p w14:paraId="0C171602">
      <w:pPr>
        <w:pStyle w:val="512"/>
        <w:bidi w:val="0"/>
      </w:pPr>
      <w:r>
        <w:rPr>
          <w:rFonts w:hint="eastAsia"/>
          <w:lang w:eastAsia="zh-CN"/>
        </w:rPr>
        <w:t>（</w:t>
      </w:r>
      <w:r>
        <w:rPr>
          <w:rFonts w:hint="eastAsia"/>
          <w:lang w:val="en-US" w:eastAsia="zh-CN"/>
        </w:rPr>
        <w:t>3</w:t>
      </w:r>
      <w:r>
        <w:rPr>
          <w:rFonts w:hint="eastAsia"/>
          <w:lang w:eastAsia="zh-CN"/>
        </w:rPr>
        <w:t>）</w:t>
      </w:r>
      <w:r>
        <w:t>地下水环境</w:t>
      </w:r>
    </w:p>
    <w:p w14:paraId="48B12CF8">
      <w:pPr>
        <w:pStyle w:val="512"/>
        <w:bidi w:val="0"/>
      </w:pPr>
      <w:r>
        <w:t>根据《建设项目环境风险评价技术导则》（HJ169-2018），地下水环境敏感程度分级见下表：</w:t>
      </w:r>
    </w:p>
    <w:p w14:paraId="079EC366">
      <w:pPr>
        <w:pStyle w:val="1111"/>
        <w:bidi w:val="0"/>
      </w:pPr>
      <w:r>
        <w:t>表</w:t>
      </w:r>
      <w:r>
        <w:rPr>
          <w:rFonts w:hint="eastAsia"/>
          <w:lang w:val="en-US" w:eastAsia="zh-CN"/>
        </w:rPr>
        <w:t>3</w:t>
      </w:r>
      <w:r>
        <w:t>-6  地下水环境敏感程度分级</w:t>
      </w:r>
    </w:p>
    <w:tbl>
      <w:tblPr>
        <w:tblStyle w:val="7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65"/>
        <w:gridCol w:w="2265"/>
        <w:gridCol w:w="2265"/>
        <w:gridCol w:w="2265"/>
      </w:tblGrid>
      <w:tr w14:paraId="5AF1DC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0" w:type="pct"/>
            <w:vMerge w:val="restart"/>
            <w:tcBorders>
              <w:tl2br w:val="nil"/>
              <w:tr2bl w:val="nil"/>
            </w:tcBorders>
            <w:shd w:val="clear" w:color="auto" w:fill="auto"/>
            <w:vAlign w:val="center"/>
          </w:tcPr>
          <w:p w14:paraId="3677964D">
            <w:pPr>
              <w:pStyle w:val="1111"/>
              <w:bidi w:val="0"/>
            </w:pPr>
            <w:r>
              <w:t>包气带防污性能</w:t>
            </w:r>
          </w:p>
        </w:tc>
        <w:tc>
          <w:tcPr>
            <w:tcW w:w="3750" w:type="pct"/>
            <w:gridSpan w:val="3"/>
            <w:tcBorders>
              <w:tl2br w:val="nil"/>
              <w:tr2bl w:val="nil"/>
            </w:tcBorders>
            <w:shd w:val="clear" w:color="auto" w:fill="auto"/>
            <w:vAlign w:val="center"/>
          </w:tcPr>
          <w:p w14:paraId="565D4439">
            <w:pPr>
              <w:pStyle w:val="1111"/>
              <w:bidi w:val="0"/>
            </w:pPr>
            <w:r>
              <w:t>地下水功能敏感性</w:t>
            </w:r>
          </w:p>
        </w:tc>
      </w:tr>
      <w:tr w14:paraId="01695A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0" w:type="pct"/>
            <w:vMerge w:val="continue"/>
            <w:tcBorders>
              <w:tl2br w:val="nil"/>
              <w:tr2bl w:val="nil"/>
            </w:tcBorders>
            <w:shd w:val="clear" w:color="auto" w:fill="auto"/>
            <w:vAlign w:val="center"/>
          </w:tcPr>
          <w:p w14:paraId="04EA7C30">
            <w:pPr>
              <w:pStyle w:val="1111"/>
              <w:bidi w:val="0"/>
            </w:pPr>
          </w:p>
        </w:tc>
        <w:tc>
          <w:tcPr>
            <w:tcW w:w="1250" w:type="pct"/>
            <w:tcBorders>
              <w:tl2br w:val="nil"/>
              <w:tr2bl w:val="nil"/>
            </w:tcBorders>
            <w:shd w:val="clear" w:color="auto" w:fill="auto"/>
            <w:vAlign w:val="center"/>
          </w:tcPr>
          <w:p w14:paraId="1FD87CFF">
            <w:pPr>
              <w:pStyle w:val="1111"/>
              <w:bidi w:val="0"/>
            </w:pPr>
            <w:r>
              <w:t>G1</w:t>
            </w:r>
          </w:p>
        </w:tc>
        <w:tc>
          <w:tcPr>
            <w:tcW w:w="1250" w:type="pct"/>
            <w:tcBorders>
              <w:tl2br w:val="nil"/>
              <w:tr2bl w:val="nil"/>
            </w:tcBorders>
            <w:shd w:val="clear" w:color="auto" w:fill="auto"/>
            <w:vAlign w:val="center"/>
          </w:tcPr>
          <w:p w14:paraId="421F863C">
            <w:pPr>
              <w:pStyle w:val="1111"/>
              <w:bidi w:val="0"/>
            </w:pPr>
            <w:r>
              <w:t>G2</w:t>
            </w:r>
          </w:p>
        </w:tc>
        <w:tc>
          <w:tcPr>
            <w:tcW w:w="1250" w:type="pct"/>
            <w:tcBorders>
              <w:tl2br w:val="nil"/>
              <w:tr2bl w:val="nil"/>
            </w:tcBorders>
            <w:shd w:val="clear" w:color="auto" w:fill="auto"/>
            <w:vAlign w:val="center"/>
          </w:tcPr>
          <w:p w14:paraId="50491DED">
            <w:pPr>
              <w:pStyle w:val="1111"/>
              <w:bidi w:val="0"/>
            </w:pPr>
            <w:r>
              <w:t>G3</w:t>
            </w:r>
          </w:p>
        </w:tc>
      </w:tr>
      <w:tr w14:paraId="58354A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0" w:type="pct"/>
            <w:tcBorders>
              <w:tl2br w:val="nil"/>
              <w:tr2bl w:val="nil"/>
            </w:tcBorders>
            <w:shd w:val="clear" w:color="auto" w:fill="auto"/>
            <w:vAlign w:val="center"/>
          </w:tcPr>
          <w:p w14:paraId="35A260C6">
            <w:pPr>
              <w:pStyle w:val="1111"/>
              <w:bidi w:val="0"/>
            </w:pPr>
            <w:r>
              <w:t>D1</w:t>
            </w:r>
          </w:p>
        </w:tc>
        <w:tc>
          <w:tcPr>
            <w:tcW w:w="1250" w:type="pct"/>
            <w:tcBorders>
              <w:tl2br w:val="nil"/>
              <w:tr2bl w:val="nil"/>
            </w:tcBorders>
            <w:shd w:val="clear" w:color="auto" w:fill="auto"/>
            <w:vAlign w:val="center"/>
          </w:tcPr>
          <w:p w14:paraId="72A55036">
            <w:pPr>
              <w:pStyle w:val="1111"/>
              <w:bidi w:val="0"/>
            </w:pPr>
            <w:r>
              <w:t>E1</w:t>
            </w:r>
          </w:p>
        </w:tc>
        <w:tc>
          <w:tcPr>
            <w:tcW w:w="1250" w:type="pct"/>
            <w:tcBorders>
              <w:tl2br w:val="nil"/>
              <w:tr2bl w:val="nil"/>
            </w:tcBorders>
            <w:shd w:val="clear" w:color="auto" w:fill="auto"/>
            <w:vAlign w:val="center"/>
          </w:tcPr>
          <w:p w14:paraId="021BB56F">
            <w:pPr>
              <w:pStyle w:val="1111"/>
              <w:bidi w:val="0"/>
            </w:pPr>
            <w:r>
              <w:t>E1</w:t>
            </w:r>
          </w:p>
        </w:tc>
        <w:tc>
          <w:tcPr>
            <w:tcW w:w="1250" w:type="pct"/>
            <w:tcBorders>
              <w:tl2br w:val="nil"/>
              <w:tr2bl w:val="nil"/>
            </w:tcBorders>
            <w:shd w:val="clear" w:color="auto" w:fill="auto"/>
            <w:vAlign w:val="center"/>
          </w:tcPr>
          <w:p w14:paraId="71153FCA">
            <w:pPr>
              <w:pStyle w:val="1111"/>
              <w:bidi w:val="0"/>
            </w:pPr>
            <w:r>
              <w:t>E2</w:t>
            </w:r>
          </w:p>
        </w:tc>
      </w:tr>
      <w:tr w14:paraId="492B7B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0" w:type="pct"/>
            <w:tcBorders>
              <w:tl2br w:val="nil"/>
              <w:tr2bl w:val="nil"/>
            </w:tcBorders>
            <w:shd w:val="clear" w:color="auto" w:fill="auto"/>
            <w:vAlign w:val="center"/>
          </w:tcPr>
          <w:p w14:paraId="15074093">
            <w:pPr>
              <w:pStyle w:val="1111"/>
              <w:bidi w:val="0"/>
            </w:pPr>
            <w:r>
              <w:t>D2</w:t>
            </w:r>
          </w:p>
        </w:tc>
        <w:tc>
          <w:tcPr>
            <w:tcW w:w="1250" w:type="pct"/>
            <w:tcBorders>
              <w:tl2br w:val="nil"/>
              <w:tr2bl w:val="nil"/>
            </w:tcBorders>
            <w:shd w:val="clear" w:color="auto" w:fill="auto"/>
            <w:vAlign w:val="center"/>
          </w:tcPr>
          <w:p w14:paraId="0C6ECCF5">
            <w:pPr>
              <w:pStyle w:val="1111"/>
              <w:bidi w:val="0"/>
            </w:pPr>
            <w:r>
              <w:t>E1</w:t>
            </w:r>
          </w:p>
        </w:tc>
        <w:tc>
          <w:tcPr>
            <w:tcW w:w="1250" w:type="pct"/>
            <w:tcBorders>
              <w:tl2br w:val="nil"/>
              <w:tr2bl w:val="nil"/>
            </w:tcBorders>
            <w:shd w:val="clear" w:color="auto" w:fill="auto"/>
            <w:vAlign w:val="center"/>
          </w:tcPr>
          <w:p w14:paraId="0351EC41">
            <w:pPr>
              <w:pStyle w:val="1111"/>
              <w:bidi w:val="0"/>
            </w:pPr>
            <w:r>
              <w:t>E2</w:t>
            </w:r>
          </w:p>
        </w:tc>
        <w:tc>
          <w:tcPr>
            <w:tcW w:w="1250" w:type="pct"/>
            <w:tcBorders>
              <w:tl2br w:val="nil"/>
              <w:tr2bl w:val="nil"/>
            </w:tcBorders>
            <w:shd w:val="clear" w:color="auto" w:fill="auto"/>
            <w:vAlign w:val="center"/>
          </w:tcPr>
          <w:p w14:paraId="08B2AB23">
            <w:pPr>
              <w:pStyle w:val="1111"/>
              <w:bidi w:val="0"/>
            </w:pPr>
            <w:r>
              <w:t>E3</w:t>
            </w:r>
          </w:p>
        </w:tc>
      </w:tr>
      <w:tr w14:paraId="42C768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0" w:type="pct"/>
            <w:tcBorders>
              <w:tl2br w:val="nil"/>
              <w:tr2bl w:val="nil"/>
            </w:tcBorders>
            <w:shd w:val="clear" w:color="auto" w:fill="auto"/>
            <w:vAlign w:val="center"/>
          </w:tcPr>
          <w:p w14:paraId="258EB5E0">
            <w:pPr>
              <w:pStyle w:val="1111"/>
              <w:bidi w:val="0"/>
            </w:pPr>
            <w:r>
              <w:t>D3</w:t>
            </w:r>
          </w:p>
        </w:tc>
        <w:tc>
          <w:tcPr>
            <w:tcW w:w="1250" w:type="pct"/>
            <w:tcBorders>
              <w:tl2br w:val="nil"/>
              <w:tr2bl w:val="nil"/>
            </w:tcBorders>
            <w:shd w:val="clear" w:color="auto" w:fill="auto"/>
            <w:vAlign w:val="center"/>
          </w:tcPr>
          <w:p w14:paraId="71E08D8E">
            <w:pPr>
              <w:pStyle w:val="1111"/>
              <w:bidi w:val="0"/>
            </w:pPr>
            <w:r>
              <w:t>E2</w:t>
            </w:r>
          </w:p>
        </w:tc>
        <w:tc>
          <w:tcPr>
            <w:tcW w:w="1250" w:type="pct"/>
            <w:tcBorders>
              <w:tl2br w:val="nil"/>
              <w:tr2bl w:val="nil"/>
            </w:tcBorders>
            <w:shd w:val="clear" w:color="auto" w:fill="auto"/>
            <w:vAlign w:val="center"/>
          </w:tcPr>
          <w:p w14:paraId="23857193">
            <w:pPr>
              <w:pStyle w:val="1111"/>
              <w:bidi w:val="0"/>
            </w:pPr>
            <w:r>
              <w:t>E3</w:t>
            </w:r>
          </w:p>
        </w:tc>
        <w:tc>
          <w:tcPr>
            <w:tcW w:w="1250" w:type="pct"/>
            <w:tcBorders>
              <w:tl2br w:val="nil"/>
              <w:tr2bl w:val="nil"/>
            </w:tcBorders>
            <w:shd w:val="clear" w:color="auto" w:fill="auto"/>
            <w:vAlign w:val="center"/>
          </w:tcPr>
          <w:p w14:paraId="2364906B">
            <w:pPr>
              <w:pStyle w:val="1111"/>
              <w:bidi w:val="0"/>
            </w:pPr>
            <w:r>
              <w:t>E3</w:t>
            </w:r>
          </w:p>
        </w:tc>
      </w:tr>
    </w:tbl>
    <w:p w14:paraId="54219EE0">
      <w:pPr>
        <w:pStyle w:val="1111"/>
        <w:bidi w:val="0"/>
      </w:pPr>
      <w:r>
        <w:t>表</w:t>
      </w:r>
      <w:r>
        <w:rPr>
          <w:rFonts w:hint="eastAsia"/>
          <w:lang w:val="en-US" w:eastAsia="zh-CN"/>
        </w:rPr>
        <w:t>3</w:t>
      </w:r>
      <w:r>
        <w:t>-7  地下水功能敏感性分区</w:t>
      </w:r>
    </w:p>
    <w:tbl>
      <w:tblPr>
        <w:tblStyle w:val="7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7"/>
        <w:gridCol w:w="7513"/>
      </w:tblGrid>
      <w:tr w14:paraId="04CC66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854" w:type="pct"/>
            <w:tcBorders>
              <w:tl2br w:val="nil"/>
              <w:tr2bl w:val="nil"/>
            </w:tcBorders>
            <w:shd w:val="clear" w:color="auto" w:fill="auto"/>
            <w:vAlign w:val="center"/>
          </w:tcPr>
          <w:p w14:paraId="6D512F71">
            <w:pPr>
              <w:pStyle w:val="1111"/>
              <w:bidi w:val="0"/>
            </w:pPr>
            <w:r>
              <w:t>分级</w:t>
            </w:r>
          </w:p>
        </w:tc>
        <w:tc>
          <w:tcPr>
            <w:tcW w:w="4146" w:type="pct"/>
            <w:tcBorders>
              <w:tl2br w:val="nil"/>
              <w:tr2bl w:val="nil"/>
            </w:tcBorders>
            <w:shd w:val="clear" w:color="auto" w:fill="auto"/>
            <w:vAlign w:val="center"/>
          </w:tcPr>
          <w:p w14:paraId="76DDB6E8">
            <w:pPr>
              <w:pStyle w:val="1111"/>
              <w:bidi w:val="0"/>
            </w:pPr>
            <w:r>
              <w:t>项目场地的地下水环境敏感特征</w:t>
            </w:r>
          </w:p>
        </w:tc>
      </w:tr>
      <w:tr w14:paraId="19840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854" w:type="pct"/>
            <w:tcBorders>
              <w:tl2br w:val="nil"/>
              <w:tr2bl w:val="nil"/>
            </w:tcBorders>
            <w:shd w:val="clear" w:color="auto" w:fill="auto"/>
            <w:vAlign w:val="center"/>
          </w:tcPr>
          <w:p w14:paraId="7EDE9CE2">
            <w:pPr>
              <w:pStyle w:val="1111"/>
              <w:bidi w:val="0"/>
            </w:pPr>
            <w:r>
              <w:t>敏感G1</w:t>
            </w:r>
          </w:p>
        </w:tc>
        <w:tc>
          <w:tcPr>
            <w:tcW w:w="4146" w:type="pct"/>
            <w:tcBorders>
              <w:tl2br w:val="nil"/>
              <w:tr2bl w:val="nil"/>
            </w:tcBorders>
            <w:shd w:val="clear" w:color="auto" w:fill="auto"/>
            <w:vAlign w:val="center"/>
          </w:tcPr>
          <w:p w14:paraId="04AB871D">
            <w:pPr>
              <w:pStyle w:val="1111"/>
              <w:bidi w:val="0"/>
            </w:pPr>
            <w:r>
              <w:t>集中式饮用水水源地（包括已建成的在用、备用、应急水源地，在建和规划的水源地）准保护区；除集中式饮用水源地以外的国家或地方政府设定的与地下水环境相关的其它保护区，如热水、矿泉水、温泉等特殊地下水资源保护区</w:t>
            </w:r>
          </w:p>
        </w:tc>
      </w:tr>
      <w:tr w14:paraId="095F56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854" w:type="pct"/>
            <w:tcBorders>
              <w:tl2br w:val="nil"/>
              <w:tr2bl w:val="nil"/>
            </w:tcBorders>
            <w:shd w:val="clear" w:color="auto" w:fill="auto"/>
            <w:vAlign w:val="center"/>
          </w:tcPr>
          <w:p w14:paraId="35815214">
            <w:pPr>
              <w:pStyle w:val="1111"/>
              <w:bidi w:val="0"/>
            </w:pPr>
            <w:r>
              <w:t>较敏感G2</w:t>
            </w:r>
          </w:p>
        </w:tc>
        <w:tc>
          <w:tcPr>
            <w:tcW w:w="4146" w:type="pct"/>
            <w:tcBorders>
              <w:tl2br w:val="nil"/>
              <w:tr2bl w:val="nil"/>
            </w:tcBorders>
            <w:shd w:val="clear" w:color="auto" w:fill="auto"/>
            <w:vAlign w:val="center"/>
          </w:tcPr>
          <w:p w14:paraId="5E5BCAB7">
            <w:pPr>
              <w:pStyle w:val="1111"/>
              <w:bidi w:val="0"/>
            </w:pPr>
            <w:r>
              <w:t>集中式饮用水水源地（包括已建成的在用、备用、应急水源地，在建和规划的水源地）准保护区以外的补给径流区；未划定准保护区的集中式饮用水水源，其保护区以外的补给径流区；分散式饮用水水源地；特殊地下水资源（如矿泉水、温泉等）保护区以外的分布区等其它未列入上述敏感分级的环境敏感区</w:t>
            </w:r>
          </w:p>
        </w:tc>
      </w:tr>
      <w:tr w14:paraId="2A520C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854" w:type="pct"/>
            <w:tcBorders>
              <w:tl2br w:val="nil"/>
              <w:tr2bl w:val="nil"/>
            </w:tcBorders>
            <w:shd w:val="clear" w:color="auto" w:fill="auto"/>
            <w:vAlign w:val="center"/>
          </w:tcPr>
          <w:p w14:paraId="4375D2CA">
            <w:pPr>
              <w:pStyle w:val="1111"/>
              <w:bidi w:val="0"/>
            </w:pPr>
            <w:r>
              <w:t>不敏感G3</w:t>
            </w:r>
          </w:p>
        </w:tc>
        <w:tc>
          <w:tcPr>
            <w:tcW w:w="4146" w:type="pct"/>
            <w:tcBorders>
              <w:tl2br w:val="nil"/>
              <w:tr2bl w:val="nil"/>
            </w:tcBorders>
            <w:shd w:val="clear" w:color="auto" w:fill="auto"/>
            <w:vAlign w:val="center"/>
          </w:tcPr>
          <w:p w14:paraId="42049A8C">
            <w:pPr>
              <w:pStyle w:val="1111"/>
              <w:bidi w:val="0"/>
            </w:pPr>
            <w:r>
              <w:t>上述地区之外的其它地区</w:t>
            </w:r>
          </w:p>
        </w:tc>
      </w:tr>
    </w:tbl>
    <w:p w14:paraId="67536B24">
      <w:pPr>
        <w:pStyle w:val="1111"/>
        <w:bidi w:val="0"/>
      </w:pPr>
      <w:r>
        <w:t>表</w:t>
      </w:r>
      <w:r>
        <w:rPr>
          <w:rFonts w:hint="eastAsia"/>
          <w:lang w:val="en-US" w:eastAsia="zh-CN"/>
        </w:rPr>
        <w:t>3</w:t>
      </w:r>
      <w:r>
        <w:t>-8  包气带防污性能分级</w:t>
      </w:r>
    </w:p>
    <w:tbl>
      <w:tblPr>
        <w:tblStyle w:val="7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90"/>
        <w:gridCol w:w="6770"/>
      </w:tblGrid>
      <w:tr w14:paraId="7ECFC2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64" w:type="pct"/>
            <w:tcBorders>
              <w:tl2br w:val="nil"/>
              <w:tr2bl w:val="nil"/>
            </w:tcBorders>
            <w:shd w:val="clear" w:color="auto" w:fill="auto"/>
            <w:vAlign w:val="center"/>
          </w:tcPr>
          <w:p w14:paraId="5E978D93">
            <w:pPr>
              <w:pStyle w:val="1111"/>
              <w:bidi w:val="0"/>
            </w:pPr>
            <w:r>
              <w:t>分级</w:t>
            </w:r>
          </w:p>
        </w:tc>
        <w:tc>
          <w:tcPr>
            <w:tcW w:w="3736" w:type="pct"/>
            <w:tcBorders>
              <w:tl2br w:val="nil"/>
              <w:tr2bl w:val="nil"/>
            </w:tcBorders>
            <w:shd w:val="clear" w:color="auto" w:fill="auto"/>
            <w:vAlign w:val="center"/>
          </w:tcPr>
          <w:p w14:paraId="0E081DDA">
            <w:pPr>
              <w:pStyle w:val="1111"/>
              <w:bidi w:val="0"/>
            </w:pPr>
            <w:r>
              <w:t>包气带岩土的渗透性能</w:t>
            </w:r>
          </w:p>
        </w:tc>
      </w:tr>
      <w:tr w14:paraId="3BF7D9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64" w:type="pct"/>
            <w:tcBorders>
              <w:tl2br w:val="nil"/>
              <w:tr2bl w:val="nil"/>
            </w:tcBorders>
            <w:shd w:val="clear" w:color="auto" w:fill="auto"/>
            <w:vAlign w:val="center"/>
          </w:tcPr>
          <w:p w14:paraId="679F712A">
            <w:pPr>
              <w:pStyle w:val="1111"/>
              <w:bidi w:val="0"/>
            </w:pPr>
            <w:r>
              <w:t>D3</w:t>
            </w:r>
          </w:p>
        </w:tc>
        <w:tc>
          <w:tcPr>
            <w:tcW w:w="3736" w:type="pct"/>
            <w:tcBorders>
              <w:tl2br w:val="nil"/>
              <w:tr2bl w:val="nil"/>
            </w:tcBorders>
            <w:shd w:val="clear" w:color="auto" w:fill="auto"/>
            <w:vAlign w:val="center"/>
          </w:tcPr>
          <w:p w14:paraId="0CD4E468">
            <w:pPr>
              <w:pStyle w:val="1111"/>
              <w:bidi w:val="0"/>
            </w:pPr>
            <w:r>
              <w:t>Mb≥1.0m，K≤1×10</w:t>
            </w:r>
            <w:r>
              <w:rPr>
                <w:vertAlign w:val="superscript"/>
              </w:rPr>
              <w:t>-6</w:t>
            </w:r>
            <w:r>
              <w:t>cm/s，且分布连续、稳定</w:t>
            </w:r>
          </w:p>
        </w:tc>
      </w:tr>
      <w:tr w14:paraId="404FFE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64" w:type="pct"/>
            <w:tcBorders>
              <w:tl2br w:val="nil"/>
              <w:tr2bl w:val="nil"/>
            </w:tcBorders>
            <w:shd w:val="clear" w:color="auto" w:fill="auto"/>
            <w:vAlign w:val="center"/>
          </w:tcPr>
          <w:p w14:paraId="2A512149">
            <w:pPr>
              <w:pStyle w:val="1111"/>
              <w:bidi w:val="0"/>
            </w:pPr>
            <w:r>
              <w:t>D2</w:t>
            </w:r>
          </w:p>
        </w:tc>
        <w:tc>
          <w:tcPr>
            <w:tcW w:w="3736" w:type="pct"/>
            <w:tcBorders>
              <w:tl2br w:val="nil"/>
              <w:tr2bl w:val="nil"/>
            </w:tcBorders>
            <w:shd w:val="clear" w:color="auto" w:fill="auto"/>
            <w:vAlign w:val="center"/>
          </w:tcPr>
          <w:p w14:paraId="26004A84">
            <w:pPr>
              <w:pStyle w:val="1111"/>
              <w:bidi w:val="0"/>
            </w:pPr>
            <w:r>
              <w:t>0.5m≤Mb＜1.0m，K≤1×10</w:t>
            </w:r>
            <w:r>
              <w:rPr>
                <w:vertAlign w:val="superscript"/>
              </w:rPr>
              <w:t>-6</w:t>
            </w:r>
            <w:r>
              <w:t>cm/s，且分布连续</w:t>
            </w:r>
          </w:p>
          <w:p w14:paraId="19668630">
            <w:pPr>
              <w:pStyle w:val="1111"/>
              <w:bidi w:val="0"/>
            </w:pPr>
            <w:r>
              <w:t>Mb≥1.0m，1×10</w:t>
            </w:r>
            <w:r>
              <w:rPr>
                <w:vertAlign w:val="superscript"/>
              </w:rPr>
              <w:t>-6</w:t>
            </w:r>
            <w:r>
              <w:t>cm/s＜K≤1×10</w:t>
            </w:r>
            <w:r>
              <w:rPr>
                <w:vertAlign w:val="superscript"/>
              </w:rPr>
              <w:t>-4</w:t>
            </w:r>
            <w:r>
              <w:t>cm/s，且分布连续、稳定</w:t>
            </w:r>
          </w:p>
        </w:tc>
      </w:tr>
      <w:tr w14:paraId="2E6EBC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264" w:type="pct"/>
            <w:tcBorders>
              <w:tl2br w:val="nil"/>
              <w:tr2bl w:val="nil"/>
            </w:tcBorders>
            <w:shd w:val="clear" w:color="auto" w:fill="auto"/>
            <w:vAlign w:val="center"/>
          </w:tcPr>
          <w:p w14:paraId="33F5B2F8">
            <w:pPr>
              <w:pStyle w:val="1111"/>
              <w:bidi w:val="0"/>
            </w:pPr>
            <w:r>
              <w:t>D1</w:t>
            </w:r>
          </w:p>
        </w:tc>
        <w:tc>
          <w:tcPr>
            <w:tcW w:w="3736" w:type="pct"/>
            <w:tcBorders>
              <w:tl2br w:val="nil"/>
              <w:tr2bl w:val="nil"/>
            </w:tcBorders>
            <w:shd w:val="clear" w:color="auto" w:fill="auto"/>
            <w:vAlign w:val="center"/>
          </w:tcPr>
          <w:p w14:paraId="2C63331B">
            <w:pPr>
              <w:pStyle w:val="1111"/>
              <w:bidi w:val="0"/>
            </w:pPr>
            <w:r>
              <w:t>岩（土）层不满足上述“D2</w:t>
            </w:r>
            <w:r>
              <w:rPr>
                <w:rFonts w:hint="eastAsia"/>
                <w:lang w:eastAsia="zh-CN"/>
              </w:rPr>
              <w:t>”</w:t>
            </w:r>
            <w:r>
              <w:t>和“D3</w:t>
            </w:r>
            <w:r>
              <w:rPr>
                <w:rFonts w:hint="eastAsia"/>
                <w:lang w:eastAsia="zh-CN"/>
              </w:rPr>
              <w:t>”</w:t>
            </w:r>
            <w:r>
              <w:t>条件</w:t>
            </w:r>
          </w:p>
        </w:tc>
      </w:tr>
    </w:tbl>
    <w:p w14:paraId="57E45B26">
      <w:pPr>
        <w:pStyle w:val="512"/>
        <w:bidi w:val="0"/>
      </w:pPr>
      <w:r>
        <w:t>本项目地下水不存在集中式饮用水水源地准保护区，亦不是补给径流区，也不存在如热水、矿泉水、温泉等特殊地下水资源保护区，因此地下水敏感性分区为G3，因此本项目包气带防污性能分级为D2，综上，本项目地下水环境敏感程度分级为E3。</w:t>
      </w:r>
    </w:p>
    <w:p w14:paraId="30BA90DD">
      <w:pPr>
        <w:pStyle w:val="515"/>
        <w:bidi w:val="0"/>
      </w:pPr>
      <w:bookmarkStart w:id="16" w:name="_Toc146013779"/>
      <w:r>
        <w:rPr>
          <w:rFonts w:hint="eastAsia"/>
          <w:lang w:val="en-US" w:eastAsia="zh-CN"/>
        </w:rPr>
        <w:t>3.</w:t>
      </w:r>
      <w:r>
        <w:t>3环境风险潜势划分</w:t>
      </w:r>
      <w:bookmarkEnd w:id="16"/>
    </w:p>
    <w:p w14:paraId="4FD44BCF">
      <w:pPr>
        <w:pStyle w:val="512"/>
        <w:bidi w:val="0"/>
      </w:pPr>
      <w:r>
        <w:t>根据《建设项目环境风险评价技术导则HJ169-2018》规定，环境风险潜势划分原则如下：</w:t>
      </w:r>
    </w:p>
    <w:p w14:paraId="504F5906">
      <w:pPr>
        <w:pStyle w:val="1111"/>
        <w:bidi w:val="0"/>
      </w:pPr>
      <w:r>
        <w:t>表</w:t>
      </w:r>
      <w:r>
        <w:rPr>
          <w:rFonts w:hint="eastAsia"/>
          <w:lang w:val="en-US" w:eastAsia="zh-CN"/>
        </w:rPr>
        <w:t>3</w:t>
      </w:r>
      <w:r>
        <w:t>-9  建设项目环境风险潜势划分</w:t>
      </w:r>
    </w:p>
    <w:tbl>
      <w:tblPr>
        <w:tblStyle w:val="7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08"/>
        <w:gridCol w:w="1700"/>
        <w:gridCol w:w="1700"/>
        <w:gridCol w:w="1839"/>
        <w:gridCol w:w="1413"/>
      </w:tblGrid>
      <w:tr w14:paraId="578F0D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329" w:type="pct"/>
            <w:vMerge w:val="restart"/>
            <w:tcBorders>
              <w:tl2br w:val="nil"/>
              <w:tr2bl w:val="nil"/>
            </w:tcBorders>
            <w:vAlign w:val="center"/>
          </w:tcPr>
          <w:p w14:paraId="37A51053">
            <w:pPr>
              <w:pStyle w:val="1111"/>
              <w:bidi w:val="0"/>
            </w:pPr>
            <w:r>
              <w:t>环境敏感程度（E）</w:t>
            </w:r>
          </w:p>
        </w:tc>
        <w:tc>
          <w:tcPr>
            <w:tcW w:w="3671" w:type="pct"/>
            <w:gridSpan w:val="4"/>
            <w:tcBorders>
              <w:tl2br w:val="nil"/>
              <w:tr2bl w:val="nil"/>
            </w:tcBorders>
            <w:vAlign w:val="center"/>
          </w:tcPr>
          <w:p w14:paraId="2F52DBED">
            <w:pPr>
              <w:pStyle w:val="1111"/>
              <w:bidi w:val="0"/>
            </w:pPr>
            <w:r>
              <w:t>危险物质及工艺系统危险性（P）</w:t>
            </w:r>
          </w:p>
        </w:tc>
      </w:tr>
      <w:tr w14:paraId="759368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329" w:type="pct"/>
            <w:vMerge w:val="continue"/>
            <w:tcBorders>
              <w:tl2br w:val="nil"/>
              <w:tr2bl w:val="nil"/>
            </w:tcBorders>
            <w:vAlign w:val="center"/>
          </w:tcPr>
          <w:p w14:paraId="38AE5A0A">
            <w:pPr>
              <w:pStyle w:val="1111"/>
              <w:bidi w:val="0"/>
            </w:pPr>
          </w:p>
        </w:tc>
        <w:tc>
          <w:tcPr>
            <w:tcW w:w="938" w:type="pct"/>
            <w:tcBorders>
              <w:tl2br w:val="nil"/>
              <w:tr2bl w:val="nil"/>
            </w:tcBorders>
            <w:vAlign w:val="center"/>
          </w:tcPr>
          <w:p w14:paraId="253E507D">
            <w:pPr>
              <w:pStyle w:val="1111"/>
              <w:bidi w:val="0"/>
            </w:pPr>
            <w:r>
              <w:t>极高危害（P1）</w:t>
            </w:r>
          </w:p>
        </w:tc>
        <w:tc>
          <w:tcPr>
            <w:tcW w:w="938" w:type="pct"/>
            <w:tcBorders>
              <w:tl2br w:val="nil"/>
              <w:tr2bl w:val="nil"/>
            </w:tcBorders>
            <w:vAlign w:val="center"/>
          </w:tcPr>
          <w:p w14:paraId="6FB7803C">
            <w:pPr>
              <w:pStyle w:val="1111"/>
              <w:bidi w:val="0"/>
            </w:pPr>
            <w:r>
              <w:t>高度危害（P2）</w:t>
            </w:r>
          </w:p>
        </w:tc>
        <w:tc>
          <w:tcPr>
            <w:tcW w:w="1015" w:type="pct"/>
            <w:tcBorders>
              <w:tl2br w:val="nil"/>
              <w:tr2bl w:val="nil"/>
            </w:tcBorders>
            <w:vAlign w:val="center"/>
          </w:tcPr>
          <w:p w14:paraId="54709584">
            <w:pPr>
              <w:pStyle w:val="1111"/>
              <w:bidi w:val="0"/>
            </w:pPr>
            <w:r>
              <w:t>中度危害（P3）</w:t>
            </w:r>
          </w:p>
        </w:tc>
        <w:tc>
          <w:tcPr>
            <w:tcW w:w="780" w:type="pct"/>
            <w:tcBorders>
              <w:tl2br w:val="nil"/>
              <w:tr2bl w:val="nil"/>
            </w:tcBorders>
            <w:vAlign w:val="center"/>
          </w:tcPr>
          <w:p w14:paraId="51CB912C">
            <w:pPr>
              <w:pStyle w:val="1111"/>
              <w:bidi w:val="0"/>
            </w:pPr>
            <w:r>
              <w:t>轻度危害（P4）</w:t>
            </w:r>
          </w:p>
        </w:tc>
      </w:tr>
      <w:tr w14:paraId="3A8973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329" w:type="pct"/>
            <w:tcBorders>
              <w:tl2br w:val="nil"/>
              <w:tr2bl w:val="nil"/>
            </w:tcBorders>
            <w:vAlign w:val="center"/>
          </w:tcPr>
          <w:p w14:paraId="428CF144">
            <w:pPr>
              <w:pStyle w:val="1111"/>
              <w:bidi w:val="0"/>
            </w:pPr>
            <w:r>
              <w:t>环境高度敏感区（E1）</w:t>
            </w:r>
          </w:p>
        </w:tc>
        <w:tc>
          <w:tcPr>
            <w:tcW w:w="938" w:type="pct"/>
            <w:tcBorders>
              <w:tl2br w:val="nil"/>
              <w:tr2bl w:val="nil"/>
            </w:tcBorders>
            <w:vAlign w:val="center"/>
          </w:tcPr>
          <w:p w14:paraId="7ABB3B0D">
            <w:pPr>
              <w:pStyle w:val="1111"/>
              <w:bidi w:val="0"/>
            </w:pPr>
            <w:r>
              <w:t>IV+</w:t>
            </w:r>
          </w:p>
        </w:tc>
        <w:tc>
          <w:tcPr>
            <w:tcW w:w="938" w:type="pct"/>
            <w:tcBorders>
              <w:tl2br w:val="nil"/>
              <w:tr2bl w:val="nil"/>
            </w:tcBorders>
            <w:vAlign w:val="center"/>
          </w:tcPr>
          <w:p w14:paraId="59260DB6">
            <w:pPr>
              <w:pStyle w:val="1111"/>
              <w:bidi w:val="0"/>
            </w:pPr>
            <w:r>
              <w:t>IV</w:t>
            </w:r>
          </w:p>
        </w:tc>
        <w:tc>
          <w:tcPr>
            <w:tcW w:w="1015" w:type="pct"/>
            <w:tcBorders>
              <w:tl2br w:val="nil"/>
              <w:tr2bl w:val="nil"/>
            </w:tcBorders>
            <w:vAlign w:val="center"/>
          </w:tcPr>
          <w:p w14:paraId="65D2EF2D">
            <w:pPr>
              <w:pStyle w:val="1111"/>
              <w:bidi w:val="0"/>
            </w:pPr>
            <w:r>
              <w:t>III</w:t>
            </w:r>
          </w:p>
        </w:tc>
        <w:tc>
          <w:tcPr>
            <w:tcW w:w="780" w:type="pct"/>
            <w:tcBorders>
              <w:tl2br w:val="nil"/>
              <w:tr2bl w:val="nil"/>
            </w:tcBorders>
            <w:vAlign w:val="center"/>
          </w:tcPr>
          <w:p w14:paraId="6E879FF0">
            <w:pPr>
              <w:pStyle w:val="1111"/>
              <w:bidi w:val="0"/>
            </w:pPr>
            <w:r>
              <w:t>III</w:t>
            </w:r>
          </w:p>
        </w:tc>
      </w:tr>
      <w:tr w14:paraId="5F033E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329" w:type="pct"/>
            <w:tcBorders>
              <w:tl2br w:val="nil"/>
              <w:tr2bl w:val="nil"/>
            </w:tcBorders>
            <w:vAlign w:val="center"/>
          </w:tcPr>
          <w:p w14:paraId="3D69A7BE">
            <w:pPr>
              <w:pStyle w:val="1111"/>
              <w:bidi w:val="0"/>
            </w:pPr>
            <w:r>
              <w:t>环境中度敏感区（E2）</w:t>
            </w:r>
          </w:p>
        </w:tc>
        <w:tc>
          <w:tcPr>
            <w:tcW w:w="938" w:type="pct"/>
            <w:tcBorders>
              <w:tl2br w:val="nil"/>
              <w:tr2bl w:val="nil"/>
            </w:tcBorders>
            <w:vAlign w:val="center"/>
          </w:tcPr>
          <w:p w14:paraId="054CCAD3">
            <w:pPr>
              <w:pStyle w:val="1111"/>
              <w:bidi w:val="0"/>
            </w:pPr>
            <w:r>
              <w:t>IV</w:t>
            </w:r>
          </w:p>
        </w:tc>
        <w:tc>
          <w:tcPr>
            <w:tcW w:w="938" w:type="pct"/>
            <w:tcBorders>
              <w:tl2br w:val="nil"/>
              <w:tr2bl w:val="nil"/>
            </w:tcBorders>
            <w:vAlign w:val="center"/>
          </w:tcPr>
          <w:p w14:paraId="36A7A93B">
            <w:pPr>
              <w:pStyle w:val="1111"/>
              <w:bidi w:val="0"/>
            </w:pPr>
            <w:r>
              <w:t>III</w:t>
            </w:r>
          </w:p>
        </w:tc>
        <w:tc>
          <w:tcPr>
            <w:tcW w:w="1015" w:type="pct"/>
            <w:tcBorders>
              <w:tl2br w:val="nil"/>
              <w:tr2bl w:val="nil"/>
            </w:tcBorders>
            <w:vAlign w:val="center"/>
          </w:tcPr>
          <w:p w14:paraId="10F6A2C9">
            <w:pPr>
              <w:pStyle w:val="1111"/>
              <w:bidi w:val="0"/>
            </w:pPr>
            <w:r>
              <w:t>III</w:t>
            </w:r>
          </w:p>
        </w:tc>
        <w:tc>
          <w:tcPr>
            <w:tcW w:w="780" w:type="pct"/>
            <w:tcBorders>
              <w:tl2br w:val="nil"/>
              <w:tr2bl w:val="nil"/>
            </w:tcBorders>
            <w:vAlign w:val="center"/>
          </w:tcPr>
          <w:p w14:paraId="2B20CA44">
            <w:pPr>
              <w:pStyle w:val="1111"/>
              <w:bidi w:val="0"/>
            </w:pPr>
            <w:r>
              <w:t>II</w:t>
            </w:r>
          </w:p>
        </w:tc>
      </w:tr>
      <w:tr w14:paraId="0658B3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329" w:type="pct"/>
            <w:tcBorders>
              <w:tl2br w:val="nil"/>
              <w:tr2bl w:val="nil"/>
            </w:tcBorders>
            <w:vAlign w:val="center"/>
          </w:tcPr>
          <w:p w14:paraId="18A83F2B">
            <w:pPr>
              <w:pStyle w:val="1111"/>
              <w:bidi w:val="0"/>
            </w:pPr>
            <w:r>
              <w:t>环境低度敏感区（E3）</w:t>
            </w:r>
          </w:p>
        </w:tc>
        <w:tc>
          <w:tcPr>
            <w:tcW w:w="938" w:type="pct"/>
            <w:tcBorders>
              <w:tl2br w:val="nil"/>
              <w:tr2bl w:val="nil"/>
            </w:tcBorders>
            <w:vAlign w:val="center"/>
          </w:tcPr>
          <w:p w14:paraId="671DB44F">
            <w:pPr>
              <w:pStyle w:val="1111"/>
              <w:bidi w:val="0"/>
            </w:pPr>
            <w:r>
              <w:t>III</w:t>
            </w:r>
          </w:p>
        </w:tc>
        <w:tc>
          <w:tcPr>
            <w:tcW w:w="938" w:type="pct"/>
            <w:tcBorders>
              <w:tl2br w:val="nil"/>
              <w:tr2bl w:val="nil"/>
            </w:tcBorders>
            <w:vAlign w:val="center"/>
          </w:tcPr>
          <w:p w14:paraId="2E4E4947">
            <w:pPr>
              <w:pStyle w:val="1111"/>
              <w:bidi w:val="0"/>
            </w:pPr>
            <w:r>
              <w:t>III</w:t>
            </w:r>
          </w:p>
        </w:tc>
        <w:tc>
          <w:tcPr>
            <w:tcW w:w="1015" w:type="pct"/>
            <w:tcBorders>
              <w:tl2br w:val="nil"/>
              <w:tr2bl w:val="nil"/>
            </w:tcBorders>
            <w:vAlign w:val="center"/>
          </w:tcPr>
          <w:p w14:paraId="2C1C9989">
            <w:pPr>
              <w:pStyle w:val="1111"/>
              <w:bidi w:val="0"/>
            </w:pPr>
            <w:r>
              <w:t>II</w:t>
            </w:r>
          </w:p>
        </w:tc>
        <w:tc>
          <w:tcPr>
            <w:tcW w:w="780" w:type="pct"/>
            <w:tcBorders>
              <w:tl2br w:val="nil"/>
              <w:tr2bl w:val="nil"/>
            </w:tcBorders>
            <w:vAlign w:val="center"/>
          </w:tcPr>
          <w:p w14:paraId="10E8FE78">
            <w:pPr>
              <w:pStyle w:val="1111"/>
              <w:bidi w:val="0"/>
            </w:pPr>
            <w:r>
              <w:t>I</w:t>
            </w:r>
          </w:p>
        </w:tc>
      </w:tr>
      <w:tr w14:paraId="5B223A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5000" w:type="pct"/>
            <w:gridSpan w:val="5"/>
            <w:tcBorders>
              <w:tl2br w:val="nil"/>
              <w:tr2bl w:val="nil"/>
            </w:tcBorders>
            <w:vAlign w:val="center"/>
          </w:tcPr>
          <w:p w14:paraId="5BB1CEC2">
            <w:pPr>
              <w:pStyle w:val="1111"/>
              <w:bidi w:val="0"/>
            </w:pPr>
            <w:r>
              <w:t>注：IV*为极高环境风险。</w:t>
            </w:r>
          </w:p>
        </w:tc>
      </w:tr>
    </w:tbl>
    <w:p w14:paraId="5F2A5157">
      <w:pPr>
        <w:pStyle w:val="512"/>
        <w:bidi w:val="0"/>
      </w:pPr>
      <w:r>
        <w:t>本项目危险物质及工艺系统危险性等级为P</w:t>
      </w:r>
      <w:r>
        <w:rPr>
          <w:rFonts w:hint="eastAsia"/>
          <w:lang w:val="en-US" w:eastAsia="zh-CN"/>
        </w:rPr>
        <w:t>4</w:t>
      </w:r>
      <w:r>
        <w:t>，大气环境敏感程度为E1，地表水环境敏感程度为E</w:t>
      </w:r>
      <w:r>
        <w:rPr>
          <w:rFonts w:hint="eastAsia"/>
          <w:lang w:val="en-US" w:eastAsia="zh-CN"/>
        </w:rPr>
        <w:t>1</w:t>
      </w:r>
      <w:r>
        <w:t>，地下水环境敏感程度为E3，根据上表判断，本项目大气环境风险潜势为III，地表水环境风险潜势为III，地下水环境风险潜势为I。</w:t>
      </w:r>
    </w:p>
    <w:p w14:paraId="2649F02D">
      <w:pPr>
        <w:pStyle w:val="512"/>
        <w:bidi w:val="0"/>
        <w:rPr>
          <w:rFonts w:hint="default"/>
          <w:lang w:val="en-US" w:eastAsia="zh-CN"/>
        </w:rPr>
      </w:pPr>
      <w:r>
        <w:t>根据《建设项目环境风险评价技术导则》（HJ169-2018）划分依据，环境风险潜势综合等级取各要素等级的相对高值，故本项目环境风险潜势综合等级为III。</w:t>
      </w:r>
    </w:p>
    <w:p w14:paraId="60851D07">
      <w:pPr>
        <w:pStyle w:val="515"/>
        <w:bidi w:val="0"/>
      </w:pPr>
      <w:bookmarkStart w:id="17" w:name="_Toc146013780"/>
      <w:r>
        <w:rPr>
          <w:rFonts w:hint="eastAsia"/>
          <w:lang w:val="en-US" w:eastAsia="zh-CN"/>
        </w:rPr>
        <w:t>4</w:t>
      </w:r>
      <w:r>
        <w:t>评价工作等级和评价范围</w:t>
      </w:r>
      <w:bookmarkEnd w:id="17"/>
    </w:p>
    <w:p w14:paraId="2D1191C3">
      <w:pPr>
        <w:pStyle w:val="515"/>
        <w:bidi w:val="0"/>
      </w:pPr>
      <w:bookmarkStart w:id="18" w:name="_Toc146013781"/>
      <w:r>
        <w:rPr>
          <w:rFonts w:hint="eastAsia"/>
          <w:lang w:val="en-US" w:eastAsia="zh-CN"/>
        </w:rPr>
        <w:t>4</w:t>
      </w:r>
      <w:r>
        <w:t>.1评价工作等级划分</w:t>
      </w:r>
      <w:bookmarkEnd w:id="18"/>
    </w:p>
    <w:p w14:paraId="72CDFBBA">
      <w:pPr>
        <w:pStyle w:val="512"/>
        <w:bidi w:val="0"/>
      </w:pPr>
      <w:r>
        <w:t>根据《建设项目环境风险评价技术导则》</w:t>
      </w:r>
      <w:r>
        <w:rPr>
          <w:rFonts w:hint="eastAsia"/>
          <w:lang w:eastAsia="zh-CN"/>
        </w:rPr>
        <w:t>（</w:t>
      </w:r>
      <w:r>
        <w:t>HJ169-2018</w:t>
      </w:r>
      <w:r>
        <w:rPr>
          <w:rFonts w:hint="eastAsia"/>
          <w:lang w:eastAsia="zh-CN"/>
        </w:rPr>
        <w:t>）</w:t>
      </w:r>
      <w:r>
        <w:t>规定，环境风险评价工作等级划分原则如下：</w:t>
      </w:r>
    </w:p>
    <w:p w14:paraId="4729BE8B">
      <w:pPr>
        <w:pStyle w:val="1111"/>
        <w:bidi w:val="0"/>
      </w:pPr>
      <w:r>
        <w:t>表</w:t>
      </w:r>
      <w:r>
        <w:rPr>
          <w:rFonts w:hint="eastAsia"/>
          <w:lang w:val="en-US" w:eastAsia="zh-CN"/>
        </w:rPr>
        <w:t>4</w:t>
      </w:r>
      <w:r>
        <w:t>-1  评价工作等级划分</w:t>
      </w:r>
    </w:p>
    <w:tbl>
      <w:tblPr>
        <w:tblStyle w:val="7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09"/>
        <w:gridCol w:w="1809"/>
        <w:gridCol w:w="1809"/>
        <w:gridCol w:w="1811"/>
        <w:gridCol w:w="1818"/>
      </w:tblGrid>
      <w:tr w14:paraId="756CC4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9" w:type="pct"/>
            <w:vAlign w:val="center"/>
          </w:tcPr>
          <w:p w14:paraId="12649D7B">
            <w:pPr>
              <w:pStyle w:val="1111"/>
              <w:bidi w:val="0"/>
              <w:rPr>
                <w:lang w:val="en-US" w:eastAsia="zh-CN"/>
              </w:rPr>
            </w:pPr>
            <w:r>
              <w:t>环境风险潜势</w:t>
            </w:r>
          </w:p>
        </w:tc>
        <w:tc>
          <w:tcPr>
            <w:tcW w:w="999" w:type="pct"/>
            <w:vAlign w:val="center"/>
          </w:tcPr>
          <w:p w14:paraId="06BB2141">
            <w:pPr>
              <w:pStyle w:val="1111"/>
              <w:bidi w:val="0"/>
              <w:rPr>
                <w:lang w:val="en-US" w:eastAsia="zh-CN"/>
              </w:rPr>
            </w:pPr>
            <w:r>
              <w:fldChar w:fldCharType="begin"/>
            </w:r>
            <w:r>
              <w:instrText xml:space="preserve"> = 4 \* ROMAN \* MERGEFORMAT </w:instrText>
            </w:r>
            <w:r>
              <w:fldChar w:fldCharType="separate"/>
            </w:r>
            <w:r>
              <w:t>IV</w:t>
            </w:r>
            <w:r>
              <w:fldChar w:fldCharType="end"/>
            </w:r>
            <w:r>
              <w:t>、</w:t>
            </w:r>
            <w:r>
              <w:fldChar w:fldCharType="begin"/>
            </w:r>
            <w:r>
              <w:instrText xml:space="preserve"> = 4 \* ROMAN \* MERGEFORMAT </w:instrText>
            </w:r>
            <w:r>
              <w:fldChar w:fldCharType="separate"/>
            </w:r>
            <w:r>
              <w:t>IV</w:t>
            </w:r>
            <w:r>
              <w:fldChar w:fldCharType="end"/>
            </w:r>
            <w:r>
              <w:t>+</w:t>
            </w:r>
          </w:p>
        </w:tc>
        <w:tc>
          <w:tcPr>
            <w:tcW w:w="999" w:type="pct"/>
          </w:tcPr>
          <w:p w14:paraId="5F0A3007">
            <w:pPr>
              <w:pStyle w:val="1111"/>
              <w:bidi w:val="0"/>
            </w:pPr>
            <w:r>
              <w:rPr>
                <w:rFonts w:hint="eastAsia"/>
              </w:rPr>
              <w:t>Ⅲ</w:t>
            </w:r>
          </w:p>
        </w:tc>
        <w:tc>
          <w:tcPr>
            <w:tcW w:w="1000" w:type="pct"/>
            <w:vAlign w:val="center"/>
          </w:tcPr>
          <w:p w14:paraId="7495A618">
            <w:pPr>
              <w:pStyle w:val="1111"/>
              <w:bidi w:val="0"/>
              <w:rPr>
                <w:lang w:val="en-US" w:eastAsia="zh-CN"/>
              </w:rPr>
            </w:pPr>
            <w:r>
              <w:fldChar w:fldCharType="begin"/>
            </w:r>
            <w:r>
              <w:instrText xml:space="preserve"> = 2 \* ROMAN \* MERGEFORMAT </w:instrText>
            </w:r>
            <w:r>
              <w:fldChar w:fldCharType="separate"/>
            </w:r>
            <w:r>
              <w:t>II</w:t>
            </w:r>
            <w:r>
              <w:fldChar w:fldCharType="end"/>
            </w:r>
          </w:p>
        </w:tc>
        <w:tc>
          <w:tcPr>
            <w:tcW w:w="1000" w:type="pct"/>
            <w:vAlign w:val="center"/>
          </w:tcPr>
          <w:p w14:paraId="02512760">
            <w:pPr>
              <w:pStyle w:val="1111"/>
              <w:bidi w:val="0"/>
              <w:rPr>
                <w:lang w:val="en-US" w:eastAsia="zh-CN"/>
              </w:rPr>
            </w:pPr>
            <w:r>
              <w:fldChar w:fldCharType="begin"/>
            </w:r>
            <w:r>
              <w:instrText xml:space="preserve"> = 1 \* ROMAN \* MERGEFORMAT </w:instrText>
            </w:r>
            <w:r>
              <w:fldChar w:fldCharType="separate"/>
            </w:r>
            <w:r>
              <w:t>I</w:t>
            </w:r>
            <w:r>
              <w:fldChar w:fldCharType="end"/>
            </w:r>
          </w:p>
        </w:tc>
      </w:tr>
      <w:tr w14:paraId="0DCC33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9" w:type="pct"/>
            <w:vAlign w:val="center"/>
          </w:tcPr>
          <w:p w14:paraId="1C846A72">
            <w:pPr>
              <w:pStyle w:val="1111"/>
              <w:bidi w:val="0"/>
              <w:rPr>
                <w:lang w:val="en-US" w:eastAsia="zh-CN"/>
              </w:rPr>
            </w:pPr>
            <w:r>
              <w:t>评价工作等级</w:t>
            </w:r>
          </w:p>
        </w:tc>
        <w:tc>
          <w:tcPr>
            <w:tcW w:w="999" w:type="pct"/>
            <w:vAlign w:val="center"/>
          </w:tcPr>
          <w:p w14:paraId="48200BB6">
            <w:pPr>
              <w:pStyle w:val="1111"/>
              <w:bidi w:val="0"/>
              <w:rPr>
                <w:lang w:val="en-US" w:eastAsia="zh-CN"/>
              </w:rPr>
            </w:pPr>
            <w:r>
              <w:t>一</w:t>
            </w:r>
          </w:p>
        </w:tc>
        <w:tc>
          <w:tcPr>
            <w:tcW w:w="999" w:type="pct"/>
          </w:tcPr>
          <w:p w14:paraId="2948C1C7">
            <w:pPr>
              <w:pStyle w:val="1111"/>
              <w:bidi w:val="0"/>
              <w:rPr>
                <w:rFonts w:hint="eastAsia"/>
                <w:lang w:eastAsia="zh-CN"/>
              </w:rPr>
            </w:pPr>
            <w:r>
              <w:rPr>
                <w:rFonts w:hint="eastAsia"/>
                <w:lang w:eastAsia="zh-CN"/>
              </w:rPr>
              <w:t>二</w:t>
            </w:r>
          </w:p>
        </w:tc>
        <w:tc>
          <w:tcPr>
            <w:tcW w:w="1000" w:type="pct"/>
            <w:vAlign w:val="center"/>
          </w:tcPr>
          <w:p w14:paraId="7AEC89F9">
            <w:pPr>
              <w:pStyle w:val="1111"/>
              <w:bidi w:val="0"/>
              <w:rPr>
                <w:lang w:val="en-US" w:eastAsia="zh-CN"/>
              </w:rPr>
            </w:pPr>
            <w:r>
              <w:t>三</w:t>
            </w:r>
          </w:p>
        </w:tc>
        <w:tc>
          <w:tcPr>
            <w:tcW w:w="1000" w:type="pct"/>
            <w:vAlign w:val="center"/>
          </w:tcPr>
          <w:p w14:paraId="341E03BA">
            <w:pPr>
              <w:pStyle w:val="1111"/>
              <w:bidi w:val="0"/>
              <w:rPr>
                <w:lang w:val="en-US" w:eastAsia="zh-CN"/>
              </w:rPr>
            </w:pPr>
            <w:r>
              <w:t>简单分析a</w:t>
            </w:r>
          </w:p>
        </w:tc>
      </w:tr>
      <w:tr w14:paraId="3B1E83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5"/>
            <w:vAlign w:val="center"/>
          </w:tcPr>
          <w:p w14:paraId="5B6C6A49">
            <w:pPr>
              <w:pStyle w:val="1111"/>
              <w:bidi w:val="0"/>
            </w:pPr>
            <w:r>
              <w:t>a是相对于详细评价工作内容而言，在描述危险物质、环境影响途径、环境危害后果、风险防范措施等方面给出定性的说明。见附录A</w:t>
            </w:r>
          </w:p>
        </w:tc>
      </w:tr>
    </w:tbl>
    <w:p w14:paraId="33A7F509">
      <w:pPr>
        <w:pStyle w:val="512"/>
        <w:bidi w:val="0"/>
      </w:pPr>
      <w:r>
        <w:t>本项目环境风险潜势综合等级为III，根据上表，确定建设项目环境风险评价工作级别为二级。因此，确定本项目大气环境风险评价等级为二级，地表水环境风险评价等级为</w:t>
      </w:r>
      <w:r>
        <w:rPr>
          <w:rFonts w:hint="eastAsia"/>
          <w:lang w:eastAsia="zh-CN"/>
        </w:rPr>
        <w:t>二</w:t>
      </w:r>
      <w:r>
        <w:t>级，地下水环境风险评价等级为简单分析。</w:t>
      </w:r>
    </w:p>
    <w:p w14:paraId="3C32EEB9">
      <w:pPr>
        <w:pStyle w:val="515"/>
        <w:bidi w:val="0"/>
      </w:pPr>
      <w:bookmarkStart w:id="19" w:name="_Toc146013782"/>
      <w:r>
        <w:rPr>
          <w:rFonts w:hint="eastAsia"/>
          <w:lang w:val="en-US" w:eastAsia="zh-CN"/>
        </w:rPr>
        <w:t>4</w:t>
      </w:r>
      <w:r>
        <w:t>.2评价范围</w:t>
      </w:r>
      <w:bookmarkEnd w:id="19"/>
    </w:p>
    <w:p w14:paraId="23A11C81">
      <w:pPr>
        <w:pStyle w:val="512"/>
        <w:bidi w:val="0"/>
      </w:pPr>
      <w:r>
        <w:t>根据建设项目各环境因素环境影响评价等级，参照各环境要素环境影响评价技术导则的要求，确定其评价范围。根据《建设项目环境风险评价技术导则》（HJ169-2018）的规定，本项目大气环境风险评价为二级，地表水环境风险潜势为</w:t>
      </w:r>
      <w:r>
        <w:rPr>
          <w:rFonts w:hint="eastAsia"/>
          <w:lang w:eastAsia="zh-CN"/>
        </w:rPr>
        <w:t>二</w:t>
      </w:r>
      <w:r>
        <w:t>级，地下水环境风险潜势为简单分析，因此，本项目风险评价范围见下表。大气风险二级评价需要选取最不利气象条件，选择合适的数值方法进行分析预测，给出风险事故情形下危险物质释放可能造成的大气环境影响范围和程度；地表水评价需要分析说明</w:t>
      </w:r>
      <w:r>
        <w:rPr>
          <w:rFonts w:hint="eastAsia"/>
          <w:lang w:eastAsia="zh-CN"/>
        </w:rPr>
        <w:t>地表水</w:t>
      </w:r>
      <w:r>
        <w:t>环境影响的后果；地下水需要简单分析即可。</w:t>
      </w:r>
    </w:p>
    <w:p w14:paraId="7F44A96C">
      <w:pPr>
        <w:pStyle w:val="1111"/>
        <w:bidi w:val="0"/>
      </w:pPr>
      <w:r>
        <w:t>表</w:t>
      </w:r>
      <w:r>
        <w:rPr>
          <w:rFonts w:hint="eastAsia"/>
          <w:lang w:val="en-US" w:eastAsia="zh-CN"/>
        </w:rPr>
        <w:t>4</w:t>
      </w:r>
      <w:r>
        <w:t>-2  建设项目环境风险评价范围表</w:t>
      </w:r>
    </w:p>
    <w:tbl>
      <w:tblPr>
        <w:tblStyle w:val="7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30"/>
        <w:gridCol w:w="4530"/>
      </w:tblGrid>
      <w:tr w14:paraId="5C044B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0" w:type="pct"/>
            <w:tcBorders>
              <w:tl2br w:val="nil"/>
              <w:tr2bl w:val="nil"/>
            </w:tcBorders>
            <w:vAlign w:val="center"/>
          </w:tcPr>
          <w:p w14:paraId="2A39C588">
            <w:pPr>
              <w:pStyle w:val="1111"/>
              <w:bidi w:val="0"/>
            </w:pPr>
            <w:r>
              <w:t>类别</w:t>
            </w:r>
          </w:p>
        </w:tc>
        <w:tc>
          <w:tcPr>
            <w:tcW w:w="2500" w:type="pct"/>
            <w:tcBorders>
              <w:tl2br w:val="nil"/>
              <w:tr2bl w:val="nil"/>
            </w:tcBorders>
            <w:vAlign w:val="center"/>
          </w:tcPr>
          <w:p w14:paraId="3A299D27">
            <w:pPr>
              <w:pStyle w:val="1111"/>
              <w:bidi w:val="0"/>
            </w:pPr>
            <w:r>
              <w:t>评价范围</w:t>
            </w:r>
          </w:p>
        </w:tc>
      </w:tr>
      <w:tr w14:paraId="41736C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0" w:type="pct"/>
            <w:tcBorders>
              <w:tl2br w:val="nil"/>
              <w:tr2bl w:val="nil"/>
            </w:tcBorders>
            <w:vAlign w:val="center"/>
          </w:tcPr>
          <w:p w14:paraId="4CF2AE43">
            <w:pPr>
              <w:pStyle w:val="1111"/>
              <w:bidi w:val="0"/>
            </w:pPr>
            <w:r>
              <w:t>大气环境风险评价范围</w:t>
            </w:r>
          </w:p>
        </w:tc>
        <w:tc>
          <w:tcPr>
            <w:tcW w:w="2500" w:type="pct"/>
            <w:tcBorders>
              <w:tl2br w:val="nil"/>
              <w:tr2bl w:val="nil"/>
            </w:tcBorders>
            <w:vAlign w:val="center"/>
          </w:tcPr>
          <w:p w14:paraId="439FE052">
            <w:pPr>
              <w:pStyle w:val="1111"/>
              <w:bidi w:val="0"/>
            </w:pPr>
            <w:r>
              <w:t>距建设项目边界5km范围内</w:t>
            </w:r>
          </w:p>
        </w:tc>
      </w:tr>
      <w:tr w14:paraId="0E96E2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0" w:type="pct"/>
            <w:tcBorders>
              <w:tl2br w:val="nil"/>
              <w:tr2bl w:val="nil"/>
            </w:tcBorders>
            <w:vAlign w:val="center"/>
          </w:tcPr>
          <w:p w14:paraId="75F48D9C">
            <w:pPr>
              <w:pStyle w:val="1111"/>
              <w:bidi w:val="0"/>
            </w:pPr>
            <w:r>
              <w:t>地表水环境风险评价范围</w:t>
            </w:r>
          </w:p>
        </w:tc>
        <w:tc>
          <w:tcPr>
            <w:tcW w:w="2500" w:type="pct"/>
            <w:tcBorders>
              <w:tl2br w:val="nil"/>
              <w:tr2bl w:val="nil"/>
            </w:tcBorders>
            <w:vAlign w:val="center"/>
          </w:tcPr>
          <w:p w14:paraId="492E6066">
            <w:pPr>
              <w:pStyle w:val="1111"/>
              <w:bidi w:val="0"/>
            </w:pPr>
            <w:r>
              <w:rPr>
                <w:rFonts w:hint="eastAsia"/>
              </w:rPr>
              <w:t>事故排放</w:t>
            </w:r>
            <w:r>
              <w:t>处下游5km范围内</w:t>
            </w:r>
          </w:p>
        </w:tc>
      </w:tr>
      <w:tr w14:paraId="01C44E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0" w:type="pct"/>
            <w:tcBorders>
              <w:tl2br w:val="nil"/>
              <w:tr2bl w:val="nil"/>
            </w:tcBorders>
            <w:vAlign w:val="center"/>
          </w:tcPr>
          <w:p w14:paraId="0C2954C9">
            <w:pPr>
              <w:pStyle w:val="1111"/>
              <w:bidi w:val="0"/>
            </w:pPr>
            <w:r>
              <w:t>地下水</w:t>
            </w:r>
          </w:p>
        </w:tc>
        <w:tc>
          <w:tcPr>
            <w:tcW w:w="2500" w:type="pct"/>
            <w:tcBorders>
              <w:tl2br w:val="nil"/>
              <w:tr2bl w:val="nil"/>
            </w:tcBorders>
            <w:vAlign w:val="center"/>
          </w:tcPr>
          <w:p w14:paraId="1857F084">
            <w:pPr>
              <w:pStyle w:val="1111"/>
              <w:bidi w:val="0"/>
            </w:pPr>
            <w:r>
              <w:t>无</w:t>
            </w:r>
          </w:p>
        </w:tc>
      </w:tr>
    </w:tbl>
    <w:p w14:paraId="6E888754">
      <w:pPr>
        <w:pStyle w:val="1111"/>
        <w:bidi w:val="0"/>
      </w:pPr>
    </w:p>
    <w:p w14:paraId="0A4483A0">
      <w:pPr>
        <w:pStyle w:val="515"/>
        <w:bidi w:val="0"/>
      </w:pPr>
      <w:bookmarkStart w:id="20" w:name="_Toc146013783"/>
      <w:r>
        <w:rPr>
          <w:rFonts w:hint="eastAsia"/>
          <w:lang w:val="en-US" w:eastAsia="zh-CN"/>
        </w:rPr>
        <w:t>5</w:t>
      </w:r>
      <w:r>
        <w:t>风险识别</w:t>
      </w:r>
      <w:bookmarkEnd w:id="20"/>
    </w:p>
    <w:p w14:paraId="11EC390E">
      <w:pPr>
        <w:pStyle w:val="512"/>
        <w:bidi w:val="0"/>
      </w:pPr>
      <w:r>
        <w:t>环境风险识别内容包括物质危险性识别、生产系统危险性识别及危险物质向环境转移的途径识别。</w:t>
      </w:r>
    </w:p>
    <w:p w14:paraId="3E8E01FB">
      <w:pPr>
        <w:pStyle w:val="515"/>
        <w:bidi w:val="0"/>
      </w:pPr>
      <w:bookmarkStart w:id="21" w:name="_Toc146013784"/>
      <w:r>
        <w:rPr>
          <w:rFonts w:hint="eastAsia"/>
          <w:lang w:val="en-US" w:eastAsia="zh-CN"/>
        </w:rPr>
        <w:t>5</w:t>
      </w:r>
      <w:r>
        <w:t>.1</w:t>
      </w:r>
      <w:r>
        <w:rPr>
          <w:rFonts w:hint="eastAsia"/>
        </w:rPr>
        <w:t>物质</w:t>
      </w:r>
      <w:r>
        <w:t>危险性识别</w:t>
      </w:r>
      <w:bookmarkEnd w:id="21"/>
    </w:p>
    <w:p w14:paraId="14C8E5F9">
      <w:pPr>
        <w:pStyle w:val="512"/>
        <w:bidi w:val="0"/>
      </w:pPr>
      <w:r>
        <w:rPr>
          <w:rFonts w:hint="eastAsia"/>
        </w:rPr>
        <w:t>物质危险性识别主要包括来料危废、火灾和爆炸伴生/次生物等。本项目主要为危险废物的集中收集、贮存、委外处置，无原辅料使用情况。</w:t>
      </w:r>
    </w:p>
    <w:p w14:paraId="43F5D017">
      <w:pPr>
        <w:pStyle w:val="512"/>
        <w:bidi w:val="0"/>
      </w:pPr>
      <w:r>
        <w:t>本项目涉及的环境风险物质主要有收集、贮存的各类危险废物，</w:t>
      </w:r>
      <w:r>
        <w:rPr>
          <w:rFonts w:hint="eastAsia"/>
        </w:rPr>
        <w:t>以及</w:t>
      </w:r>
      <w:r>
        <w:t>运行期间产生的废活性炭</w:t>
      </w:r>
      <w:r>
        <w:rPr>
          <w:rFonts w:hint="eastAsia"/>
          <w:lang w:eastAsia="zh-CN"/>
        </w:rPr>
        <w:t>、废劳保用品、废包装物</w:t>
      </w:r>
      <w:r>
        <w:rPr>
          <w:rFonts w:hint="eastAsia"/>
        </w:rPr>
        <w:t>等。</w:t>
      </w:r>
    </w:p>
    <w:p w14:paraId="51678117">
      <w:pPr>
        <w:pStyle w:val="515"/>
        <w:bidi w:val="0"/>
      </w:pPr>
      <w:bookmarkStart w:id="22" w:name="_Toc146013785"/>
      <w:r>
        <w:rPr>
          <w:rFonts w:hint="eastAsia"/>
          <w:lang w:val="en-US" w:eastAsia="zh-CN"/>
        </w:rPr>
        <w:t>5</w:t>
      </w:r>
      <w:r>
        <w:t>.2</w:t>
      </w:r>
      <w:r>
        <w:rPr>
          <w:rFonts w:hint="eastAsia"/>
        </w:rPr>
        <w:t>生产</w:t>
      </w:r>
      <w:r>
        <w:t>系统危险性识别</w:t>
      </w:r>
      <w:bookmarkEnd w:id="22"/>
    </w:p>
    <w:p w14:paraId="7EEA89BA">
      <w:pPr>
        <w:pStyle w:val="512"/>
        <w:bidi w:val="0"/>
      </w:pPr>
      <w:r>
        <w:t>生产过程风险识别主要包括对生产过程、环保设施、贮运系统等环境出现故障可能发生的</w:t>
      </w:r>
      <w:r>
        <w:rPr>
          <w:rFonts w:hint="eastAsia"/>
          <w:lang w:eastAsia="zh-CN"/>
        </w:rPr>
        <w:t>典型事故风险</w:t>
      </w:r>
      <w:r>
        <w:t>进行识别</w:t>
      </w:r>
      <w:r>
        <w:rPr>
          <w:rFonts w:hint="eastAsia"/>
        </w:rPr>
        <w:t>，</w:t>
      </w:r>
      <w:r>
        <w:t>具体如下</w:t>
      </w:r>
      <w:r>
        <w:rPr>
          <w:rFonts w:hint="eastAsia"/>
        </w:rPr>
        <w:t>：</w:t>
      </w:r>
    </w:p>
    <w:p w14:paraId="42238C25">
      <w:pPr>
        <w:pStyle w:val="1111"/>
        <w:bidi w:val="0"/>
      </w:pPr>
      <w:r>
        <w:t>表</w:t>
      </w:r>
      <w:r>
        <w:rPr>
          <w:rFonts w:hint="eastAsia"/>
          <w:lang w:val="en-US" w:eastAsia="zh-CN"/>
        </w:rPr>
        <w:t>5</w:t>
      </w:r>
      <w:r>
        <w:t>-1  本项目生产系统</w:t>
      </w:r>
      <w:r>
        <w:rPr>
          <w:rFonts w:hint="eastAsia"/>
        </w:rPr>
        <w:t>危险性</w:t>
      </w:r>
      <w:r>
        <w:t>识别表</w:t>
      </w:r>
    </w:p>
    <w:tbl>
      <w:tblPr>
        <w:tblStyle w:val="77"/>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517"/>
        <w:gridCol w:w="707"/>
        <w:gridCol w:w="1107"/>
        <w:gridCol w:w="1305"/>
        <w:gridCol w:w="1305"/>
        <w:gridCol w:w="1305"/>
        <w:gridCol w:w="1305"/>
        <w:gridCol w:w="1303"/>
      </w:tblGrid>
      <w:tr w14:paraId="0EDDDD2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40" w:hRule="atLeast"/>
        </w:trPr>
        <w:tc>
          <w:tcPr>
            <w:tcW w:w="292" w:type="pct"/>
            <w:tcBorders>
              <w:tl2br w:val="nil"/>
              <w:tr2bl w:val="nil"/>
            </w:tcBorders>
            <w:vAlign w:val="center"/>
          </w:tcPr>
          <w:p w14:paraId="40FE32F9">
            <w:pPr>
              <w:pStyle w:val="1111"/>
              <w:bidi w:val="0"/>
            </w:pPr>
            <w:r>
              <w:t>序号</w:t>
            </w:r>
          </w:p>
        </w:tc>
        <w:tc>
          <w:tcPr>
            <w:tcW w:w="399" w:type="pct"/>
            <w:tcBorders>
              <w:tl2br w:val="nil"/>
              <w:tr2bl w:val="nil"/>
            </w:tcBorders>
            <w:vAlign w:val="center"/>
          </w:tcPr>
          <w:p w14:paraId="36C66394">
            <w:pPr>
              <w:pStyle w:val="1111"/>
              <w:bidi w:val="0"/>
            </w:pPr>
            <w:r>
              <w:t>危险单元</w:t>
            </w:r>
          </w:p>
        </w:tc>
        <w:tc>
          <w:tcPr>
            <w:tcW w:w="625" w:type="pct"/>
            <w:tcBorders>
              <w:tl2br w:val="nil"/>
              <w:tr2bl w:val="nil"/>
            </w:tcBorders>
            <w:vAlign w:val="center"/>
          </w:tcPr>
          <w:p w14:paraId="2E9C3ACE">
            <w:pPr>
              <w:pStyle w:val="1111"/>
              <w:bidi w:val="0"/>
            </w:pPr>
            <w:r>
              <w:t>风险源</w:t>
            </w:r>
          </w:p>
        </w:tc>
        <w:tc>
          <w:tcPr>
            <w:tcW w:w="737" w:type="pct"/>
            <w:tcBorders>
              <w:tl2br w:val="nil"/>
              <w:tr2bl w:val="nil"/>
            </w:tcBorders>
            <w:vAlign w:val="center"/>
          </w:tcPr>
          <w:p w14:paraId="07FC1F30">
            <w:pPr>
              <w:pStyle w:val="1111"/>
              <w:bidi w:val="0"/>
            </w:pPr>
            <w:r>
              <w:t>主要危险物质</w:t>
            </w:r>
          </w:p>
        </w:tc>
        <w:tc>
          <w:tcPr>
            <w:tcW w:w="737" w:type="pct"/>
            <w:tcBorders>
              <w:tl2br w:val="nil"/>
              <w:tr2bl w:val="nil"/>
            </w:tcBorders>
            <w:vAlign w:val="center"/>
          </w:tcPr>
          <w:p w14:paraId="5CC6FB0F">
            <w:pPr>
              <w:pStyle w:val="1111"/>
              <w:bidi w:val="0"/>
            </w:pPr>
            <w:r>
              <w:t>环境风险类型</w:t>
            </w:r>
          </w:p>
        </w:tc>
        <w:tc>
          <w:tcPr>
            <w:tcW w:w="737" w:type="pct"/>
            <w:tcBorders>
              <w:tl2br w:val="nil"/>
              <w:tr2bl w:val="nil"/>
            </w:tcBorders>
            <w:vAlign w:val="center"/>
          </w:tcPr>
          <w:p w14:paraId="3FCECA54">
            <w:pPr>
              <w:pStyle w:val="1111"/>
              <w:bidi w:val="0"/>
            </w:pPr>
            <w:r>
              <w:t>环境影响途径</w:t>
            </w:r>
          </w:p>
        </w:tc>
        <w:tc>
          <w:tcPr>
            <w:tcW w:w="737" w:type="pct"/>
            <w:tcBorders>
              <w:tl2br w:val="nil"/>
              <w:tr2bl w:val="nil"/>
            </w:tcBorders>
            <w:vAlign w:val="center"/>
          </w:tcPr>
          <w:p w14:paraId="29358867">
            <w:pPr>
              <w:pStyle w:val="1111"/>
              <w:bidi w:val="0"/>
            </w:pPr>
            <w:r>
              <w:t>可能受影响的环境敏感目标</w:t>
            </w:r>
          </w:p>
        </w:tc>
        <w:tc>
          <w:tcPr>
            <w:tcW w:w="736" w:type="pct"/>
            <w:tcBorders>
              <w:tl2br w:val="nil"/>
              <w:tr2bl w:val="nil"/>
            </w:tcBorders>
            <w:vAlign w:val="center"/>
          </w:tcPr>
          <w:p w14:paraId="02897088">
            <w:pPr>
              <w:pStyle w:val="1111"/>
              <w:bidi w:val="0"/>
            </w:pPr>
            <w:r>
              <w:t>是否为重点风险源</w:t>
            </w:r>
          </w:p>
        </w:tc>
      </w:tr>
      <w:tr w14:paraId="0034BF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40" w:hRule="atLeast"/>
        </w:trPr>
        <w:tc>
          <w:tcPr>
            <w:tcW w:w="292" w:type="pct"/>
            <w:tcBorders>
              <w:tl2br w:val="nil"/>
              <w:tr2bl w:val="nil"/>
            </w:tcBorders>
            <w:vAlign w:val="center"/>
          </w:tcPr>
          <w:p w14:paraId="62BC4A56">
            <w:pPr>
              <w:pStyle w:val="1111"/>
              <w:bidi w:val="0"/>
            </w:pPr>
            <w:r>
              <w:t>1</w:t>
            </w:r>
          </w:p>
        </w:tc>
        <w:tc>
          <w:tcPr>
            <w:tcW w:w="399" w:type="pct"/>
            <w:tcBorders>
              <w:tl2br w:val="nil"/>
              <w:tr2bl w:val="nil"/>
            </w:tcBorders>
            <w:vAlign w:val="center"/>
          </w:tcPr>
          <w:p w14:paraId="7AFDBC53">
            <w:pPr>
              <w:pStyle w:val="1111"/>
              <w:bidi w:val="0"/>
            </w:pPr>
            <w:r>
              <w:rPr>
                <w:rFonts w:hint="eastAsia"/>
              </w:rPr>
              <w:t>危废仓库</w:t>
            </w:r>
          </w:p>
        </w:tc>
        <w:tc>
          <w:tcPr>
            <w:tcW w:w="625" w:type="pct"/>
            <w:tcBorders>
              <w:tl2br w:val="nil"/>
              <w:tr2bl w:val="nil"/>
            </w:tcBorders>
            <w:vAlign w:val="center"/>
          </w:tcPr>
          <w:p w14:paraId="7B0D98D0">
            <w:pPr>
              <w:pStyle w:val="1111"/>
              <w:bidi w:val="0"/>
            </w:pPr>
            <w:r>
              <w:t>危险废物包装桶、袋</w:t>
            </w:r>
          </w:p>
        </w:tc>
        <w:tc>
          <w:tcPr>
            <w:tcW w:w="737" w:type="pct"/>
            <w:tcBorders>
              <w:tl2br w:val="nil"/>
              <w:tr2bl w:val="nil"/>
            </w:tcBorders>
            <w:vAlign w:val="center"/>
          </w:tcPr>
          <w:p w14:paraId="6CDDAC3B">
            <w:pPr>
              <w:pStyle w:val="1111"/>
              <w:bidi w:val="0"/>
            </w:pPr>
            <w:r>
              <w:t>废矿物油、废有机溶剂、废活性炭等</w:t>
            </w:r>
          </w:p>
        </w:tc>
        <w:tc>
          <w:tcPr>
            <w:tcW w:w="737" w:type="pct"/>
            <w:tcBorders>
              <w:tl2br w:val="nil"/>
              <w:tr2bl w:val="nil"/>
            </w:tcBorders>
            <w:vAlign w:val="center"/>
          </w:tcPr>
          <w:p w14:paraId="33DC821F">
            <w:pPr>
              <w:pStyle w:val="1111"/>
              <w:bidi w:val="0"/>
            </w:pPr>
            <w:r>
              <w:t>泄漏、火灾、爆炸</w:t>
            </w:r>
          </w:p>
        </w:tc>
        <w:tc>
          <w:tcPr>
            <w:tcW w:w="737" w:type="pct"/>
            <w:tcBorders>
              <w:tl2br w:val="nil"/>
              <w:tr2bl w:val="nil"/>
            </w:tcBorders>
            <w:vAlign w:val="center"/>
          </w:tcPr>
          <w:p w14:paraId="55C664EA">
            <w:pPr>
              <w:pStyle w:val="1111"/>
              <w:bidi w:val="0"/>
            </w:pPr>
            <w:r>
              <w:t>大气、地表水、地下水及土壤</w:t>
            </w:r>
          </w:p>
        </w:tc>
        <w:tc>
          <w:tcPr>
            <w:tcW w:w="737" w:type="pct"/>
            <w:tcBorders>
              <w:tl2br w:val="nil"/>
              <w:tr2bl w:val="nil"/>
            </w:tcBorders>
            <w:vAlign w:val="center"/>
          </w:tcPr>
          <w:p w14:paraId="1D785787">
            <w:pPr>
              <w:pStyle w:val="1111"/>
              <w:bidi w:val="0"/>
            </w:pPr>
            <w:r>
              <w:t>周围居民区、附近河流、周边地下水及土壤</w:t>
            </w:r>
          </w:p>
        </w:tc>
        <w:tc>
          <w:tcPr>
            <w:tcW w:w="736" w:type="pct"/>
            <w:tcBorders>
              <w:tl2br w:val="nil"/>
              <w:tr2bl w:val="nil"/>
            </w:tcBorders>
            <w:vAlign w:val="center"/>
          </w:tcPr>
          <w:p w14:paraId="5D3112F3">
            <w:pPr>
              <w:pStyle w:val="1111"/>
              <w:bidi w:val="0"/>
            </w:pPr>
            <w:r>
              <w:rPr>
                <w:rFonts w:hint="eastAsia"/>
              </w:rPr>
              <w:t>是</w:t>
            </w:r>
          </w:p>
        </w:tc>
      </w:tr>
      <w:tr w14:paraId="3BFD96E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40" w:hRule="atLeast"/>
        </w:trPr>
        <w:tc>
          <w:tcPr>
            <w:tcW w:w="292" w:type="pct"/>
            <w:tcBorders>
              <w:tl2br w:val="nil"/>
              <w:tr2bl w:val="nil"/>
            </w:tcBorders>
            <w:vAlign w:val="center"/>
          </w:tcPr>
          <w:p w14:paraId="5B29EDB1">
            <w:pPr>
              <w:pStyle w:val="1111"/>
              <w:bidi w:val="0"/>
            </w:pPr>
            <w:r>
              <w:t>2</w:t>
            </w:r>
          </w:p>
        </w:tc>
        <w:tc>
          <w:tcPr>
            <w:tcW w:w="399" w:type="pct"/>
            <w:tcBorders>
              <w:tl2br w:val="nil"/>
              <w:tr2bl w:val="nil"/>
            </w:tcBorders>
            <w:vAlign w:val="center"/>
          </w:tcPr>
          <w:p w14:paraId="479BC81E">
            <w:pPr>
              <w:pStyle w:val="1111"/>
              <w:bidi w:val="0"/>
            </w:pPr>
            <w:r>
              <w:t>废气处理装置</w:t>
            </w:r>
          </w:p>
        </w:tc>
        <w:tc>
          <w:tcPr>
            <w:tcW w:w="625" w:type="pct"/>
            <w:tcBorders>
              <w:tl2br w:val="nil"/>
              <w:tr2bl w:val="nil"/>
            </w:tcBorders>
            <w:vAlign w:val="center"/>
          </w:tcPr>
          <w:p w14:paraId="35A6B260">
            <w:pPr>
              <w:pStyle w:val="1111"/>
              <w:bidi w:val="0"/>
            </w:pPr>
            <w:r>
              <w:t>废气收集管线、废气处置装置</w:t>
            </w:r>
          </w:p>
        </w:tc>
        <w:tc>
          <w:tcPr>
            <w:tcW w:w="737" w:type="pct"/>
            <w:tcBorders>
              <w:tl2br w:val="nil"/>
              <w:tr2bl w:val="nil"/>
            </w:tcBorders>
            <w:vAlign w:val="center"/>
          </w:tcPr>
          <w:p w14:paraId="2FE889A8">
            <w:pPr>
              <w:pStyle w:val="1111"/>
              <w:bidi w:val="0"/>
            </w:pPr>
            <w:r>
              <w:t>废气</w:t>
            </w:r>
          </w:p>
        </w:tc>
        <w:tc>
          <w:tcPr>
            <w:tcW w:w="737" w:type="pct"/>
            <w:tcBorders>
              <w:tl2br w:val="nil"/>
              <w:tr2bl w:val="nil"/>
            </w:tcBorders>
            <w:vAlign w:val="center"/>
          </w:tcPr>
          <w:p w14:paraId="50C29E63">
            <w:pPr>
              <w:pStyle w:val="1111"/>
              <w:bidi w:val="0"/>
            </w:pPr>
            <w:r>
              <w:t>非正常运行、 超标排放</w:t>
            </w:r>
          </w:p>
        </w:tc>
        <w:tc>
          <w:tcPr>
            <w:tcW w:w="737" w:type="pct"/>
            <w:tcBorders>
              <w:tl2br w:val="nil"/>
              <w:tr2bl w:val="nil"/>
            </w:tcBorders>
            <w:vAlign w:val="center"/>
          </w:tcPr>
          <w:p w14:paraId="606F242E">
            <w:pPr>
              <w:pStyle w:val="1111"/>
              <w:bidi w:val="0"/>
            </w:pPr>
            <w:r>
              <w:t>大气</w:t>
            </w:r>
          </w:p>
        </w:tc>
        <w:tc>
          <w:tcPr>
            <w:tcW w:w="737" w:type="pct"/>
            <w:tcBorders>
              <w:tl2br w:val="nil"/>
              <w:tr2bl w:val="nil"/>
            </w:tcBorders>
            <w:vAlign w:val="center"/>
          </w:tcPr>
          <w:p w14:paraId="5861A5A9">
            <w:pPr>
              <w:pStyle w:val="1111"/>
              <w:bidi w:val="0"/>
            </w:pPr>
            <w:r>
              <w:t>周围居民区</w:t>
            </w:r>
          </w:p>
        </w:tc>
        <w:tc>
          <w:tcPr>
            <w:tcW w:w="736" w:type="pct"/>
            <w:tcBorders>
              <w:tl2br w:val="nil"/>
              <w:tr2bl w:val="nil"/>
            </w:tcBorders>
            <w:vAlign w:val="center"/>
          </w:tcPr>
          <w:p w14:paraId="050E4219">
            <w:pPr>
              <w:pStyle w:val="1111"/>
              <w:bidi w:val="0"/>
            </w:pPr>
            <w:r>
              <w:rPr>
                <w:rFonts w:hint="eastAsia"/>
              </w:rPr>
              <w:t>否</w:t>
            </w:r>
          </w:p>
        </w:tc>
      </w:tr>
    </w:tbl>
    <w:p w14:paraId="2B078903">
      <w:pPr>
        <w:pStyle w:val="515"/>
        <w:bidi w:val="0"/>
      </w:pPr>
      <w:bookmarkStart w:id="23" w:name="_Toc146013786"/>
      <w:r>
        <w:rPr>
          <w:rFonts w:hint="eastAsia"/>
          <w:lang w:val="en-US" w:eastAsia="zh-CN"/>
        </w:rPr>
        <w:t>5</w:t>
      </w:r>
      <w:r>
        <w:t>.3</w:t>
      </w:r>
      <w:r>
        <w:rPr>
          <w:rFonts w:hint="eastAsia"/>
        </w:rPr>
        <w:t>环境影响途径识别</w:t>
      </w:r>
      <w:bookmarkEnd w:id="23"/>
    </w:p>
    <w:p w14:paraId="2CD543EF">
      <w:pPr>
        <w:pStyle w:val="512"/>
        <w:bidi w:val="0"/>
      </w:pPr>
      <w:r>
        <w:t>根据可能发生突发环境事件的情况下，污染物的转移途径见</w:t>
      </w:r>
      <w:r>
        <w:rPr>
          <w:rFonts w:hint="eastAsia"/>
        </w:rPr>
        <w:t>下</w:t>
      </w:r>
      <w:r>
        <w:t>表。</w:t>
      </w:r>
    </w:p>
    <w:p w14:paraId="7129975C">
      <w:pPr>
        <w:pStyle w:val="1111"/>
        <w:bidi w:val="0"/>
      </w:pPr>
      <w:bookmarkStart w:id="24" w:name="_Hlk88906399"/>
      <w:r>
        <w:t>表</w:t>
      </w:r>
      <w:r>
        <w:rPr>
          <w:rFonts w:hint="eastAsia"/>
          <w:lang w:val="en-US" w:eastAsia="zh-CN"/>
        </w:rPr>
        <w:t>5</w:t>
      </w:r>
      <w:r>
        <w:t>-2 本项目</w:t>
      </w:r>
      <w:r>
        <w:rPr>
          <w:rFonts w:hint="eastAsia"/>
          <w:lang w:eastAsia="zh-CN"/>
        </w:rPr>
        <w:t>污染转移途径</w:t>
      </w:r>
      <w:r>
        <w:t>识别表</w:t>
      </w:r>
    </w:p>
    <w:tbl>
      <w:tblPr>
        <w:tblStyle w:val="77"/>
        <w:tblW w:w="5005"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92"/>
        <w:gridCol w:w="941"/>
        <w:gridCol w:w="1679"/>
        <w:gridCol w:w="1773"/>
        <w:gridCol w:w="1182"/>
        <w:gridCol w:w="1299"/>
        <w:gridCol w:w="1297"/>
      </w:tblGrid>
      <w:tr w14:paraId="45BAF3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40" w:hRule="atLeast"/>
        </w:trPr>
        <w:tc>
          <w:tcPr>
            <w:tcW w:w="390" w:type="pct"/>
            <w:vMerge w:val="restart"/>
            <w:tcBorders>
              <w:tl2br w:val="nil"/>
              <w:tr2bl w:val="nil"/>
            </w:tcBorders>
            <w:vAlign w:val="center"/>
          </w:tcPr>
          <w:p w14:paraId="50C796AD">
            <w:pPr>
              <w:pStyle w:val="1111"/>
              <w:bidi w:val="0"/>
            </w:pPr>
            <w:r>
              <w:t>序号</w:t>
            </w:r>
          </w:p>
        </w:tc>
        <w:tc>
          <w:tcPr>
            <w:tcW w:w="530" w:type="pct"/>
            <w:vMerge w:val="restart"/>
            <w:tcBorders>
              <w:tl2br w:val="nil"/>
              <w:tr2bl w:val="nil"/>
            </w:tcBorders>
            <w:vAlign w:val="center"/>
          </w:tcPr>
          <w:p w14:paraId="1C30404C">
            <w:pPr>
              <w:pStyle w:val="1111"/>
              <w:bidi w:val="0"/>
            </w:pPr>
            <w:r>
              <w:rPr>
                <w:rFonts w:hint="eastAsia"/>
              </w:rPr>
              <w:t>事故类型</w:t>
            </w:r>
          </w:p>
        </w:tc>
        <w:tc>
          <w:tcPr>
            <w:tcW w:w="947" w:type="pct"/>
            <w:vMerge w:val="restart"/>
            <w:tcBorders>
              <w:tl2br w:val="nil"/>
              <w:tr2bl w:val="nil"/>
            </w:tcBorders>
            <w:vAlign w:val="center"/>
          </w:tcPr>
          <w:p w14:paraId="02898862">
            <w:pPr>
              <w:pStyle w:val="1111"/>
              <w:bidi w:val="0"/>
            </w:pPr>
            <w:r>
              <w:t>风险源</w:t>
            </w:r>
          </w:p>
        </w:tc>
        <w:tc>
          <w:tcPr>
            <w:tcW w:w="1000" w:type="pct"/>
            <w:vMerge w:val="restart"/>
            <w:tcBorders>
              <w:tl2br w:val="nil"/>
              <w:tr2bl w:val="nil"/>
            </w:tcBorders>
            <w:vAlign w:val="center"/>
          </w:tcPr>
          <w:p w14:paraId="0C48BD16">
            <w:pPr>
              <w:pStyle w:val="1111"/>
              <w:bidi w:val="0"/>
            </w:pPr>
            <w:r>
              <w:rPr>
                <w:rFonts w:hint="eastAsia"/>
              </w:rPr>
              <w:t>事故危害形式</w:t>
            </w:r>
          </w:p>
        </w:tc>
        <w:tc>
          <w:tcPr>
            <w:tcW w:w="2131" w:type="pct"/>
            <w:gridSpan w:val="3"/>
            <w:tcBorders>
              <w:tl2br w:val="nil"/>
              <w:tr2bl w:val="nil"/>
            </w:tcBorders>
            <w:vAlign w:val="center"/>
          </w:tcPr>
          <w:p w14:paraId="7C42BD2D">
            <w:pPr>
              <w:pStyle w:val="1111"/>
              <w:bidi w:val="0"/>
            </w:pPr>
            <w:r>
              <w:rPr>
                <w:rFonts w:hint="eastAsia"/>
              </w:rPr>
              <w:t>污染转移途径</w:t>
            </w:r>
          </w:p>
        </w:tc>
      </w:tr>
      <w:tr w14:paraId="251F1E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40" w:hRule="atLeast"/>
        </w:trPr>
        <w:tc>
          <w:tcPr>
            <w:tcW w:w="390" w:type="pct"/>
            <w:vMerge w:val="continue"/>
            <w:tcBorders>
              <w:tl2br w:val="nil"/>
              <w:tr2bl w:val="nil"/>
            </w:tcBorders>
            <w:vAlign w:val="center"/>
          </w:tcPr>
          <w:p w14:paraId="4C63EFA6">
            <w:pPr>
              <w:pStyle w:val="1111"/>
              <w:bidi w:val="0"/>
            </w:pPr>
          </w:p>
        </w:tc>
        <w:tc>
          <w:tcPr>
            <w:tcW w:w="530" w:type="pct"/>
            <w:vMerge w:val="continue"/>
            <w:tcBorders>
              <w:tl2br w:val="nil"/>
              <w:tr2bl w:val="nil"/>
            </w:tcBorders>
            <w:vAlign w:val="center"/>
          </w:tcPr>
          <w:p w14:paraId="4B9E65C0">
            <w:pPr>
              <w:pStyle w:val="1111"/>
              <w:bidi w:val="0"/>
            </w:pPr>
          </w:p>
        </w:tc>
        <w:tc>
          <w:tcPr>
            <w:tcW w:w="947" w:type="pct"/>
            <w:vMerge w:val="continue"/>
            <w:tcBorders>
              <w:tl2br w:val="nil"/>
              <w:tr2bl w:val="nil"/>
            </w:tcBorders>
            <w:vAlign w:val="center"/>
          </w:tcPr>
          <w:p w14:paraId="4A876FE8">
            <w:pPr>
              <w:pStyle w:val="1111"/>
              <w:bidi w:val="0"/>
            </w:pPr>
          </w:p>
        </w:tc>
        <w:tc>
          <w:tcPr>
            <w:tcW w:w="1000" w:type="pct"/>
            <w:vMerge w:val="continue"/>
            <w:tcBorders>
              <w:tl2br w:val="nil"/>
              <w:tr2bl w:val="nil"/>
            </w:tcBorders>
            <w:vAlign w:val="center"/>
          </w:tcPr>
          <w:p w14:paraId="3EF1BF94">
            <w:pPr>
              <w:pStyle w:val="1111"/>
              <w:bidi w:val="0"/>
            </w:pPr>
          </w:p>
        </w:tc>
        <w:tc>
          <w:tcPr>
            <w:tcW w:w="666" w:type="pct"/>
            <w:tcBorders>
              <w:tl2br w:val="nil"/>
              <w:tr2bl w:val="nil"/>
            </w:tcBorders>
            <w:vAlign w:val="center"/>
          </w:tcPr>
          <w:p w14:paraId="2F982666">
            <w:pPr>
              <w:pStyle w:val="1111"/>
              <w:bidi w:val="0"/>
            </w:pPr>
            <w:r>
              <w:rPr>
                <w:rFonts w:hint="eastAsia"/>
              </w:rPr>
              <w:t>大气</w:t>
            </w:r>
          </w:p>
        </w:tc>
        <w:tc>
          <w:tcPr>
            <w:tcW w:w="733" w:type="pct"/>
            <w:tcBorders>
              <w:tl2br w:val="nil"/>
              <w:tr2bl w:val="nil"/>
            </w:tcBorders>
            <w:vAlign w:val="center"/>
          </w:tcPr>
          <w:p w14:paraId="32C8CD33">
            <w:pPr>
              <w:pStyle w:val="1111"/>
              <w:bidi w:val="0"/>
            </w:pPr>
            <w:r>
              <w:rPr>
                <w:rFonts w:hint="eastAsia"/>
              </w:rPr>
              <w:t>排水系统</w:t>
            </w:r>
          </w:p>
        </w:tc>
        <w:tc>
          <w:tcPr>
            <w:tcW w:w="731" w:type="pct"/>
            <w:tcBorders>
              <w:tl2br w:val="nil"/>
              <w:tr2bl w:val="nil"/>
            </w:tcBorders>
            <w:vAlign w:val="center"/>
          </w:tcPr>
          <w:p w14:paraId="4EEE9F75">
            <w:pPr>
              <w:pStyle w:val="1111"/>
              <w:bidi w:val="0"/>
            </w:pPr>
            <w:r>
              <w:rPr>
                <w:rFonts w:hint="eastAsia"/>
              </w:rPr>
              <w:t>土壤、地下水</w:t>
            </w:r>
          </w:p>
        </w:tc>
      </w:tr>
      <w:tr w14:paraId="766007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40" w:hRule="atLeast"/>
        </w:trPr>
        <w:tc>
          <w:tcPr>
            <w:tcW w:w="390" w:type="pct"/>
            <w:vMerge w:val="restart"/>
            <w:tcBorders>
              <w:tl2br w:val="nil"/>
              <w:tr2bl w:val="nil"/>
            </w:tcBorders>
            <w:vAlign w:val="center"/>
          </w:tcPr>
          <w:p w14:paraId="6B8C2FE8">
            <w:pPr>
              <w:pStyle w:val="1111"/>
              <w:bidi w:val="0"/>
            </w:pPr>
            <w:r>
              <w:t>1</w:t>
            </w:r>
          </w:p>
        </w:tc>
        <w:tc>
          <w:tcPr>
            <w:tcW w:w="530" w:type="pct"/>
            <w:vMerge w:val="restart"/>
            <w:tcBorders>
              <w:tl2br w:val="nil"/>
              <w:tr2bl w:val="nil"/>
            </w:tcBorders>
            <w:vAlign w:val="center"/>
          </w:tcPr>
          <w:p w14:paraId="68BC0A16">
            <w:pPr>
              <w:pStyle w:val="1111"/>
              <w:bidi w:val="0"/>
            </w:pPr>
            <w:r>
              <w:rPr>
                <w:rFonts w:hint="eastAsia"/>
              </w:rPr>
              <w:t>泄漏</w:t>
            </w:r>
          </w:p>
        </w:tc>
        <w:tc>
          <w:tcPr>
            <w:tcW w:w="947" w:type="pct"/>
            <w:vMerge w:val="restart"/>
            <w:tcBorders>
              <w:tl2br w:val="nil"/>
              <w:tr2bl w:val="nil"/>
            </w:tcBorders>
            <w:vAlign w:val="center"/>
          </w:tcPr>
          <w:p w14:paraId="20DC4D87">
            <w:pPr>
              <w:pStyle w:val="1111"/>
              <w:bidi w:val="0"/>
            </w:pPr>
            <w:r>
              <w:rPr>
                <w:rFonts w:hint="eastAsia"/>
              </w:rPr>
              <w:t>危废仓库</w:t>
            </w:r>
          </w:p>
        </w:tc>
        <w:tc>
          <w:tcPr>
            <w:tcW w:w="1000" w:type="pct"/>
            <w:tcBorders>
              <w:tl2br w:val="nil"/>
              <w:tr2bl w:val="nil"/>
            </w:tcBorders>
            <w:vAlign w:val="center"/>
          </w:tcPr>
          <w:p w14:paraId="6C4612F7">
            <w:pPr>
              <w:pStyle w:val="1111"/>
              <w:bidi w:val="0"/>
            </w:pPr>
            <w:r>
              <w:rPr>
                <w:rFonts w:hint="eastAsia"/>
              </w:rPr>
              <w:t>气态</w:t>
            </w:r>
          </w:p>
        </w:tc>
        <w:tc>
          <w:tcPr>
            <w:tcW w:w="666" w:type="pct"/>
            <w:tcBorders>
              <w:tl2br w:val="nil"/>
              <w:tr2bl w:val="nil"/>
            </w:tcBorders>
            <w:vAlign w:val="center"/>
          </w:tcPr>
          <w:p w14:paraId="4D584601">
            <w:pPr>
              <w:pStyle w:val="1111"/>
              <w:bidi w:val="0"/>
            </w:pPr>
            <w:r>
              <w:rPr>
                <w:rFonts w:hint="eastAsia"/>
              </w:rPr>
              <w:t>扩散</w:t>
            </w:r>
          </w:p>
        </w:tc>
        <w:tc>
          <w:tcPr>
            <w:tcW w:w="733" w:type="pct"/>
            <w:tcBorders>
              <w:tl2br w:val="nil"/>
              <w:tr2bl w:val="nil"/>
            </w:tcBorders>
            <w:vAlign w:val="center"/>
          </w:tcPr>
          <w:p w14:paraId="112F7ACB">
            <w:pPr>
              <w:pStyle w:val="1111"/>
              <w:bidi w:val="0"/>
            </w:pPr>
            <w:r>
              <w:rPr>
                <w:rFonts w:hint="eastAsia"/>
              </w:rPr>
              <w:t>/</w:t>
            </w:r>
          </w:p>
        </w:tc>
        <w:tc>
          <w:tcPr>
            <w:tcW w:w="731" w:type="pct"/>
            <w:tcBorders>
              <w:tl2br w:val="nil"/>
              <w:tr2bl w:val="nil"/>
            </w:tcBorders>
            <w:vAlign w:val="center"/>
          </w:tcPr>
          <w:p w14:paraId="1DE0C179">
            <w:pPr>
              <w:pStyle w:val="1111"/>
              <w:bidi w:val="0"/>
            </w:pPr>
            <w:r>
              <w:rPr>
                <w:rFonts w:hint="eastAsia"/>
              </w:rPr>
              <w:t>/</w:t>
            </w:r>
          </w:p>
        </w:tc>
      </w:tr>
      <w:tr w14:paraId="6EBC3E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40" w:hRule="atLeast"/>
        </w:trPr>
        <w:tc>
          <w:tcPr>
            <w:tcW w:w="390" w:type="pct"/>
            <w:vMerge w:val="continue"/>
            <w:tcBorders>
              <w:tl2br w:val="nil"/>
              <w:tr2bl w:val="nil"/>
            </w:tcBorders>
            <w:vAlign w:val="center"/>
          </w:tcPr>
          <w:p w14:paraId="5952D4D1">
            <w:pPr>
              <w:pStyle w:val="1111"/>
              <w:bidi w:val="0"/>
            </w:pPr>
          </w:p>
        </w:tc>
        <w:tc>
          <w:tcPr>
            <w:tcW w:w="530" w:type="pct"/>
            <w:vMerge w:val="continue"/>
            <w:tcBorders>
              <w:tl2br w:val="nil"/>
              <w:tr2bl w:val="nil"/>
            </w:tcBorders>
            <w:vAlign w:val="center"/>
          </w:tcPr>
          <w:p w14:paraId="6A25254C">
            <w:pPr>
              <w:pStyle w:val="1111"/>
              <w:bidi w:val="0"/>
            </w:pPr>
          </w:p>
        </w:tc>
        <w:tc>
          <w:tcPr>
            <w:tcW w:w="947" w:type="pct"/>
            <w:vMerge w:val="continue"/>
            <w:tcBorders>
              <w:tl2br w:val="nil"/>
              <w:tr2bl w:val="nil"/>
            </w:tcBorders>
            <w:vAlign w:val="center"/>
          </w:tcPr>
          <w:p w14:paraId="7D9655BA">
            <w:pPr>
              <w:pStyle w:val="1111"/>
              <w:bidi w:val="0"/>
            </w:pPr>
          </w:p>
        </w:tc>
        <w:tc>
          <w:tcPr>
            <w:tcW w:w="1000" w:type="pct"/>
            <w:tcBorders>
              <w:tl2br w:val="nil"/>
              <w:tr2bl w:val="nil"/>
            </w:tcBorders>
            <w:vAlign w:val="center"/>
          </w:tcPr>
          <w:p w14:paraId="7CC94C87">
            <w:pPr>
              <w:pStyle w:val="1111"/>
              <w:bidi w:val="0"/>
            </w:pPr>
            <w:r>
              <w:rPr>
                <w:rFonts w:hint="eastAsia"/>
              </w:rPr>
              <w:t>液态</w:t>
            </w:r>
          </w:p>
        </w:tc>
        <w:tc>
          <w:tcPr>
            <w:tcW w:w="666" w:type="pct"/>
            <w:tcBorders>
              <w:tl2br w:val="nil"/>
              <w:tr2bl w:val="nil"/>
            </w:tcBorders>
            <w:vAlign w:val="center"/>
          </w:tcPr>
          <w:p w14:paraId="2E415D96">
            <w:pPr>
              <w:pStyle w:val="1111"/>
              <w:bidi w:val="0"/>
            </w:pPr>
            <w:r>
              <w:rPr>
                <w:rFonts w:hint="eastAsia"/>
              </w:rPr>
              <w:t>/</w:t>
            </w:r>
          </w:p>
        </w:tc>
        <w:tc>
          <w:tcPr>
            <w:tcW w:w="733" w:type="pct"/>
            <w:tcBorders>
              <w:tl2br w:val="nil"/>
              <w:tr2bl w:val="nil"/>
            </w:tcBorders>
            <w:vAlign w:val="center"/>
          </w:tcPr>
          <w:p w14:paraId="0A076446">
            <w:pPr>
              <w:pStyle w:val="1111"/>
              <w:bidi w:val="0"/>
            </w:pPr>
            <w:r>
              <w:t>漫流、雨水、污水管网</w:t>
            </w:r>
          </w:p>
        </w:tc>
        <w:tc>
          <w:tcPr>
            <w:tcW w:w="731" w:type="pct"/>
            <w:tcBorders>
              <w:tl2br w:val="nil"/>
              <w:tr2bl w:val="nil"/>
            </w:tcBorders>
            <w:vAlign w:val="center"/>
          </w:tcPr>
          <w:p w14:paraId="07E6E83B">
            <w:pPr>
              <w:pStyle w:val="1111"/>
              <w:bidi w:val="0"/>
            </w:pPr>
            <w:r>
              <w:t>渗透、吸收</w:t>
            </w:r>
          </w:p>
        </w:tc>
      </w:tr>
      <w:tr w14:paraId="7838E6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12" w:hRule="atLeast"/>
        </w:trPr>
        <w:tc>
          <w:tcPr>
            <w:tcW w:w="390" w:type="pct"/>
            <w:vMerge w:val="restart"/>
            <w:tcBorders>
              <w:tl2br w:val="nil"/>
              <w:tr2bl w:val="nil"/>
            </w:tcBorders>
            <w:vAlign w:val="center"/>
          </w:tcPr>
          <w:p w14:paraId="78B43FDB">
            <w:pPr>
              <w:pStyle w:val="1111"/>
              <w:bidi w:val="0"/>
            </w:pPr>
            <w:r>
              <w:t>2</w:t>
            </w:r>
          </w:p>
        </w:tc>
        <w:tc>
          <w:tcPr>
            <w:tcW w:w="530" w:type="pct"/>
            <w:vMerge w:val="restart"/>
            <w:tcBorders>
              <w:tl2br w:val="nil"/>
              <w:tr2bl w:val="nil"/>
            </w:tcBorders>
            <w:vAlign w:val="center"/>
          </w:tcPr>
          <w:p w14:paraId="7BE41C76">
            <w:pPr>
              <w:pStyle w:val="1111"/>
              <w:bidi w:val="0"/>
            </w:pPr>
            <w:r>
              <w:rPr>
                <w:rFonts w:hint="eastAsia"/>
              </w:rPr>
              <w:t>火灾、爆炸引发的次伴生污染</w:t>
            </w:r>
          </w:p>
        </w:tc>
        <w:tc>
          <w:tcPr>
            <w:tcW w:w="947" w:type="pct"/>
            <w:vMerge w:val="restart"/>
            <w:tcBorders>
              <w:tl2br w:val="nil"/>
              <w:tr2bl w:val="nil"/>
            </w:tcBorders>
            <w:vAlign w:val="center"/>
          </w:tcPr>
          <w:p w14:paraId="06A3ADAB">
            <w:pPr>
              <w:pStyle w:val="1111"/>
              <w:bidi w:val="0"/>
            </w:pPr>
            <w:r>
              <w:rPr>
                <w:rFonts w:hint="eastAsia"/>
              </w:rPr>
              <w:t>危废仓库</w:t>
            </w:r>
          </w:p>
        </w:tc>
        <w:tc>
          <w:tcPr>
            <w:tcW w:w="1000" w:type="pct"/>
            <w:tcBorders>
              <w:tl2br w:val="nil"/>
              <w:tr2bl w:val="nil"/>
            </w:tcBorders>
            <w:vAlign w:val="center"/>
          </w:tcPr>
          <w:p w14:paraId="65D8731F">
            <w:pPr>
              <w:pStyle w:val="1111"/>
              <w:bidi w:val="0"/>
            </w:pPr>
            <w:r>
              <w:t>污染物逸散、伴生污染物</w:t>
            </w:r>
          </w:p>
        </w:tc>
        <w:tc>
          <w:tcPr>
            <w:tcW w:w="666" w:type="pct"/>
            <w:tcBorders>
              <w:tl2br w:val="nil"/>
              <w:tr2bl w:val="nil"/>
            </w:tcBorders>
            <w:vAlign w:val="center"/>
          </w:tcPr>
          <w:p w14:paraId="6B40EFD3">
            <w:pPr>
              <w:pStyle w:val="1111"/>
              <w:bidi w:val="0"/>
            </w:pPr>
            <w:r>
              <w:t>扩散</w:t>
            </w:r>
          </w:p>
        </w:tc>
        <w:tc>
          <w:tcPr>
            <w:tcW w:w="733" w:type="pct"/>
            <w:tcBorders>
              <w:tl2br w:val="nil"/>
              <w:tr2bl w:val="nil"/>
            </w:tcBorders>
            <w:vAlign w:val="center"/>
          </w:tcPr>
          <w:p w14:paraId="6EF2CAF9">
            <w:pPr>
              <w:pStyle w:val="1111"/>
              <w:bidi w:val="0"/>
            </w:pPr>
            <w:r>
              <w:rPr>
                <w:rFonts w:hint="eastAsia"/>
              </w:rPr>
              <w:t>/</w:t>
            </w:r>
          </w:p>
        </w:tc>
        <w:tc>
          <w:tcPr>
            <w:tcW w:w="731" w:type="pct"/>
            <w:tcBorders>
              <w:tl2br w:val="nil"/>
              <w:tr2bl w:val="nil"/>
            </w:tcBorders>
            <w:vAlign w:val="center"/>
          </w:tcPr>
          <w:p w14:paraId="222E509D">
            <w:pPr>
              <w:pStyle w:val="1111"/>
              <w:bidi w:val="0"/>
            </w:pPr>
            <w:r>
              <w:rPr>
                <w:rFonts w:hint="eastAsia"/>
              </w:rPr>
              <w:t>/</w:t>
            </w:r>
          </w:p>
        </w:tc>
      </w:tr>
      <w:tr w14:paraId="61F056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12" w:hRule="atLeast"/>
        </w:trPr>
        <w:tc>
          <w:tcPr>
            <w:tcW w:w="390" w:type="pct"/>
            <w:vMerge w:val="continue"/>
            <w:tcBorders>
              <w:tl2br w:val="nil"/>
              <w:tr2bl w:val="nil"/>
            </w:tcBorders>
            <w:vAlign w:val="center"/>
          </w:tcPr>
          <w:p w14:paraId="4923F7B8">
            <w:pPr>
              <w:pStyle w:val="1111"/>
              <w:bidi w:val="0"/>
            </w:pPr>
          </w:p>
        </w:tc>
        <w:tc>
          <w:tcPr>
            <w:tcW w:w="530" w:type="pct"/>
            <w:vMerge w:val="continue"/>
            <w:tcBorders>
              <w:tl2br w:val="nil"/>
              <w:tr2bl w:val="nil"/>
            </w:tcBorders>
            <w:vAlign w:val="center"/>
          </w:tcPr>
          <w:p w14:paraId="7B28B335">
            <w:pPr>
              <w:pStyle w:val="1111"/>
              <w:bidi w:val="0"/>
            </w:pPr>
          </w:p>
        </w:tc>
        <w:tc>
          <w:tcPr>
            <w:tcW w:w="947" w:type="pct"/>
            <w:vMerge w:val="continue"/>
            <w:tcBorders>
              <w:tl2br w:val="nil"/>
              <w:tr2bl w:val="nil"/>
            </w:tcBorders>
            <w:vAlign w:val="center"/>
          </w:tcPr>
          <w:p w14:paraId="24481F32">
            <w:pPr>
              <w:pStyle w:val="1111"/>
              <w:bidi w:val="0"/>
            </w:pPr>
          </w:p>
        </w:tc>
        <w:tc>
          <w:tcPr>
            <w:tcW w:w="1000" w:type="pct"/>
            <w:tcBorders>
              <w:tl2br w:val="nil"/>
              <w:tr2bl w:val="nil"/>
            </w:tcBorders>
            <w:vAlign w:val="center"/>
          </w:tcPr>
          <w:p w14:paraId="1B1052B2">
            <w:pPr>
              <w:pStyle w:val="1111"/>
              <w:bidi w:val="0"/>
            </w:pPr>
            <w:r>
              <w:rPr>
                <w:rFonts w:hint="eastAsia"/>
              </w:rPr>
              <w:t>消防废水</w:t>
            </w:r>
          </w:p>
        </w:tc>
        <w:tc>
          <w:tcPr>
            <w:tcW w:w="666" w:type="pct"/>
            <w:tcBorders>
              <w:tl2br w:val="nil"/>
              <w:tr2bl w:val="nil"/>
            </w:tcBorders>
            <w:vAlign w:val="center"/>
          </w:tcPr>
          <w:p w14:paraId="6613BBBC">
            <w:pPr>
              <w:pStyle w:val="1111"/>
              <w:bidi w:val="0"/>
            </w:pPr>
            <w:r>
              <w:rPr>
                <w:rFonts w:hint="eastAsia"/>
              </w:rPr>
              <w:t>/</w:t>
            </w:r>
          </w:p>
        </w:tc>
        <w:tc>
          <w:tcPr>
            <w:tcW w:w="733" w:type="pct"/>
            <w:tcBorders>
              <w:tl2br w:val="nil"/>
              <w:tr2bl w:val="nil"/>
            </w:tcBorders>
            <w:vAlign w:val="center"/>
          </w:tcPr>
          <w:p w14:paraId="4A2E1D00">
            <w:pPr>
              <w:pStyle w:val="1111"/>
              <w:bidi w:val="0"/>
            </w:pPr>
            <w:r>
              <w:t>漫流、雨水、污水管网</w:t>
            </w:r>
          </w:p>
        </w:tc>
        <w:tc>
          <w:tcPr>
            <w:tcW w:w="731" w:type="pct"/>
            <w:tcBorders>
              <w:tl2br w:val="nil"/>
              <w:tr2bl w:val="nil"/>
            </w:tcBorders>
            <w:vAlign w:val="center"/>
          </w:tcPr>
          <w:p w14:paraId="7C5BE72A">
            <w:pPr>
              <w:pStyle w:val="1111"/>
              <w:bidi w:val="0"/>
            </w:pPr>
            <w:r>
              <w:t>渗透、吸收</w:t>
            </w:r>
          </w:p>
        </w:tc>
      </w:tr>
      <w:tr w14:paraId="690986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12" w:hRule="atLeast"/>
        </w:trPr>
        <w:tc>
          <w:tcPr>
            <w:tcW w:w="390" w:type="pct"/>
            <w:tcBorders>
              <w:tl2br w:val="nil"/>
              <w:tr2bl w:val="nil"/>
            </w:tcBorders>
            <w:vAlign w:val="center"/>
          </w:tcPr>
          <w:p w14:paraId="06F14076">
            <w:pPr>
              <w:pStyle w:val="1111"/>
              <w:bidi w:val="0"/>
            </w:pPr>
            <w:r>
              <w:rPr>
                <w:rFonts w:hint="eastAsia"/>
              </w:rPr>
              <w:t>3</w:t>
            </w:r>
          </w:p>
        </w:tc>
        <w:tc>
          <w:tcPr>
            <w:tcW w:w="530" w:type="pct"/>
            <w:tcBorders>
              <w:tl2br w:val="nil"/>
              <w:tr2bl w:val="nil"/>
            </w:tcBorders>
            <w:vAlign w:val="center"/>
          </w:tcPr>
          <w:p w14:paraId="25F05333">
            <w:pPr>
              <w:pStyle w:val="1111"/>
              <w:bidi w:val="0"/>
            </w:pPr>
            <w:r>
              <w:rPr>
                <w:rFonts w:hint="eastAsia"/>
              </w:rPr>
              <w:t>污染治理设施非正常运行</w:t>
            </w:r>
          </w:p>
        </w:tc>
        <w:tc>
          <w:tcPr>
            <w:tcW w:w="947" w:type="pct"/>
            <w:tcBorders>
              <w:tl2br w:val="nil"/>
              <w:tr2bl w:val="nil"/>
            </w:tcBorders>
            <w:vAlign w:val="center"/>
          </w:tcPr>
          <w:p w14:paraId="1A2FD4B5">
            <w:pPr>
              <w:pStyle w:val="1111"/>
              <w:bidi w:val="0"/>
            </w:pPr>
            <w:r>
              <w:rPr>
                <w:rFonts w:hint="eastAsia"/>
              </w:rPr>
              <w:t>废气处理系统</w:t>
            </w:r>
          </w:p>
        </w:tc>
        <w:tc>
          <w:tcPr>
            <w:tcW w:w="1000" w:type="pct"/>
            <w:tcBorders>
              <w:tl2br w:val="nil"/>
              <w:tr2bl w:val="nil"/>
            </w:tcBorders>
            <w:vAlign w:val="center"/>
          </w:tcPr>
          <w:p w14:paraId="475460CF">
            <w:pPr>
              <w:pStyle w:val="1111"/>
              <w:bidi w:val="0"/>
            </w:pPr>
            <w:r>
              <w:t>废气</w:t>
            </w:r>
          </w:p>
        </w:tc>
        <w:tc>
          <w:tcPr>
            <w:tcW w:w="666" w:type="pct"/>
            <w:tcBorders>
              <w:tl2br w:val="nil"/>
              <w:tr2bl w:val="nil"/>
            </w:tcBorders>
            <w:vAlign w:val="center"/>
          </w:tcPr>
          <w:p w14:paraId="797AEB1C">
            <w:pPr>
              <w:pStyle w:val="1111"/>
              <w:bidi w:val="0"/>
            </w:pPr>
            <w:r>
              <w:t>扩散</w:t>
            </w:r>
          </w:p>
        </w:tc>
        <w:tc>
          <w:tcPr>
            <w:tcW w:w="733" w:type="pct"/>
            <w:tcBorders>
              <w:tl2br w:val="nil"/>
              <w:tr2bl w:val="nil"/>
            </w:tcBorders>
            <w:vAlign w:val="center"/>
          </w:tcPr>
          <w:p w14:paraId="6C29D8FD">
            <w:pPr>
              <w:pStyle w:val="1111"/>
              <w:bidi w:val="0"/>
            </w:pPr>
            <w:r>
              <w:rPr>
                <w:rFonts w:hint="eastAsia"/>
              </w:rPr>
              <w:t>/</w:t>
            </w:r>
          </w:p>
        </w:tc>
        <w:tc>
          <w:tcPr>
            <w:tcW w:w="731" w:type="pct"/>
            <w:tcBorders>
              <w:tl2br w:val="nil"/>
              <w:tr2bl w:val="nil"/>
            </w:tcBorders>
            <w:vAlign w:val="center"/>
          </w:tcPr>
          <w:p w14:paraId="569C5825">
            <w:pPr>
              <w:pStyle w:val="1111"/>
              <w:bidi w:val="0"/>
            </w:pPr>
            <w:r>
              <w:rPr>
                <w:rFonts w:hint="eastAsia"/>
              </w:rPr>
              <w:t>/</w:t>
            </w:r>
          </w:p>
        </w:tc>
      </w:tr>
      <w:bookmarkEnd w:id="24"/>
    </w:tbl>
    <w:p w14:paraId="73FEF832">
      <w:pPr>
        <w:pStyle w:val="512"/>
        <w:bidi w:val="0"/>
      </w:pPr>
      <w:bookmarkStart w:id="25" w:name="_Toc146013787"/>
      <w:r>
        <w:t>根据</w:t>
      </w:r>
      <w:r>
        <w:rPr>
          <w:sz w:val="24"/>
        </w:rPr>
        <w:t>项目物质危险性识别、生产系统危险性识别，本项目风险物质</w:t>
      </w:r>
      <w:r>
        <w:rPr>
          <w:rFonts w:hint="eastAsia"/>
          <w:sz w:val="24"/>
        </w:rPr>
        <w:t>泄漏后发生典型事故及影响途径分析</w:t>
      </w:r>
      <w:r>
        <w:t>见</w:t>
      </w:r>
      <w:r>
        <w:rPr>
          <w:rFonts w:hint="eastAsia"/>
        </w:rPr>
        <w:t>下</w:t>
      </w:r>
      <w:r>
        <w:t>表。</w:t>
      </w:r>
    </w:p>
    <w:p w14:paraId="4BC3D07F">
      <w:pPr>
        <w:pStyle w:val="1111"/>
        <w:bidi w:val="0"/>
      </w:pPr>
      <w:r>
        <w:t>表</w:t>
      </w:r>
      <w:r>
        <w:rPr>
          <w:rFonts w:hint="eastAsia"/>
          <w:lang w:val="en-US" w:eastAsia="zh-CN"/>
        </w:rPr>
        <w:t>5</w:t>
      </w:r>
      <w:r>
        <w:t>-</w:t>
      </w:r>
      <w:r>
        <w:rPr>
          <w:rFonts w:hint="eastAsia"/>
          <w:lang w:val="en-US" w:eastAsia="zh-CN"/>
        </w:rPr>
        <w:t>3</w:t>
      </w:r>
      <w:r>
        <w:t xml:space="preserve"> 本项目</w:t>
      </w:r>
      <w:r>
        <w:rPr>
          <w:rFonts w:hint="eastAsia"/>
          <w:lang w:eastAsia="zh-CN"/>
        </w:rPr>
        <w:t>环境风险</w:t>
      </w:r>
      <w:r>
        <w:t>识别表</w:t>
      </w:r>
    </w:p>
    <w:tbl>
      <w:tblPr>
        <w:tblStyle w:val="7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1"/>
        <w:gridCol w:w="970"/>
        <w:gridCol w:w="702"/>
        <w:gridCol w:w="1213"/>
        <w:gridCol w:w="2941"/>
        <w:gridCol w:w="2783"/>
      </w:tblGrid>
      <w:tr w14:paraId="75FDBF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49" w:type="pct"/>
            <w:noWrap w:val="0"/>
            <w:vAlign w:val="center"/>
          </w:tcPr>
          <w:p w14:paraId="774F69D3">
            <w:pPr>
              <w:pStyle w:val="1111"/>
              <w:bidi w:val="0"/>
            </w:pPr>
            <w:r>
              <w:t>序号</w:t>
            </w:r>
          </w:p>
        </w:tc>
        <w:tc>
          <w:tcPr>
            <w:tcW w:w="535" w:type="pct"/>
            <w:noWrap w:val="0"/>
            <w:vAlign w:val="center"/>
          </w:tcPr>
          <w:p w14:paraId="5AA67033">
            <w:pPr>
              <w:pStyle w:val="1111"/>
              <w:bidi w:val="0"/>
            </w:pPr>
            <w:r>
              <w:t>突发环境事件类型</w:t>
            </w:r>
          </w:p>
        </w:tc>
        <w:tc>
          <w:tcPr>
            <w:tcW w:w="1056" w:type="pct"/>
            <w:gridSpan w:val="2"/>
            <w:noWrap w:val="0"/>
            <w:vAlign w:val="center"/>
          </w:tcPr>
          <w:p w14:paraId="699B37DB">
            <w:pPr>
              <w:pStyle w:val="1111"/>
              <w:bidi w:val="0"/>
            </w:pPr>
            <w:r>
              <w:t>风险点</w:t>
            </w:r>
          </w:p>
        </w:tc>
        <w:tc>
          <w:tcPr>
            <w:tcW w:w="1622" w:type="pct"/>
            <w:noWrap w:val="0"/>
            <w:vAlign w:val="center"/>
          </w:tcPr>
          <w:p w14:paraId="2F4CE8FA">
            <w:pPr>
              <w:pStyle w:val="1111"/>
              <w:bidi w:val="0"/>
            </w:pPr>
            <w:r>
              <w:t>典型事件及影响途径</w:t>
            </w:r>
          </w:p>
        </w:tc>
        <w:tc>
          <w:tcPr>
            <w:tcW w:w="1535" w:type="pct"/>
            <w:noWrap w:val="0"/>
            <w:vAlign w:val="center"/>
          </w:tcPr>
          <w:p w14:paraId="097743E5">
            <w:pPr>
              <w:pStyle w:val="1111"/>
              <w:bidi w:val="0"/>
            </w:pPr>
            <w:r>
              <w:t>事件引发或次生突发环境事件的最坏情景</w:t>
            </w:r>
          </w:p>
        </w:tc>
      </w:tr>
      <w:tr w14:paraId="07C620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jc w:val="center"/>
        </w:trPr>
        <w:tc>
          <w:tcPr>
            <w:tcW w:w="249" w:type="pct"/>
            <w:noWrap w:val="0"/>
            <w:vAlign w:val="center"/>
          </w:tcPr>
          <w:p w14:paraId="343D67DF">
            <w:pPr>
              <w:pStyle w:val="1111"/>
              <w:bidi w:val="0"/>
            </w:pPr>
            <w:r>
              <w:t>1</w:t>
            </w:r>
          </w:p>
        </w:tc>
        <w:tc>
          <w:tcPr>
            <w:tcW w:w="535" w:type="pct"/>
            <w:noWrap w:val="0"/>
            <w:vAlign w:val="center"/>
          </w:tcPr>
          <w:p w14:paraId="183E2A47">
            <w:pPr>
              <w:pStyle w:val="1111"/>
              <w:bidi w:val="0"/>
            </w:pPr>
            <w:r>
              <w:t>泄漏</w:t>
            </w:r>
          </w:p>
        </w:tc>
        <w:tc>
          <w:tcPr>
            <w:tcW w:w="387" w:type="pct"/>
            <w:shd w:val="clear" w:color="auto" w:fill="auto"/>
            <w:noWrap w:val="0"/>
            <w:vAlign w:val="center"/>
          </w:tcPr>
          <w:p w14:paraId="4C1846CF">
            <w:pPr>
              <w:pStyle w:val="1111"/>
              <w:bidi w:val="0"/>
              <w:rPr>
                <w:rFonts w:hint="eastAsia" w:ascii="Times New Roman" w:hAnsi="Times New Roman" w:eastAsia="宋体" w:cs="Times New Roman"/>
                <w:kern w:val="0"/>
                <w:sz w:val="21"/>
                <w:szCs w:val="20"/>
                <w:lang w:val="en-US" w:eastAsia="zh-CN" w:bidi="ar-SA"/>
              </w:rPr>
            </w:pPr>
            <w:r>
              <w:t>危废</w:t>
            </w:r>
            <w:r>
              <w:rPr>
                <w:rFonts w:hint="eastAsia"/>
                <w:lang w:eastAsia="zh-CN"/>
              </w:rPr>
              <w:t>存储间</w:t>
            </w:r>
          </w:p>
        </w:tc>
        <w:tc>
          <w:tcPr>
            <w:tcW w:w="669" w:type="pct"/>
            <w:shd w:val="clear" w:color="auto" w:fill="auto"/>
            <w:noWrap w:val="0"/>
            <w:vAlign w:val="center"/>
          </w:tcPr>
          <w:p w14:paraId="316AA6A6">
            <w:pPr>
              <w:pStyle w:val="1111"/>
              <w:bidi w:val="0"/>
              <w:rPr>
                <w:rFonts w:ascii="Times New Roman" w:hAnsi="Times New Roman" w:eastAsia="宋体" w:cs="Times New Roman"/>
                <w:kern w:val="0"/>
                <w:sz w:val="21"/>
                <w:szCs w:val="20"/>
                <w:lang w:val="en-US" w:eastAsia="zh-CN" w:bidi="ar-SA"/>
              </w:rPr>
            </w:pPr>
            <w:r>
              <w:t>危废包装桶</w:t>
            </w:r>
          </w:p>
        </w:tc>
        <w:tc>
          <w:tcPr>
            <w:tcW w:w="1622" w:type="pct"/>
            <w:shd w:val="clear" w:color="auto" w:fill="auto"/>
            <w:noWrap w:val="0"/>
            <w:vAlign w:val="center"/>
          </w:tcPr>
          <w:p w14:paraId="1C60B4AD">
            <w:pPr>
              <w:pStyle w:val="1111"/>
              <w:bidi w:val="0"/>
              <w:rPr>
                <w:rFonts w:ascii="Times New Roman" w:hAnsi="Times New Roman" w:eastAsia="宋体" w:cs="Times New Roman"/>
                <w:kern w:val="0"/>
                <w:sz w:val="21"/>
                <w:szCs w:val="20"/>
                <w:lang w:val="en-US" w:eastAsia="zh-CN" w:bidi="ar-SA"/>
              </w:rPr>
            </w:pPr>
            <w:r>
              <w:t>包装桶破损、倾倒导致液体危废泄漏，可能造成人员伤害，若进入雨水系统，可能发生水污染事故，若进入土壤，可能发生土壤及地下水污染事故</w:t>
            </w:r>
          </w:p>
        </w:tc>
        <w:tc>
          <w:tcPr>
            <w:tcW w:w="1535" w:type="pct"/>
            <w:noWrap w:val="0"/>
            <w:vAlign w:val="center"/>
          </w:tcPr>
          <w:p w14:paraId="5DB34844">
            <w:pPr>
              <w:pStyle w:val="1111"/>
              <w:bidi w:val="0"/>
            </w:pPr>
            <w:r>
              <w:t>（1）</w:t>
            </w:r>
            <w:r>
              <w:rPr>
                <w:rFonts w:hint="eastAsia"/>
                <w:lang w:eastAsia="zh-CN"/>
              </w:rPr>
              <w:t>危废</w:t>
            </w:r>
            <w:r>
              <w:t>泄漏进入裸露地面、进入土壤，可能造成地下水污染事件；</w:t>
            </w:r>
          </w:p>
          <w:p w14:paraId="697C691C">
            <w:pPr>
              <w:pStyle w:val="1111"/>
              <w:bidi w:val="0"/>
            </w:pPr>
            <w:r>
              <w:t>（2）</w:t>
            </w:r>
            <w:r>
              <w:rPr>
                <w:rFonts w:hint="eastAsia"/>
                <w:lang w:eastAsia="zh-CN"/>
              </w:rPr>
              <w:t>危废</w:t>
            </w:r>
            <w:r>
              <w:t>泄漏进入雨水管网，若不能及时截流，进入外环境，可能造成地表水体污染事件。</w:t>
            </w:r>
          </w:p>
        </w:tc>
      </w:tr>
      <w:tr w14:paraId="048927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8" w:hRule="atLeast"/>
          <w:jc w:val="center"/>
        </w:trPr>
        <w:tc>
          <w:tcPr>
            <w:tcW w:w="249" w:type="pct"/>
            <w:noWrap w:val="0"/>
            <w:vAlign w:val="center"/>
          </w:tcPr>
          <w:p w14:paraId="6D889BEE">
            <w:pPr>
              <w:pStyle w:val="1111"/>
              <w:bidi w:val="0"/>
            </w:pPr>
            <w:r>
              <w:t>2</w:t>
            </w:r>
          </w:p>
        </w:tc>
        <w:tc>
          <w:tcPr>
            <w:tcW w:w="535" w:type="pct"/>
            <w:noWrap w:val="0"/>
            <w:vAlign w:val="center"/>
          </w:tcPr>
          <w:p w14:paraId="7ABC76E9">
            <w:pPr>
              <w:pStyle w:val="1111"/>
              <w:bidi w:val="0"/>
            </w:pPr>
            <w:r>
              <w:t>火灾、爆炸及次生、伴生产生的</w:t>
            </w:r>
          </w:p>
        </w:tc>
        <w:tc>
          <w:tcPr>
            <w:tcW w:w="387" w:type="pct"/>
            <w:shd w:val="clear" w:color="auto" w:fill="auto"/>
            <w:noWrap w:val="0"/>
            <w:vAlign w:val="center"/>
          </w:tcPr>
          <w:p w14:paraId="3A5599D2">
            <w:pPr>
              <w:pStyle w:val="1111"/>
              <w:bidi w:val="0"/>
              <w:rPr>
                <w:rFonts w:ascii="Times New Roman" w:hAnsi="Times New Roman" w:eastAsia="宋体" w:cs="Times New Roman"/>
                <w:kern w:val="0"/>
                <w:sz w:val="21"/>
                <w:szCs w:val="20"/>
                <w:lang w:val="en-US" w:eastAsia="zh-CN" w:bidi="ar-SA"/>
              </w:rPr>
            </w:pPr>
            <w:r>
              <w:t>危废</w:t>
            </w:r>
            <w:r>
              <w:rPr>
                <w:rFonts w:hint="eastAsia"/>
                <w:lang w:eastAsia="zh-CN"/>
              </w:rPr>
              <w:t>存储间</w:t>
            </w:r>
          </w:p>
        </w:tc>
        <w:tc>
          <w:tcPr>
            <w:tcW w:w="669" w:type="pct"/>
            <w:shd w:val="clear" w:color="auto" w:fill="auto"/>
            <w:noWrap w:val="0"/>
            <w:vAlign w:val="center"/>
          </w:tcPr>
          <w:p w14:paraId="30D6B0F6">
            <w:pPr>
              <w:pStyle w:val="1111"/>
              <w:bidi w:val="0"/>
              <w:rPr>
                <w:rFonts w:ascii="Times New Roman" w:hAnsi="Times New Roman" w:eastAsia="宋体" w:cs="Times New Roman"/>
                <w:kern w:val="0"/>
                <w:sz w:val="21"/>
                <w:szCs w:val="20"/>
                <w:lang w:val="en-US" w:eastAsia="zh-CN" w:bidi="ar-SA"/>
              </w:rPr>
            </w:pPr>
            <w:r>
              <w:t>危废包装桶</w:t>
            </w:r>
          </w:p>
        </w:tc>
        <w:tc>
          <w:tcPr>
            <w:tcW w:w="1622" w:type="pct"/>
            <w:shd w:val="clear" w:color="auto" w:fill="auto"/>
            <w:noWrap w:val="0"/>
            <w:vAlign w:val="center"/>
          </w:tcPr>
          <w:p w14:paraId="649BDB7C">
            <w:pPr>
              <w:pStyle w:val="1111"/>
              <w:bidi w:val="0"/>
              <w:rPr>
                <w:rFonts w:ascii="Times New Roman" w:hAnsi="Times New Roman" w:eastAsia="宋体" w:cs="Times New Roman"/>
                <w:kern w:val="0"/>
                <w:sz w:val="21"/>
                <w:szCs w:val="20"/>
                <w:lang w:val="en-US" w:eastAsia="zh-CN" w:bidi="ar-SA"/>
              </w:rPr>
            </w:pPr>
            <w:r>
              <w:t>危废中含有的可燃、易燃有机物挥发至危废仓库达到一定浓度或遇明火导致火灾、爆炸，次生、伴生的污染物事故排放</w:t>
            </w:r>
          </w:p>
        </w:tc>
        <w:tc>
          <w:tcPr>
            <w:tcW w:w="1535" w:type="pct"/>
            <w:noWrap w:val="0"/>
            <w:vAlign w:val="center"/>
          </w:tcPr>
          <w:p w14:paraId="4B4FB1B0">
            <w:pPr>
              <w:pStyle w:val="1111"/>
              <w:bidi w:val="0"/>
            </w:pPr>
            <w:r>
              <w:t>（1）可燃、易燃物质泄漏后引发火灾、爆炸，引起人员伤亡及直接环境污染；</w:t>
            </w:r>
          </w:p>
          <w:p w14:paraId="18E6CBE0">
            <w:pPr>
              <w:pStyle w:val="1111"/>
              <w:bidi w:val="0"/>
            </w:pPr>
            <w:r>
              <w:t>（2）救援过程中产生的消防尾水若进入外环境，可能造成地表水体污染事件；</w:t>
            </w:r>
          </w:p>
          <w:p w14:paraId="56CF6542">
            <w:pPr>
              <w:pStyle w:val="1111"/>
              <w:bidi w:val="0"/>
            </w:pPr>
            <w:r>
              <w:t>（3）火灾及高温状态下，可能会有次生、伴生的其他有毒有害物质产生，造成进一步的环境污染事件。</w:t>
            </w:r>
          </w:p>
        </w:tc>
      </w:tr>
      <w:tr w14:paraId="5DD018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49" w:type="pct"/>
            <w:noWrap w:val="0"/>
            <w:vAlign w:val="center"/>
          </w:tcPr>
          <w:p w14:paraId="579D49C1">
            <w:pPr>
              <w:pStyle w:val="1111"/>
              <w:bidi w:val="0"/>
            </w:pPr>
            <w:r>
              <w:t>3</w:t>
            </w:r>
          </w:p>
        </w:tc>
        <w:tc>
          <w:tcPr>
            <w:tcW w:w="535" w:type="pct"/>
            <w:noWrap w:val="0"/>
            <w:vAlign w:val="center"/>
          </w:tcPr>
          <w:p w14:paraId="77EDBD70">
            <w:pPr>
              <w:pStyle w:val="1111"/>
              <w:bidi w:val="0"/>
            </w:pPr>
            <w:r>
              <w:t>环境风险防控设施失灵或非正常操作</w:t>
            </w:r>
          </w:p>
        </w:tc>
        <w:tc>
          <w:tcPr>
            <w:tcW w:w="1056" w:type="pct"/>
            <w:gridSpan w:val="2"/>
            <w:noWrap w:val="0"/>
            <w:vAlign w:val="center"/>
          </w:tcPr>
          <w:p w14:paraId="56339757">
            <w:pPr>
              <w:pStyle w:val="1111"/>
              <w:bidi w:val="0"/>
            </w:pPr>
            <w:r>
              <w:t>雨水排口闸阀</w:t>
            </w:r>
          </w:p>
        </w:tc>
        <w:tc>
          <w:tcPr>
            <w:tcW w:w="1622" w:type="pct"/>
            <w:noWrap w:val="0"/>
            <w:vAlign w:val="center"/>
          </w:tcPr>
          <w:p w14:paraId="158E4B31">
            <w:pPr>
              <w:pStyle w:val="1111"/>
              <w:bidi w:val="0"/>
            </w:pPr>
            <w:r>
              <w:t>事故状态下未能关闭，导致消防尾水进入外环境</w:t>
            </w:r>
          </w:p>
        </w:tc>
        <w:tc>
          <w:tcPr>
            <w:tcW w:w="1535" w:type="pct"/>
            <w:noWrap w:val="0"/>
            <w:vAlign w:val="center"/>
          </w:tcPr>
          <w:p w14:paraId="0A98BEF0">
            <w:pPr>
              <w:pStyle w:val="1111"/>
              <w:bidi w:val="0"/>
            </w:pPr>
            <w:r>
              <w:t>火灾、爆炸事故次生大量的消防尾水，此时若雨水排口阀门不能正常关闭，消防尾水流出厂外进入地表水体，将引发水环境污染事件</w:t>
            </w:r>
          </w:p>
        </w:tc>
      </w:tr>
      <w:tr w14:paraId="664B7B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49" w:type="pct"/>
            <w:noWrap w:val="0"/>
            <w:vAlign w:val="center"/>
          </w:tcPr>
          <w:p w14:paraId="5C1E174A">
            <w:pPr>
              <w:pStyle w:val="1111"/>
              <w:bidi w:val="0"/>
              <w:rPr>
                <w:rFonts w:hint="eastAsia" w:eastAsia="宋体"/>
                <w:lang w:eastAsia="zh-CN"/>
              </w:rPr>
            </w:pPr>
            <w:r>
              <w:rPr>
                <w:rFonts w:hint="eastAsia"/>
                <w:lang w:val="en-US" w:eastAsia="zh-CN"/>
              </w:rPr>
              <w:t>4</w:t>
            </w:r>
          </w:p>
        </w:tc>
        <w:tc>
          <w:tcPr>
            <w:tcW w:w="535" w:type="pct"/>
            <w:noWrap w:val="0"/>
            <w:vAlign w:val="center"/>
          </w:tcPr>
          <w:p w14:paraId="5D4D0B91">
            <w:pPr>
              <w:pStyle w:val="1111"/>
              <w:bidi w:val="0"/>
            </w:pPr>
            <w:r>
              <w:t>污染治理设施非正常运行</w:t>
            </w:r>
          </w:p>
        </w:tc>
        <w:tc>
          <w:tcPr>
            <w:tcW w:w="1056" w:type="pct"/>
            <w:gridSpan w:val="2"/>
            <w:noWrap w:val="0"/>
            <w:vAlign w:val="center"/>
          </w:tcPr>
          <w:p w14:paraId="7D7EA2E5">
            <w:pPr>
              <w:pStyle w:val="1111"/>
              <w:bidi w:val="0"/>
            </w:pPr>
            <w:r>
              <w:rPr>
                <w:rFonts w:hint="eastAsia"/>
                <w:lang w:eastAsia="zh-CN"/>
              </w:rPr>
              <w:t>一级碱喷淋</w:t>
            </w:r>
            <w:r>
              <w:rPr>
                <w:rFonts w:hint="eastAsia"/>
                <w:lang w:val="en-US" w:eastAsia="zh-CN"/>
              </w:rPr>
              <w:t>+一级活性炭装置</w:t>
            </w:r>
            <w:r>
              <w:t>发生故障导致无法正常运行，或无法达到预期处理效率</w:t>
            </w:r>
          </w:p>
        </w:tc>
        <w:tc>
          <w:tcPr>
            <w:tcW w:w="1622" w:type="pct"/>
            <w:noWrap w:val="0"/>
            <w:vAlign w:val="center"/>
          </w:tcPr>
          <w:p w14:paraId="4B645E47">
            <w:pPr>
              <w:pStyle w:val="1111"/>
              <w:bidi w:val="0"/>
            </w:pPr>
            <w:r>
              <w:rPr>
                <w:rFonts w:hint="eastAsia"/>
                <w:lang w:eastAsia="zh-CN"/>
              </w:rPr>
              <w:t>非甲烷总烃、臭气</w:t>
            </w:r>
            <w:r>
              <w:t>等废气污染物超标排放</w:t>
            </w:r>
          </w:p>
        </w:tc>
        <w:tc>
          <w:tcPr>
            <w:tcW w:w="1535" w:type="pct"/>
            <w:noWrap w:val="0"/>
            <w:vAlign w:val="center"/>
          </w:tcPr>
          <w:p w14:paraId="765D1911">
            <w:pPr>
              <w:pStyle w:val="1111"/>
              <w:bidi w:val="0"/>
            </w:pPr>
            <w:r>
              <w:t>废气处理设施故障、失效，导致废气未经处理直接外排，一旦超标排放，将对周边环境造成影响</w:t>
            </w:r>
          </w:p>
        </w:tc>
      </w:tr>
      <w:tr w14:paraId="0C14B4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49" w:type="pct"/>
            <w:noWrap w:val="0"/>
            <w:vAlign w:val="center"/>
          </w:tcPr>
          <w:p w14:paraId="45747588">
            <w:pPr>
              <w:pStyle w:val="1111"/>
              <w:bidi w:val="0"/>
              <w:rPr>
                <w:rFonts w:hint="eastAsia" w:eastAsia="宋体"/>
                <w:lang w:eastAsia="zh-CN"/>
              </w:rPr>
            </w:pPr>
            <w:r>
              <w:rPr>
                <w:rFonts w:hint="eastAsia"/>
                <w:lang w:val="en-US" w:eastAsia="zh-CN"/>
              </w:rPr>
              <w:t>5</w:t>
            </w:r>
          </w:p>
        </w:tc>
        <w:tc>
          <w:tcPr>
            <w:tcW w:w="535" w:type="pct"/>
            <w:noWrap w:val="0"/>
            <w:vAlign w:val="center"/>
          </w:tcPr>
          <w:p w14:paraId="3FFCB935">
            <w:pPr>
              <w:pStyle w:val="1111"/>
              <w:bidi w:val="0"/>
            </w:pPr>
            <w:r>
              <w:t>危废事故排放</w:t>
            </w:r>
          </w:p>
        </w:tc>
        <w:tc>
          <w:tcPr>
            <w:tcW w:w="1056" w:type="pct"/>
            <w:gridSpan w:val="2"/>
            <w:noWrap w:val="0"/>
            <w:vAlign w:val="center"/>
          </w:tcPr>
          <w:p w14:paraId="10A76137">
            <w:pPr>
              <w:pStyle w:val="1111"/>
              <w:bidi w:val="0"/>
            </w:pPr>
            <w:r>
              <w:t>危废</w:t>
            </w:r>
            <w:r>
              <w:rPr>
                <w:rFonts w:hint="eastAsia"/>
                <w:lang w:eastAsia="zh-CN"/>
              </w:rPr>
              <w:t>存储间</w:t>
            </w:r>
          </w:p>
        </w:tc>
        <w:tc>
          <w:tcPr>
            <w:tcW w:w="1622" w:type="pct"/>
            <w:noWrap w:val="0"/>
            <w:vAlign w:val="center"/>
          </w:tcPr>
          <w:p w14:paraId="0D4D801C">
            <w:pPr>
              <w:pStyle w:val="1111"/>
              <w:bidi w:val="0"/>
            </w:pPr>
            <w:r>
              <w:t>危废泄漏进入土壤或地下水，或非法处置</w:t>
            </w:r>
          </w:p>
        </w:tc>
        <w:tc>
          <w:tcPr>
            <w:tcW w:w="1535" w:type="pct"/>
            <w:noWrap w:val="0"/>
            <w:vAlign w:val="center"/>
          </w:tcPr>
          <w:p w14:paraId="63162E13">
            <w:pPr>
              <w:pStyle w:val="1111"/>
              <w:bidi w:val="0"/>
            </w:pPr>
            <w:r>
              <w:t>（1）危废容器或仓库地面硬化、防腐层损坏，废液下渗，或危废仓库发生火灾爆炸，危废进入消防尾水进入土壤、水体。</w:t>
            </w:r>
          </w:p>
          <w:p w14:paraId="3031C8EC">
            <w:pPr>
              <w:pStyle w:val="1111"/>
              <w:bidi w:val="0"/>
            </w:pPr>
            <w:r>
              <w:t>（2）危废若未按环保要求妥善处置而将其非法掩埋或倾倒，将污染地表水、土壤及地下水。</w:t>
            </w:r>
          </w:p>
        </w:tc>
      </w:tr>
    </w:tbl>
    <w:p w14:paraId="3D773B18">
      <w:pPr>
        <w:pStyle w:val="1111"/>
        <w:bidi w:val="0"/>
      </w:pPr>
    </w:p>
    <w:p w14:paraId="3039B5F8">
      <w:pPr>
        <w:pStyle w:val="515"/>
        <w:bidi w:val="0"/>
      </w:pPr>
      <w:r>
        <w:rPr>
          <w:rFonts w:hint="eastAsia"/>
          <w:lang w:val="en-US" w:eastAsia="zh-CN"/>
        </w:rPr>
        <w:t>6</w:t>
      </w:r>
      <w:r>
        <w:rPr>
          <w:rFonts w:hint="default"/>
        </w:rPr>
        <w:t>风险事故情形分析</w:t>
      </w:r>
      <w:bookmarkEnd w:id="25"/>
    </w:p>
    <w:p w14:paraId="192C9C91">
      <w:pPr>
        <w:pStyle w:val="515"/>
        <w:bidi w:val="0"/>
      </w:pPr>
      <w:bookmarkStart w:id="26" w:name="_Toc146013788"/>
      <w:r>
        <w:rPr>
          <w:rFonts w:hint="eastAsia"/>
          <w:lang w:val="en-US" w:eastAsia="zh-CN"/>
        </w:rPr>
        <w:t>6</w:t>
      </w:r>
      <w:r>
        <w:t>.1</w:t>
      </w:r>
      <w:r>
        <w:rPr>
          <w:rFonts w:hint="eastAsia"/>
        </w:rPr>
        <w:t>风险事故情形设定</w:t>
      </w:r>
      <w:bookmarkEnd w:id="26"/>
    </w:p>
    <w:p w14:paraId="5C2032E9">
      <w:pPr>
        <w:pStyle w:val="512"/>
        <w:bidi w:val="0"/>
      </w:pPr>
      <w:r>
        <w:t>考虑可能发生的事故情形涉及的危险物质、环境危害、影响途径等方面，本次选取以下具有代表性的事故类型。</w:t>
      </w:r>
    </w:p>
    <w:p w14:paraId="2E24E982">
      <w:pPr>
        <w:pStyle w:val="512"/>
        <w:bidi w:val="0"/>
      </w:pPr>
      <w:r>
        <w:rPr>
          <w:rFonts w:hint="eastAsia"/>
        </w:rPr>
        <w:t>（1）</w:t>
      </w:r>
      <w:r>
        <w:t>大气</w:t>
      </w:r>
      <w:r>
        <w:rPr>
          <w:rFonts w:hint="eastAsia"/>
        </w:rPr>
        <w:t>风险事故情形设定</w:t>
      </w:r>
    </w:p>
    <w:p w14:paraId="6555D8AE">
      <w:pPr>
        <w:pStyle w:val="512"/>
        <w:bidi w:val="0"/>
      </w:pPr>
      <w:r>
        <w:t>发生火灾事故，次生</w:t>
      </w:r>
      <w:r>
        <w:rPr>
          <w:rFonts w:hint="eastAsia"/>
        </w:rPr>
        <w:t>污染物</w:t>
      </w:r>
      <w:r>
        <w:t>对周围环境的影响</w:t>
      </w:r>
      <w:r>
        <w:rPr>
          <w:rFonts w:hint="eastAsia"/>
        </w:rPr>
        <w:t>。</w:t>
      </w:r>
    </w:p>
    <w:p w14:paraId="3DF3500E">
      <w:pPr>
        <w:pStyle w:val="512"/>
        <w:bidi w:val="0"/>
      </w:pPr>
      <w:r>
        <w:t>废气处理设施故障</w:t>
      </w:r>
      <w:r>
        <w:rPr>
          <w:rFonts w:hint="eastAsia"/>
        </w:rPr>
        <w:t>，</w:t>
      </w:r>
      <w:r>
        <w:t>事故排放对周围环境的影响</w:t>
      </w:r>
      <w:r>
        <w:rPr>
          <w:rFonts w:hint="eastAsia"/>
        </w:rPr>
        <w:t>。</w:t>
      </w:r>
    </w:p>
    <w:p w14:paraId="2388283B">
      <w:pPr>
        <w:pStyle w:val="512"/>
        <w:bidi w:val="0"/>
      </w:pPr>
      <w:r>
        <w:rPr>
          <w:rFonts w:hint="eastAsia"/>
        </w:rPr>
        <w:t>（2）地表水风险事故情形设定</w:t>
      </w:r>
    </w:p>
    <w:p w14:paraId="0E1EA3BE">
      <w:pPr>
        <w:pStyle w:val="512"/>
        <w:bidi w:val="0"/>
      </w:pPr>
      <w:r>
        <w:t>危废仓库</w:t>
      </w:r>
      <w:r>
        <w:rPr>
          <w:rFonts w:hint="eastAsia"/>
        </w:rPr>
        <w:t>液态危废泄漏和</w:t>
      </w:r>
      <w:r>
        <w:t>发生火灾事故消防废水</w:t>
      </w:r>
      <w:r>
        <w:rPr>
          <w:rFonts w:hint="eastAsia"/>
        </w:rPr>
        <w:t>对地表</w:t>
      </w:r>
      <w:r>
        <w:t>水的影响。</w:t>
      </w:r>
    </w:p>
    <w:p w14:paraId="7E696ED3">
      <w:pPr>
        <w:pStyle w:val="512"/>
        <w:bidi w:val="0"/>
      </w:pPr>
      <w:r>
        <w:rPr>
          <w:rFonts w:hint="eastAsia"/>
        </w:rPr>
        <w:t>（3）地下水、土壤风险事故情形设定</w:t>
      </w:r>
    </w:p>
    <w:p w14:paraId="6E077E5A">
      <w:pPr>
        <w:pStyle w:val="512"/>
        <w:bidi w:val="0"/>
      </w:pPr>
      <w:r>
        <w:t>危废仓库泄漏</w:t>
      </w:r>
      <w:r>
        <w:rPr>
          <w:rFonts w:hint="eastAsia"/>
        </w:rPr>
        <w:t>有毒有害物质进入土壤及地下水</w:t>
      </w:r>
      <w:r>
        <w:t>对</w:t>
      </w:r>
      <w:r>
        <w:rPr>
          <w:rFonts w:hint="eastAsia"/>
        </w:rPr>
        <w:t>土壤和地下水</w:t>
      </w:r>
      <w:r>
        <w:t>的影响。</w:t>
      </w:r>
    </w:p>
    <w:p w14:paraId="7039DB06">
      <w:pPr>
        <w:pStyle w:val="512"/>
        <w:bidi w:val="0"/>
      </w:pPr>
      <w:r>
        <w:t>在风险识别、事故分析的基础上，本工程风险评价的最大可信事故设定为易燃可燃的</w:t>
      </w:r>
      <w:r>
        <w:rPr>
          <w:rFonts w:hint="eastAsia"/>
        </w:rPr>
        <w:t>危险废物</w:t>
      </w:r>
      <w:r>
        <w:t>发生火灾事故，次生废气CO影响周边环境空气</w:t>
      </w:r>
      <w:r>
        <w:rPr>
          <w:rFonts w:hint="eastAsia"/>
        </w:rPr>
        <w:t>。</w:t>
      </w:r>
    </w:p>
    <w:p w14:paraId="6E68FDE8">
      <w:pPr>
        <w:pStyle w:val="515"/>
        <w:bidi w:val="0"/>
      </w:pPr>
      <w:bookmarkStart w:id="27" w:name="_Toc146013789"/>
      <w:r>
        <w:rPr>
          <w:rFonts w:hint="eastAsia"/>
          <w:lang w:val="en-US" w:eastAsia="zh-CN"/>
        </w:rPr>
        <w:t>6</w:t>
      </w:r>
      <w:r>
        <w:t>.2</w:t>
      </w:r>
      <w:r>
        <w:rPr>
          <w:rFonts w:hint="eastAsia"/>
        </w:rPr>
        <w:t>源项分析</w:t>
      </w:r>
      <w:bookmarkEnd w:id="27"/>
    </w:p>
    <w:p w14:paraId="705E148D">
      <w:pPr>
        <w:pStyle w:val="512"/>
        <w:bidi w:val="0"/>
        <w:rPr>
          <w:rFonts w:hint="default" w:eastAsia="宋体"/>
          <w:lang w:val="en-US" w:eastAsia="zh-CN"/>
        </w:rPr>
      </w:pPr>
      <w:r>
        <w:t>由于火灾燃烧为不充分燃烧，本评价选取有代表性的CO作为火灾伴生污染物进行风险评价。源强计算参照《建设项目环境风险评价技术导则》油品火灾产生的一氧化碳推荐的公式计算：</w:t>
      </w:r>
    </w:p>
    <w:p w14:paraId="1A369CEA">
      <w:pPr>
        <w:pStyle w:val="512"/>
        <w:bidi w:val="0"/>
        <w:rPr>
          <w:rFonts w:hint="default" w:eastAsia="宋体"/>
          <w:lang w:val="en-US" w:eastAsia="zh-CN"/>
        </w:rPr>
      </w:pPr>
      <w:r>
        <w:rPr>
          <w:rFonts w:hint="eastAsia"/>
          <w:lang w:eastAsia="zh-CN"/>
        </w:rPr>
        <w:t>本项目存储间最大储存面积为</w:t>
      </w:r>
      <w:r>
        <w:rPr>
          <w:rFonts w:hint="eastAsia"/>
          <w:lang w:val="en-US" w:eastAsia="zh-CN"/>
        </w:rPr>
        <w:t>109.62m</w:t>
      </w:r>
      <w:r>
        <w:rPr>
          <w:rFonts w:hint="eastAsia"/>
          <w:vertAlign w:val="superscript"/>
          <w:lang w:val="en-US" w:eastAsia="zh-CN"/>
        </w:rPr>
        <w:t>2</w:t>
      </w:r>
      <w:r>
        <w:rPr>
          <w:rFonts w:hint="eastAsia"/>
          <w:lang w:val="en-US" w:eastAsia="zh-CN"/>
        </w:rPr>
        <w:t>（1#、2#、3#存储间最大储存面积均为36.54m</w:t>
      </w:r>
      <w:r>
        <w:rPr>
          <w:rFonts w:hint="eastAsia"/>
          <w:vertAlign w:val="superscript"/>
          <w:lang w:val="en-US" w:eastAsia="zh-CN"/>
        </w:rPr>
        <w:t>2</w:t>
      </w:r>
      <w:r>
        <w:rPr>
          <w:rFonts w:hint="eastAsia"/>
          <w:lang w:val="en-US" w:eastAsia="zh-CN"/>
        </w:rPr>
        <w:t>），转运周期为3个月，贮存能力为1t/m</w:t>
      </w:r>
      <w:r>
        <w:rPr>
          <w:rFonts w:hint="eastAsia"/>
          <w:vertAlign w:val="superscript"/>
          <w:lang w:val="en-US" w:eastAsia="zh-CN"/>
        </w:rPr>
        <w:t>2</w:t>
      </w:r>
      <w:r>
        <w:rPr>
          <w:rFonts w:hint="eastAsia"/>
          <w:lang w:val="en-US" w:eastAsia="zh-CN"/>
        </w:rPr>
        <w:t>，则各存储间最大贮存量为36.54t；最不利情形下，各存储间最大易燃危险废物贮存量为36.54t。本次按1#存储间的易燃废物燃烧30%（10.962t）计，火灾燃烧时间1h。</w:t>
      </w:r>
    </w:p>
    <w:p w14:paraId="590362D5">
      <w:pPr>
        <w:pStyle w:val="512"/>
        <w:bidi w:val="0"/>
      </w:pPr>
      <w:r>
        <w:t>燃料燃烧产生的CO量可按下式进行估算：</w:t>
      </w:r>
    </w:p>
    <w:p w14:paraId="0F2FE4D7">
      <w:pPr>
        <w:pStyle w:val="512"/>
        <w:bidi w:val="0"/>
        <w:ind w:left="0" w:leftChars="0" w:firstLine="0" w:firstLineChars="0"/>
        <w:jc w:val="center"/>
        <w:rPr>
          <w:lang w:val="de-DE"/>
        </w:rPr>
      </w:pPr>
      <w:r>
        <w:rPr>
          <w:lang w:val="de-DE"/>
        </w:rPr>
        <w:t>G</w:t>
      </w:r>
      <w:r>
        <w:rPr>
          <w:vertAlign w:val="subscript"/>
          <w:lang w:val="de-DE"/>
        </w:rPr>
        <w:t>一氧化碳</w:t>
      </w:r>
      <w:r>
        <w:rPr>
          <w:lang w:val="de-DE"/>
        </w:rPr>
        <w:t>=2330qCQ</w:t>
      </w:r>
    </w:p>
    <w:p w14:paraId="57464E80">
      <w:pPr>
        <w:pStyle w:val="512"/>
        <w:bidi w:val="0"/>
        <w:rPr>
          <w:lang w:val="de-DE"/>
        </w:rPr>
      </w:pPr>
      <w:r>
        <w:rPr>
          <w:lang w:val="de-DE"/>
        </w:rPr>
        <w:t>式中：G</w:t>
      </w:r>
      <w:r>
        <w:rPr>
          <w:vertAlign w:val="subscript"/>
          <w:lang w:val="de-DE"/>
        </w:rPr>
        <w:t>一氧化碳</w:t>
      </w:r>
      <w:r>
        <w:rPr>
          <w:rFonts w:hint="eastAsia"/>
          <w:lang w:val="de-DE" w:eastAsia="zh-CN"/>
        </w:rPr>
        <w:t>——</w:t>
      </w:r>
      <w:r>
        <w:rPr>
          <w:lang w:val="de-DE"/>
        </w:rPr>
        <w:t>一氧化碳排放速率，kg/s；</w:t>
      </w:r>
    </w:p>
    <w:p w14:paraId="3DDACEE4">
      <w:pPr>
        <w:pStyle w:val="512"/>
        <w:bidi w:val="0"/>
        <w:rPr>
          <w:lang w:val="de-DE"/>
        </w:rPr>
      </w:pPr>
      <w:r>
        <w:rPr>
          <w:lang w:val="de-DE"/>
        </w:rPr>
        <w:t>C</w:t>
      </w:r>
      <w:r>
        <w:rPr>
          <w:rFonts w:hint="eastAsia"/>
          <w:lang w:val="de-DE" w:eastAsia="zh-CN"/>
        </w:rPr>
        <w:t>——</w:t>
      </w:r>
      <w:r>
        <w:rPr>
          <w:lang w:val="de-DE"/>
        </w:rPr>
        <w:t>物质中碳的含量，取85%；</w:t>
      </w:r>
    </w:p>
    <w:p w14:paraId="4D3D0937">
      <w:pPr>
        <w:pStyle w:val="512"/>
        <w:bidi w:val="0"/>
        <w:rPr>
          <w:lang w:val="de-DE"/>
        </w:rPr>
      </w:pPr>
      <w:r>
        <w:rPr>
          <w:rFonts w:hint="eastAsia"/>
          <w:lang w:val="en-US" w:eastAsia="zh-CN"/>
        </w:rPr>
        <w:t>q</w:t>
      </w:r>
      <w:r>
        <w:rPr>
          <w:rFonts w:hint="eastAsia"/>
          <w:lang w:val="de-DE" w:eastAsia="zh-CN"/>
        </w:rPr>
        <w:t>——</w:t>
      </w:r>
      <w:r>
        <w:rPr>
          <w:lang w:val="de-DE"/>
        </w:rPr>
        <w:t>化学不完全燃烧值，</w:t>
      </w:r>
      <w:r>
        <w:rPr>
          <w:rFonts w:hint="eastAsia"/>
        </w:rPr>
        <w:t>范围为</w:t>
      </w:r>
      <w:r>
        <w:t>1.5%~6.0%</w:t>
      </w:r>
      <w:r>
        <w:rPr>
          <w:rFonts w:hint="eastAsia"/>
        </w:rPr>
        <w:t>，本次</w:t>
      </w:r>
      <w:r>
        <w:rPr>
          <w:lang w:val="de-DE"/>
        </w:rPr>
        <w:t>取</w:t>
      </w:r>
      <w:r>
        <w:rPr>
          <w:rFonts w:hint="eastAsia"/>
          <w:lang w:val="en-US" w:eastAsia="zh-CN"/>
        </w:rPr>
        <w:t>2</w:t>
      </w:r>
      <w:r>
        <w:rPr>
          <w:lang w:val="de-DE"/>
        </w:rPr>
        <w:t>%。</w:t>
      </w:r>
    </w:p>
    <w:p w14:paraId="45454943">
      <w:pPr>
        <w:pStyle w:val="512"/>
        <w:bidi w:val="0"/>
        <w:rPr>
          <w:lang w:val="de-DE"/>
        </w:rPr>
      </w:pPr>
      <w:r>
        <w:rPr>
          <w:lang w:val="de-DE"/>
        </w:rPr>
        <w:t>Q—参与燃烧的物质量，取</w:t>
      </w:r>
      <w:r>
        <w:rPr>
          <w:rFonts w:hint="eastAsia"/>
          <w:lang w:val="en-US" w:eastAsia="zh-CN"/>
        </w:rPr>
        <w:t>0.003045</w:t>
      </w:r>
      <w:r>
        <w:rPr>
          <w:lang w:val="de-DE"/>
        </w:rPr>
        <w:t>t/s。</w:t>
      </w:r>
    </w:p>
    <w:p w14:paraId="26FF5EEA">
      <w:pPr>
        <w:pStyle w:val="512"/>
        <w:bidi w:val="0"/>
      </w:pPr>
      <w:r>
        <w:t>经计算，本项目持续时间一氧化碳排放速率为</w:t>
      </w:r>
      <w:r>
        <w:rPr>
          <w:rFonts w:hint="eastAsia"/>
          <w:lang w:val="en-US" w:eastAsia="zh-CN"/>
        </w:rPr>
        <w:t>0.121</w:t>
      </w:r>
      <w:r>
        <w:t>kg/s。</w:t>
      </w:r>
    </w:p>
    <w:p w14:paraId="59868746">
      <w:pPr>
        <w:pStyle w:val="515"/>
        <w:bidi w:val="0"/>
      </w:pPr>
      <w:bookmarkStart w:id="28" w:name="_Toc74764436"/>
      <w:bookmarkStart w:id="29" w:name="_Toc146013790"/>
      <w:r>
        <w:rPr>
          <w:rFonts w:hint="eastAsia"/>
          <w:lang w:val="en-US" w:eastAsia="zh-CN"/>
        </w:rPr>
        <w:t>7</w:t>
      </w:r>
      <w:r>
        <w:rPr>
          <w:rFonts w:hint="default"/>
        </w:rPr>
        <w:t>事故风险影响评价</w:t>
      </w:r>
      <w:bookmarkEnd w:id="28"/>
      <w:bookmarkEnd w:id="29"/>
    </w:p>
    <w:p w14:paraId="207C9032">
      <w:pPr>
        <w:pStyle w:val="515"/>
        <w:bidi w:val="0"/>
        <w:rPr>
          <w:rFonts w:hint="default"/>
        </w:rPr>
      </w:pPr>
      <w:bookmarkStart w:id="30" w:name="_Toc146013791"/>
      <w:r>
        <w:rPr>
          <w:rFonts w:hint="eastAsia"/>
          <w:lang w:val="en-US" w:eastAsia="zh-CN"/>
        </w:rPr>
        <w:t>7</w:t>
      </w:r>
      <w:r>
        <w:t>.1</w:t>
      </w:r>
      <w:r>
        <w:rPr>
          <w:rFonts w:hint="default"/>
        </w:rPr>
        <w:t>火灾事故环境风险影响预测与分析</w:t>
      </w:r>
      <w:bookmarkEnd w:id="30"/>
    </w:p>
    <w:p w14:paraId="0DC4F9FC">
      <w:pPr>
        <w:pStyle w:val="512"/>
        <w:bidi w:val="0"/>
      </w:pPr>
      <w:r>
        <w:t>（1）预测模式</w:t>
      </w:r>
    </w:p>
    <w:p w14:paraId="085B7BA4">
      <w:pPr>
        <w:pStyle w:val="512"/>
        <w:bidi w:val="0"/>
      </w:pPr>
      <w:r>
        <w:t>采用《建设项目环境风险评价技术导则》（HJ169-2018）推荐的AFTOX模型预测计算事故状况下的污染物地面浓度，对照CO评价标准确定影响范围。</w:t>
      </w:r>
    </w:p>
    <w:p w14:paraId="471254C4">
      <w:pPr>
        <w:pStyle w:val="512"/>
        <w:bidi w:val="0"/>
      </w:pPr>
      <w:r>
        <w:t>（2）预测时段</w:t>
      </w:r>
    </w:p>
    <w:p w14:paraId="3CBC23C9">
      <w:pPr>
        <w:pStyle w:val="512"/>
        <w:bidi w:val="0"/>
      </w:pPr>
      <w:r>
        <w:t>预测时段为火灾事故开始后的120min。</w:t>
      </w:r>
    </w:p>
    <w:p w14:paraId="001C5976">
      <w:pPr>
        <w:pStyle w:val="512"/>
        <w:bidi w:val="0"/>
      </w:pPr>
      <w:r>
        <w:t>（3）预测源强</w:t>
      </w:r>
    </w:p>
    <w:p w14:paraId="6F7F4355">
      <w:pPr>
        <w:pStyle w:val="512"/>
        <w:bidi w:val="0"/>
      </w:pPr>
      <w:r>
        <w:t>大气风险预测模型主要参数见表</w:t>
      </w:r>
      <w:r>
        <w:rPr>
          <w:rFonts w:hint="eastAsia"/>
          <w:lang w:val="en-US" w:eastAsia="zh-CN"/>
        </w:rPr>
        <w:t>7</w:t>
      </w:r>
      <w:r>
        <w:t>-1。</w:t>
      </w:r>
    </w:p>
    <w:p w14:paraId="60EA1647">
      <w:pPr>
        <w:pStyle w:val="1111"/>
        <w:bidi w:val="0"/>
      </w:pPr>
      <w:r>
        <w:t>表</w:t>
      </w:r>
      <w:r>
        <w:rPr>
          <w:rFonts w:hint="eastAsia"/>
          <w:lang w:val="en-US" w:eastAsia="zh-CN"/>
        </w:rPr>
        <w:t>7</w:t>
      </w:r>
      <w:r>
        <w:t>-1  大气风险预测模型主要参数表</w:t>
      </w:r>
    </w:p>
    <w:tbl>
      <w:tblPr>
        <w:tblStyle w:val="7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486"/>
        <w:gridCol w:w="2142"/>
        <w:gridCol w:w="5272"/>
      </w:tblGrid>
      <w:tr w14:paraId="5F5645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blHeader/>
        </w:trPr>
        <w:tc>
          <w:tcPr>
            <w:tcW w:w="835" w:type="pct"/>
            <w:tcBorders>
              <w:tl2br w:val="nil"/>
              <w:tr2bl w:val="nil"/>
            </w:tcBorders>
            <w:shd w:val="clear" w:color="auto" w:fill="auto"/>
            <w:vAlign w:val="center"/>
          </w:tcPr>
          <w:p w14:paraId="7D60F042">
            <w:pPr>
              <w:pStyle w:val="1111"/>
              <w:bidi w:val="0"/>
            </w:pPr>
            <w:r>
              <w:t>参数类型</w:t>
            </w:r>
          </w:p>
        </w:tc>
        <w:tc>
          <w:tcPr>
            <w:tcW w:w="1203" w:type="pct"/>
            <w:tcBorders>
              <w:tl2br w:val="nil"/>
              <w:tr2bl w:val="nil"/>
            </w:tcBorders>
            <w:shd w:val="clear" w:color="auto" w:fill="auto"/>
            <w:vAlign w:val="center"/>
          </w:tcPr>
          <w:p w14:paraId="16410721">
            <w:pPr>
              <w:pStyle w:val="1111"/>
              <w:bidi w:val="0"/>
            </w:pPr>
            <w:r>
              <w:t>选项</w:t>
            </w:r>
          </w:p>
        </w:tc>
        <w:tc>
          <w:tcPr>
            <w:tcW w:w="2961" w:type="pct"/>
            <w:tcBorders>
              <w:tl2br w:val="nil"/>
              <w:tr2bl w:val="nil"/>
            </w:tcBorders>
            <w:vAlign w:val="center"/>
          </w:tcPr>
          <w:p w14:paraId="27A38580">
            <w:pPr>
              <w:pStyle w:val="1111"/>
              <w:bidi w:val="0"/>
            </w:pPr>
            <w:r>
              <w:t>参数</w:t>
            </w:r>
          </w:p>
        </w:tc>
      </w:tr>
      <w:tr w14:paraId="6B8940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835" w:type="pct"/>
            <w:vMerge w:val="restart"/>
            <w:tcBorders>
              <w:tl2br w:val="nil"/>
              <w:tr2bl w:val="nil"/>
            </w:tcBorders>
            <w:shd w:val="clear" w:color="auto" w:fill="auto"/>
            <w:vAlign w:val="center"/>
          </w:tcPr>
          <w:p w14:paraId="6B554D43">
            <w:pPr>
              <w:pStyle w:val="1111"/>
              <w:bidi w:val="0"/>
            </w:pPr>
            <w:r>
              <w:t>基本情况</w:t>
            </w:r>
          </w:p>
        </w:tc>
        <w:tc>
          <w:tcPr>
            <w:tcW w:w="1203" w:type="pct"/>
            <w:tcBorders>
              <w:tl2br w:val="nil"/>
              <w:tr2bl w:val="nil"/>
            </w:tcBorders>
            <w:shd w:val="clear" w:color="auto" w:fill="auto"/>
            <w:vAlign w:val="center"/>
          </w:tcPr>
          <w:p w14:paraId="130B6426">
            <w:pPr>
              <w:pStyle w:val="1111"/>
              <w:bidi w:val="0"/>
            </w:pPr>
            <w:r>
              <w:t>事故源经度（°）</w:t>
            </w:r>
          </w:p>
        </w:tc>
        <w:tc>
          <w:tcPr>
            <w:tcW w:w="2961" w:type="pct"/>
            <w:tcBorders>
              <w:tl2br w:val="nil"/>
              <w:tr2bl w:val="nil"/>
            </w:tcBorders>
            <w:vAlign w:val="center"/>
          </w:tcPr>
          <w:p w14:paraId="07E9016E">
            <w:pPr>
              <w:pStyle w:val="1111"/>
              <w:bidi w:val="0"/>
            </w:pPr>
            <w:r>
              <w:rPr>
                <w:rFonts w:hint="eastAsia"/>
              </w:rPr>
              <w:t>119.228047</w:t>
            </w:r>
          </w:p>
        </w:tc>
      </w:tr>
      <w:tr w14:paraId="35AA0B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835" w:type="pct"/>
            <w:vMerge w:val="continue"/>
            <w:tcBorders>
              <w:tl2br w:val="nil"/>
              <w:tr2bl w:val="nil"/>
            </w:tcBorders>
            <w:shd w:val="clear" w:color="auto" w:fill="auto"/>
            <w:vAlign w:val="center"/>
          </w:tcPr>
          <w:p w14:paraId="0F037884">
            <w:pPr>
              <w:pStyle w:val="1111"/>
              <w:bidi w:val="0"/>
            </w:pPr>
          </w:p>
        </w:tc>
        <w:tc>
          <w:tcPr>
            <w:tcW w:w="1203" w:type="pct"/>
            <w:tcBorders>
              <w:tl2br w:val="nil"/>
              <w:tr2bl w:val="nil"/>
            </w:tcBorders>
            <w:shd w:val="clear" w:color="auto" w:fill="auto"/>
            <w:vAlign w:val="center"/>
          </w:tcPr>
          <w:p w14:paraId="60BFFCA9">
            <w:pPr>
              <w:pStyle w:val="1111"/>
              <w:bidi w:val="0"/>
            </w:pPr>
            <w:r>
              <w:t>事故源纬度（°）</w:t>
            </w:r>
          </w:p>
        </w:tc>
        <w:tc>
          <w:tcPr>
            <w:tcW w:w="2961" w:type="pct"/>
            <w:tcBorders>
              <w:tl2br w:val="nil"/>
              <w:tr2bl w:val="nil"/>
            </w:tcBorders>
            <w:vAlign w:val="center"/>
          </w:tcPr>
          <w:p w14:paraId="44BE8E1C">
            <w:pPr>
              <w:pStyle w:val="1111"/>
              <w:bidi w:val="0"/>
            </w:pPr>
            <w:r>
              <w:rPr>
                <w:rFonts w:hint="eastAsia"/>
              </w:rPr>
              <w:t>34.697713</w:t>
            </w:r>
          </w:p>
        </w:tc>
      </w:tr>
      <w:tr w14:paraId="2ECFC0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835" w:type="pct"/>
            <w:vMerge w:val="continue"/>
            <w:tcBorders>
              <w:tl2br w:val="nil"/>
              <w:tr2bl w:val="nil"/>
            </w:tcBorders>
            <w:shd w:val="clear" w:color="auto" w:fill="auto"/>
            <w:vAlign w:val="center"/>
          </w:tcPr>
          <w:p w14:paraId="4BD2BC87">
            <w:pPr>
              <w:pStyle w:val="1111"/>
              <w:bidi w:val="0"/>
            </w:pPr>
          </w:p>
        </w:tc>
        <w:tc>
          <w:tcPr>
            <w:tcW w:w="1203" w:type="pct"/>
            <w:tcBorders>
              <w:tl2br w:val="nil"/>
              <w:tr2bl w:val="nil"/>
            </w:tcBorders>
            <w:shd w:val="clear" w:color="auto" w:fill="auto"/>
            <w:vAlign w:val="center"/>
          </w:tcPr>
          <w:p w14:paraId="6605B23C">
            <w:pPr>
              <w:pStyle w:val="1111"/>
              <w:bidi w:val="0"/>
            </w:pPr>
            <w:r>
              <w:t>事故源类型</w:t>
            </w:r>
          </w:p>
        </w:tc>
        <w:tc>
          <w:tcPr>
            <w:tcW w:w="2961" w:type="pct"/>
            <w:tcBorders>
              <w:tl2br w:val="nil"/>
              <w:tr2bl w:val="nil"/>
            </w:tcBorders>
            <w:vAlign w:val="center"/>
          </w:tcPr>
          <w:p w14:paraId="20B14E9B">
            <w:pPr>
              <w:pStyle w:val="1111"/>
              <w:bidi w:val="0"/>
            </w:pPr>
            <w:r>
              <w:t>火灾</w:t>
            </w:r>
          </w:p>
        </w:tc>
      </w:tr>
      <w:tr w14:paraId="71A7C9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835" w:type="pct"/>
            <w:vMerge w:val="restart"/>
            <w:tcBorders>
              <w:tl2br w:val="nil"/>
              <w:tr2bl w:val="nil"/>
            </w:tcBorders>
            <w:shd w:val="clear" w:color="auto" w:fill="auto"/>
            <w:vAlign w:val="center"/>
          </w:tcPr>
          <w:p w14:paraId="3F54E612">
            <w:pPr>
              <w:pStyle w:val="1111"/>
              <w:bidi w:val="0"/>
            </w:pPr>
            <w:r>
              <w:t>气象参数</w:t>
            </w:r>
          </w:p>
        </w:tc>
        <w:tc>
          <w:tcPr>
            <w:tcW w:w="1203" w:type="pct"/>
            <w:tcBorders>
              <w:tl2br w:val="nil"/>
              <w:tr2bl w:val="nil"/>
            </w:tcBorders>
            <w:shd w:val="clear" w:color="auto" w:fill="auto"/>
            <w:vAlign w:val="center"/>
          </w:tcPr>
          <w:p w14:paraId="134F6C25">
            <w:pPr>
              <w:pStyle w:val="1111"/>
              <w:bidi w:val="0"/>
            </w:pPr>
            <w:r>
              <w:t>气象条件类型</w:t>
            </w:r>
          </w:p>
        </w:tc>
        <w:tc>
          <w:tcPr>
            <w:tcW w:w="2961" w:type="pct"/>
            <w:tcBorders>
              <w:tl2br w:val="nil"/>
              <w:tr2bl w:val="nil"/>
            </w:tcBorders>
            <w:vAlign w:val="center"/>
          </w:tcPr>
          <w:p w14:paraId="7552AA67">
            <w:pPr>
              <w:pStyle w:val="1111"/>
              <w:bidi w:val="0"/>
            </w:pPr>
            <w:r>
              <w:t>最不利气象条件</w:t>
            </w:r>
          </w:p>
        </w:tc>
      </w:tr>
      <w:tr w14:paraId="763F58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835" w:type="pct"/>
            <w:vMerge w:val="continue"/>
            <w:tcBorders>
              <w:tl2br w:val="nil"/>
              <w:tr2bl w:val="nil"/>
            </w:tcBorders>
            <w:shd w:val="clear" w:color="auto" w:fill="auto"/>
            <w:vAlign w:val="center"/>
          </w:tcPr>
          <w:p w14:paraId="7FDAA4CA">
            <w:pPr>
              <w:pStyle w:val="1111"/>
              <w:bidi w:val="0"/>
            </w:pPr>
          </w:p>
        </w:tc>
        <w:tc>
          <w:tcPr>
            <w:tcW w:w="1203" w:type="pct"/>
            <w:tcBorders>
              <w:tl2br w:val="nil"/>
              <w:tr2bl w:val="nil"/>
            </w:tcBorders>
            <w:shd w:val="clear" w:color="auto" w:fill="auto"/>
            <w:vAlign w:val="center"/>
          </w:tcPr>
          <w:p w14:paraId="6FF4E939">
            <w:pPr>
              <w:pStyle w:val="1111"/>
              <w:bidi w:val="0"/>
            </w:pPr>
            <w:r>
              <w:t>风速（m/s）</w:t>
            </w:r>
          </w:p>
        </w:tc>
        <w:tc>
          <w:tcPr>
            <w:tcW w:w="2961" w:type="pct"/>
            <w:tcBorders>
              <w:tl2br w:val="nil"/>
              <w:tr2bl w:val="nil"/>
            </w:tcBorders>
            <w:vAlign w:val="center"/>
          </w:tcPr>
          <w:p w14:paraId="5D014F43">
            <w:pPr>
              <w:pStyle w:val="1111"/>
              <w:bidi w:val="0"/>
            </w:pPr>
            <w:r>
              <w:t>1.5</w:t>
            </w:r>
          </w:p>
        </w:tc>
      </w:tr>
      <w:tr w14:paraId="31A4BB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835" w:type="pct"/>
            <w:vMerge w:val="continue"/>
            <w:tcBorders>
              <w:tl2br w:val="nil"/>
              <w:tr2bl w:val="nil"/>
            </w:tcBorders>
            <w:shd w:val="clear" w:color="auto" w:fill="auto"/>
            <w:vAlign w:val="center"/>
          </w:tcPr>
          <w:p w14:paraId="3F872150">
            <w:pPr>
              <w:pStyle w:val="1111"/>
              <w:bidi w:val="0"/>
            </w:pPr>
          </w:p>
        </w:tc>
        <w:tc>
          <w:tcPr>
            <w:tcW w:w="1203" w:type="pct"/>
            <w:tcBorders>
              <w:tl2br w:val="nil"/>
              <w:tr2bl w:val="nil"/>
            </w:tcBorders>
            <w:shd w:val="clear" w:color="auto" w:fill="auto"/>
            <w:vAlign w:val="center"/>
          </w:tcPr>
          <w:p w14:paraId="34A3E0B0">
            <w:pPr>
              <w:pStyle w:val="1111"/>
              <w:bidi w:val="0"/>
            </w:pPr>
            <w:r>
              <w:t>环境温度℃</w:t>
            </w:r>
          </w:p>
        </w:tc>
        <w:tc>
          <w:tcPr>
            <w:tcW w:w="2961" w:type="pct"/>
            <w:tcBorders>
              <w:tl2br w:val="nil"/>
              <w:tr2bl w:val="nil"/>
            </w:tcBorders>
            <w:vAlign w:val="center"/>
          </w:tcPr>
          <w:p w14:paraId="5998A485">
            <w:pPr>
              <w:pStyle w:val="1111"/>
              <w:bidi w:val="0"/>
            </w:pPr>
            <w:r>
              <w:t>25</w:t>
            </w:r>
          </w:p>
        </w:tc>
      </w:tr>
      <w:tr w14:paraId="1B490D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835" w:type="pct"/>
            <w:vMerge w:val="continue"/>
            <w:tcBorders>
              <w:tl2br w:val="nil"/>
              <w:tr2bl w:val="nil"/>
            </w:tcBorders>
            <w:shd w:val="clear" w:color="auto" w:fill="auto"/>
            <w:vAlign w:val="center"/>
          </w:tcPr>
          <w:p w14:paraId="09BD897B">
            <w:pPr>
              <w:pStyle w:val="1111"/>
              <w:bidi w:val="0"/>
            </w:pPr>
          </w:p>
        </w:tc>
        <w:tc>
          <w:tcPr>
            <w:tcW w:w="1203" w:type="pct"/>
            <w:tcBorders>
              <w:tl2br w:val="nil"/>
              <w:tr2bl w:val="nil"/>
            </w:tcBorders>
            <w:shd w:val="clear" w:color="auto" w:fill="auto"/>
            <w:vAlign w:val="center"/>
          </w:tcPr>
          <w:p w14:paraId="754DFA68">
            <w:pPr>
              <w:pStyle w:val="1111"/>
              <w:bidi w:val="0"/>
            </w:pPr>
            <w:r>
              <w:t>相对湿度%</w:t>
            </w:r>
          </w:p>
        </w:tc>
        <w:tc>
          <w:tcPr>
            <w:tcW w:w="2961" w:type="pct"/>
            <w:tcBorders>
              <w:tl2br w:val="nil"/>
              <w:tr2bl w:val="nil"/>
            </w:tcBorders>
            <w:vAlign w:val="center"/>
          </w:tcPr>
          <w:p w14:paraId="1AC799D6">
            <w:pPr>
              <w:pStyle w:val="1111"/>
              <w:bidi w:val="0"/>
            </w:pPr>
            <w:r>
              <w:t>50</w:t>
            </w:r>
          </w:p>
        </w:tc>
      </w:tr>
      <w:tr w14:paraId="6242EF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835" w:type="pct"/>
            <w:vMerge w:val="continue"/>
            <w:tcBorders>
              <w:tl2br w:val="nil"/>
              <w:tr2bl w:val="nil"/>
            </w:tcBorders>
            <w:shd w:val="clear" w:color="auto" w:fill="auto"/>
            <w:vAlign w:val="center"/>
          </w:tcPr>
          <w:p w14:paraId="0BA39513">
            <w:pPr>
              <w:pStyle w:val="1111"/>
              <w:bidi w:val="0"/>
            </w:pPr>
          </w:p>
        </w:tc>
        <w:tc>
          <w:tcPr>
            <w:tcW w:w="1203" w:type="pct"/>
            <w:tcBorders>
              <w:tl2br w:val="nil"/>
              <w:tr2bl w:val="nil"/>
            </w:tcBorders>
            <w:shd w:val="clear" w:color="auto" w:fill="auto"/>
            <w:vAlign w:val="center"/>
          </w:tcPr>
          <w:p w14:paraId="13CB6E5A">
            <w:pPr>
              <w:pStyle w:val="1111"/>
              <w:bidi w:val="0"/>
            </w:pPr>
            <w:r>
              <w:t>稳定度</w:t>
            </w:r>
          </w:p>
        </w:tc>
        <w:tc>
          <w:tcPr>
            <w:tcW w:w="2961" w:type="pct"/>
            <w:tcBorders>
              <w:tl2br w:val="nil"/>
              <w:tr2bl w:val="nil"/>
            </w:tcBorders>
            <w:vAlign w:val="center"/>
          </w:tcPr>
          <w:p w14:paraId="21B92DB5">
            <w:pPr>
              <w:pStyle w:val="1111"/>
              <w:bidi w:val="0"/>
            </w:pPr>
            <w:r>
              <w:t>F</w:t>
            </w:r>
          </w:p>
        </w:tc>
      </w:tr>
      <w:tr w14:paraId="1251DB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835" w:type="pct"/>
            <w:vMerge w:val="restart"/>
            <w:tcBorders>
              <w:tl2br w:val="nil"/>
              <w:tr2bl w:val="nil"/>
            </w:tcBorders>
            <w:shd w:val="clear" w:color="auto" w:fill="auto"/>
            <w:vAlign w:val="center"/>
          </w:tcPr>
          <w:p w14:paraId="6566056B">
            <w:pPr>
              <w:pStyle w:val="1111"/>
              <w:bidi w:val="0"/>
            </w:pPr>
            <w:r>
              <w:t>其他参数</w:t>
            </w:r>
          </w:p>
        </w:tc>
        <w:tc>
          <w:tcPr>
            <w:tcW w:w="1203" w:type="pct"/>
            <w:tcBorders>
              <w:tl2br w:val="nil"/>
              <w:tr2bl w:val="nil"/>
            </w:tcBorders>
            <w:shd w:val="clear" w:color="auto" w:fill="auto"/>
            <w:vAlign w:val="center"/>
          </w:tcPr>
          <w:p w14:paraId="282F4175">
            <w:pPr>
              <w:pStyle w:val="1111"/>
              <w:bidi w:val="0"/>
            </w:pPr>
            <w:r>
              <w:t>地表粗糙度</w:t>
            </w:r>
            <w:r>
              <w:rPr>
                <w:rFonts w:hint="eastAsia"/>
                <w:lang w:val="en-US" w:eastAsia="zh-CN"/>
              </w:rPr>
              <w:t>c</w:t>
            </w:r>
            <w:r>
              <w:t>m</w:t>
            </w:r>
          </w:p>
        </w:tc>
        <w:tc>
          <w:tcPr>
            <w:tcW w:w="2961" w:type="pct"/>
            <w:tcBorders>
              <w:tl2br w:val="nil"/>
              <w:tr2bl w:val="nil"/>
            </w:tcBorders>
            <w:vAlign w:val="center"/>
          </w:tcPr>
          <w:p w14:paraId="6D99C9FB">
            <w:pPr>
              <w:pStyle w:val="1111"/>
              <w:bidi w:val="0"/>
              <w:rPr>
                <w:rFonts w:hint="eastAsia"/>
                <w:lang w:eastAsia="zh-CN"/>
              </w:rPr>
            </w:pPr>
            <w:r>
              <w:rPr>
                <w:rFonts w:hint="eastAsia"/>
                <w:lang w:val="en-US" w:eastAsia="zh-CN"/>
              </w:rPr>
              <w:t>3</w:t>
            </w:r>
          </w:p>
        </w:tc>
      </w:tr>
      <w:tr w14:paraId="7207C0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835" w:type="pct"/>
            <w:vMerge w:val="continue"/>
            <w:tcBorders>
              <w:tl2br w:val="nil"/>
              <w:tr2bl w:val="nil"/>
            </w:tcBorders>
            <w:shd w:val="clear" w:color="auto" w:fill="auto"/>
            <w:vAlign w:val="center"/>
          </w:tcPr>
          <w:p w14:paraId="4D3DC0AB">
            <w:pPr>
              <w:pStyle w:val="1111"/>
              <w:bidi w:val="0"/>
            </w:pPr>
          </w:p>
        </w:tc>
        <w:tc>
          <w:tcPr>
            <w:tcW w:w="1203" w:type="pct"/>
            <w:tcBorders>
              <w:tl2br w:val="nil"/>
              <w:tr2bl w:val="nil"/>
            </w:tcBorders>
            <w:shd w:val="clear" w:color="auto" w:fill="auto"/>
            <w:vAlign w:val="center"/>
          </w:tcPr>
          <w:p w14:paraId="0B6651D9">
            <w:pPr>
              <w:pStyle w:val="1111"/>
              <w:bidi w:val="0"/>
            </w:pPr>
            <w:r>
              <w:t>是否考虑地形</w:t>
            </w:r>
          </w:p>
        </w:tc>
        <w:tc>
          <w:tcPr>
            <w:tcW w:w="2961" w:type="pct"/>
            <w:tcBorders>
              <w:tl2br w:val="nil"/>
              <w:tr2bl w:val="nil"/>
            </w:tcBorders>
            <w:vAlign w:val="center"/>
          </w:tcPr>
          <w:p w14:paraId="2025B28D">
            <w:pPr>
              <w:pStyle w:val="1111"/>
              <w:bidi w:val="0"/>
            </w:pPr>
            <w:r>
              <w:t>是</w:t>
            </w:r>
          </w:p>
        </w:tc>
      </w:tr>
      <w:tr w14:paraId="3B8656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835" w:type="pct"/>
            <w:vMerge w:val="continue"/>
            <w:tcBorders>
              <w:tl2br w:val="nil"/>
              <w:tr2bl w:val="nil"/>
            </w:tcBorders>
            <w:shd w:val="clear" w:color="auto" w:fill="auto"/>
            <w:vAlign w:val="center"/>
          </w:tcPr>
          <w:p w14:paraId="1CFA5730">
            <w:pPr>
              <w:pStyle w:val="1111"/>
              <w:bidi w:val="0"/>
            </w:pPr>
          </w:p>
        </w:tc>
        <w:tc>
          <w:tcPr>
            <w:tcW w:w="1203" w:type="pct"/>
            <w:tcBorders>
              <w:tl2br w:val="nil"/>
              <w:tr2bl w:val="nil"/>
            </w:tcBorders>
            <w:shd w:val="clear" w:color="auto" w:fill="auto"/>
            <w:vAlign w:val="center"/>
          </w:tcPr>
          <w:p w14:paraId="32723D66">
            <w:pPr>
              <w:pStyle w:val="1111"/>
              <w:bidi w:val="0"/>
            </w:pPr>
            <w:r>
              <w:t>地形数据精度m</w:t>
            </w:r>
          </w:p>
        </w:tc>
        <w:tc>
          <w:tcPr>
            <w:tcW w:w="2961" w:type="pct"/>
            <w:tcBorders>
              <w:tl2br w:val="nil"/>
              <w:tr2bl w:val="nil"/>
            </w:tcBorders>
            <w:vAlign w:val="center"/>
          </w:tcPr>
          <w:p w14:paraId="4E7C3CCF">
            <w:pPr>
              <w:pStyle w:val="1111"/>
              <w:bidi w:val="0"/>
            </w:pPr>
            <w:r>
              <w:t>90</w:t>
            </w:r>
          </w:p>
        </w:tc>
      </w:tr>
    </w:tbl>
    <w:p w14:paraId="2B846BA5">
      <w:pPr>
        <w:pStyle w:val="512"/>
        <w:bidi w:val="0"/>
      </w:pPr>
      <w:r>
        <w:t>（4）评价标准</w:t>
      </w:r>
    </w:p>
    <w:p w14:paraId="234655DC">
      <w:pPr>
        <w:pStyle w:val="512"/>
        <w:bidi w:val="0"/>
      </w:pPr>
      <w:r>
        <w:t>根据《建设项目环境风险评价技术导则》（HJ169-2018）附录H，选择大气毒性终点浓度值作为预测评价标准，</w:t>
      </w:r>
      <w:r>
        <w:rPr>
          <w:rFonts w:hint="eastAsia"/>
          <w:lang w:eastAsia="zh-CN"/>
        </w:rPr>
        <w:t>详见下表</w:t>
      </w:r>
      <w:r>
        <w:t>。</w:t>
      </w:r>
    </w:p>
    <w:p w14:paraId="68D41543">
      <w:pPr>
        <w:pStyle w:val="1111"/>
        <w:bidi w:val="0"/>
        <w:rPr>
          <w:rFonts w:hint="eastAsia"/>
          <w:lang w:val="en-US" w:eastAsia="zh-CN"/>
        </w:rPr>
      </w:pPr>
      <w:r>
        <w:rPr>
          <w:rFonts w:hint="eastAsia"/>
          <w:lang w:eastAsia="zh-CN"/>
        </w:rPr>
        <w:t>表</w:t>
      </w:r>
      <w:r>
        <w:rPr>
          <w:rFonts w:hint="eastAsia"/>
          <w:lang w:val="en-US" w:eastAsia="zh-CN"/>
        </w:rPr>
        <w:t>7-2 预测评价标准表</w:t>
      </w:r>
    </w:p>
    <w:tbl>
      <w:tblPr>
        <w:tblStyle w:val="7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79"/>
        <w:gridCol w:w="1738"/>
        <w:gridCol w:w="3030"/>
        <w:gridCol w:w="3109"/>
      </w:tblGrid>
      <w:tr w14:paraId="4965D8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1" w:type="pct"/>
          </w:tcPr>
          <w:p w14:paraId="56125142">
            <w:pPr>
              <w:pStyle w:val="1111"/>
              <w:bidi w:val="0"/>
              <w:rPr>
                <w:rFonts w:hint="default"/>
                <w:lang w:val="en-US" w:eastAsia="zh-CN"/>
              </w:rPr>
            </w:pPr>
            <w:r>
              <w:rPr>
                <w:rFonts w:hint="eastAsia"/>
                <w:lang w:val="en-US" w:eastAsia="zh-CN"/>
              </w:rPr>
              <w:t>序号</w:t>
            </w:r>
          </w:p>
        </w:tc>
        <w:tc>
          <w:tcPr>
            <w:tcW w:w="959" w:type="pct"/>
          </w:tcPr>
          <w:p w14:paraId="11850F45">
            <w:pPr>
              <w:pStyle w:val="1111"/>
              <w:bidi w:val="0"/>
              <w:rPr>
                <w:rFonts w:hint="default"/>
                <w:lang w:val="en-US" w:eastAsia="zh-CN"/>
              </w:rPr>
            </w:pPr>
            <w:r>
              <w:rPr>
                <w:rFonts w:hint="eastAsia"/>
                <w:lang w:val="en-US" w:eastAsia="zh-CN"/>
              </w:rPr>
              <w:t>污染物</w:t>
            </w:r>
          </w:p>
        </w:tc>
        <w:tc>
          <w:tcPr>
            <w:tcW w:w="1672" w:type="pct"/>
          </w:tcPr>
          <w:p w14:paraId="7E8A4FEB">
            <w:pPr>
              <w:pStyle w:val="1111"/>
              <w:bidi w:val="0"/>
              <w:rPr>
                <w:rFonts w:hint="default"/>
                <w:lang w:val="en-US" w:eastAsia="zh-CN"/>
              </w:rPr>
            </w:pPr>
            <w:r>
              <w:rPr>
                <w:rFonts w:hint="eastAsia"/>
                <w:lang w:val="en-US" w:eastAsia="zh-CN"/>
              </w:rPr>
              <w:t>毒性重点浓度-1 （mg/m</w:t>
            </w:r>
            <w:r>
              <w:rPr>
                <w:rFonts w:hint="eastAsia"/>
                <w:vertAlign w:val="superscript"/>
                <w:lang w:val="en-US" w:eastAsia="zh-CN"/>
              </w:rPr>
              <w:t>3</w:t>
            </w:r>
            <w:r>
              <w:rPr>
                <w:rFonts w:hint="eastAsia"/>
                <w:lang w:val="en-US" w:eastAsia="zh-CN"/>
              </w:rPr>
              <w:t>）</w:t>
            </w:r>
          </w:p>
        </w:tc>
        <w:tc>
          <w:tcPr>
            <w:tcW w:w="1716" w:type="pct"/>
          </w:tcPr>
          <w:p w14:paraId="047B312B">
            <w:pPr>
              <w:pStyle w:val="1111"/>
              <w:bidi w:val="0"/>
              <w:rPr>
                <w:rFonts w:hint="default"/>
                <w:lang w:val="en-US" w:eastAsia="zh-CN"/>
              </w:rPr>
            </w:pPr>
            <w:r>
              <w:rPr>
                <w:rFonts w:hint="eastAsia"/>
                <w:lang w:val="en-US" w:eastAsia="zh-CN"/>
              </w:rPr>
              <w:t>毒性重点浓度-2 （mg/m</w:t>
            </w:r>
            <w:r>
              <w:rPr>
                <w:rFonts w:hint="eastAsia"/>
                <w:vertAlign w:val="superscript"/>
                <w:lang w:val="en-US" w:eastAsia="zh-CN"/>
              </w:rPr>
              <w:t>3</w:t>
            </w:r>
            <w:r>
              <w:rPr>
                <w:rFonts w:hint="eastAsia"/>
                <w:lang w:val="en-US" w:eastAsia="zh-CN"/>
              </w:rPr>
              <w:t>）</w:t>
            </w:r>
          </w:p>
        </w:tc>
      </w:tr>
      <w:tr w14:paraId="03EF7C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1" w:type="pct"/>
          </w:tcPr>
          <w:p w14:paraId="75801F2E">
            <w:pPr>
              <w:pStyle w:val="1111"/>
              <w:bidi w:val="0"/>
              <w:rPr>
                <w:rFonts w:hint="default"/>
                <w:lang w:val="en-US" w:eastAsia="zh-CN"/>
              </w:rPr>
            </w:pPr>
            <w:r>
              <w:rPr>
                <w:rFonts w:hint="eastAsia"/>
                <w:lang w:val="en-US" w:eastAsia="zh-CN"/>
              </w:rPr>
              <w:t>1</w:t>
            </w:r>
          </w:p>
        </w:tc>
        <w:tc>
          <w:tcPr>
            <w:tcW w:w="959" w:type="pct"/>
          </w:tcPr>
          <w:p w14:paraId="2ECE5605">
            <w:pPr>
              <w:pStyle w:val="1111"/>
              <w:bidi w:val="0"/>
              <w:rPr>
                <w:rFonts w:hint="default"/>
                <w:lang w:val="en-US" w:eastAsia="zh-CN"/>
              </w:rPr>
            </w:pPr>
            <w:r>
              <w:rPr>
                <w:rFonts w:hint="eastAsia"/>
                <w:lang w:val="en-US" w:eastAsia="zh-CN"/>
              </w:rPr>
              <w:t>一氧化碳</w:t>
            </w:r>
          </w:p>
        </w:tc>
        <w:tc>
          <w:tcPr>
            <w:tcW w:w="1672" w:type="pct"/>
          </w:tcPr>
          <w:p w14:paraId="390BB3C0">
            <w:pPr>
              <w:pStyle w:val="1111"/>
              <w:bidi w:val="0"/>
              <w:rPr>
                <w:rFonts w:hint="default"/>
                <w:lang w:val="en-US" w:eastAsia="zh-CN"/>
              </w:rPr>
            </w:pPr>
            <w:r>
              <w:rPr>
                <w:rFonts w:hint="eastAsia"/>
                <w:lang w:val="en-US" w:eastAsia="zh-CN"/>
              </w:rPr>
              <w:t>380</w:t>
            </w:r>
          </w:p>
        </w:tc>
        <w:tc>
          <w:tcPr>
            <w:tcW w:w="1716" w:type="pct"/>
          </w:tcPr>
          <w:p w14:paraId="382DED75">
            <w:pPr>
              <w:pStyle w:val="1111"/>
              <w:bidi w:val="0"/>
              <w:rPr>
                <w:rFonts w:hint="default"/>
                <w:lang w:val="en-US" w:eastAsia="zh-CN"/>
              </w:rPr>
            </w:pPr>
            <w:r>
              <w:rPr>
                <w:rFonts w:hint="eastAsia"/>
                <w:lang w:val="en-US" w:eastAsia="zh-CN"/>
              </w:rPr>
              <w:t>95</w:t>
            </w:r>
          </w:p>
        </w:tc>
      </w:tr>
    </w:tbl>
    <w:p w14:paraId="7B5BB2FC">
      <w:pPr>
        <w:pStyle w:val="512"/>
        <w:bidi w:val="0"/>
      </w:pPr>
      <w:r>
        <w:t>（5）风险事故影响预测结果及评价</w:t>
      </w:r>
    </w:p>
    <w:p w14:paraId="6B10540C">
      <w:pPr>
        <w:pStyle w:val="512"/>
        <w:bidi w:val="0"/>
        <w:rPr>
          <w:rFonts w:hint="eastAsia"/>
        </w:rPr>
      </w:pPr>
      <w:r>
        <w:rPr>
          <w:rFonts w:hint="eastAsia"/>
        </w:rPr>
        <w:t>事故状态下，下风向不同距离有毒有害物质最大浓度，以及预测浓度下不同毒性终点浓度的影响范围情况见表</w:t>
      </w:r>
      <w:r>
        <w:rPr>
          <w:rFonts w:hint="eastAsia"/>
          <w:lang w:val="en-US" w:eastAsia="zh-CN"/>
        </w:rPr>
        <w:t>7-3</w:t>
      </w:r>
      <w:r>
        <w:rPr>
          <w:rFonts w:hint="eastAsia"/>
        </w:rPr>
        <w:t>和图</w:t>
      </w:r>
      <w:r>
        <w:rPr>
          <w:rFonts w:hint="eastAsia"/>
          <w:lang w:val="en-US" w:eastAsia="zh-CN"/>
        </w:rPr>
        <w:t>7-1</w:t>
      </w:r>
      <w:r>
        <w:rPr>
          <w:rFonts w:hint="eastAsia"/>
        </w:rPr>
        <w:t>，关心点有毒有害物质浓度随时间变化情况见表</w:t>
      </w:r>
      <w:r>
        <w:rPr>
          <w:rFonts w:hint="eastAsia"/>
          <w:lang w:val="en-US" w:eastAsia="zh-CN"/>
        </w:rPr>
        <w:t>7-4</w:t>
      </w:r>
      <w:r>
        <w:rPr>
          <w:rFonts w:hint="eastAsia"/>
        </w:rPr>
        <w:t>。距离和最大浓度关系情况见图</w:t>
      </w:r>
      <w:r>
        <w:rPr>
          <w:rFonts w:hint="eastAsia"/>
          <w:lang w:val="en-US" w:eastAsia="zh-CN"/>
        </w:rPr>
        <w:t>7-2</w:t>
      </w:r>
      <w:r>
        <w:rPr>
          <w:rFonts w:hint="eastAsia"/>
        </w:rPr>
        <w:t>、</w:t>
      </w:r>
      <w:r>
        <w:rPr>
          <w:rFonts w:hint="eastAsia"/>
          <w:lang w:eastAsia="zh-CN"/>
        </w:rPr>
        <w:t>敏感</w:t>
      </w:r>
      <w:r>
        <w:rPr>
          <w:rFonts w:hint="eastAsia"/>
        </w:rPr>
        <w:t>点处浓度与时间关系见图</w:t>
      </w:r>
      <w:r>
        <w:rPr>
          <w:rFonts w:hint="eastAsia"/>
          <w:lang w:val="en-US" w:eastAsia="zh-CN"/>
        </w:rPr>
        <w:t>7-3</w:t>
      </w:r>
      <w:r>
        <w:rPr>
          <w:rFonts w:hint="eastAsia"/>
        </w:rPr>
        <w:t>。</w:t>
      </w:r>
    </w:p>
    <w:p w14:paraId="71764037">
      <w:pPr>
        <w:pStyle w:val="1111"/>
        <w:bidi w:val="0"/>
      </w:pPr>
      <w:r>
        <w:t>表</w:t>
      </w:r>
      <w:r>
        <w:rPr>
          <w:rFonts w:hint="eastAsia"/>
          <w:lang w:val="en-US" w:eastAsia="zh-CN"/>
        </w:rPr>
        <w:t>7-3</w:t>
      </w:r>
      <w:r>
        <w:t xml:space="preserve">  事故状态下下风向有毒有害物质影响情况表</w:t>
      </w:r>
    </w:p>
    <w:tbl>
      <w:tblPr>
        <w:tblStyle w:val="77"/>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30"/>
        <w:gridCol w:w="1230"/>
        <w:gridCol w:w="1968"/>
        <w:gridCol w:w="1696"/>
        <w:gridCol w:w="1698"/>
        <w:gridCol w:w="1233"/>
      </w:tblGrid>
      <w:tr w14:paraId="294CA0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79" w:type="pct"/>
            <w:noWrap w:val="0"/>
            <w:vAlign w:val="center"/>
          </w:tcPr>
          <w:p w14:paraId="60D4A160">
            <w:pPr>
              <w:pStyle w:val="1111"/>
              <w:bidi w:val="0"/>
              <w:rPr>
                <w:rFonts w:hint="eastAsia"/>
                <w:lang w:eastAsia="zh-CN"/>
              </w:rPr>
            </w:pPr>
            <w:r>
              <w:rPr>
                <w:rFonts w:hint="eastAsia"/>
                <w:lang w:eastAsia="zh-CN"/>
              </w:rPr>
              <w:t>污染因子</w:t>
            </w:r>
          </w:p>
        </w:tc>
        <w:tc>
          <w:tcPr>
            <w:tcW w:w="679" w:type="pct"/>
            <w:noWrap w:val="0"/>
            <w:vAlign w:val="center"/>
          </w:tcPr>
          <w:p w14:paraId="4A153805">
            <w:pPr>
              <w:pStyle w:val="1111"/>
              <w:bidi w:val="0"/>
              <w:rPr>
                <w:rFonts w:hint="eastAsia"/>
                <w:lang w:eastAsia="zh-CN"/>
              </w:rPr>
            </w:pPr>
            <w:r>
              <w:rPr>
                <w:rFonts w:hint="eastAsia"/>
                <w:lang w:eastAsia="zh-CN"/>
              </w:rPr>
              <w:t>序号</w:t>
            </w:r>
          </w:p>
        </w:tc>
        <w:tc>
          <w:tcPr>
            <w:tcW w:w="1086" w:type="pct"/>
            <w:noWrap/>
            <w:vAlign w:val="center"/>
          </w:tcPr>
          <w:p w14:paraId="209D8282">
            <w:pPr>
              <w:pStyle w:val="1111"/>
              <w:bidi w:val="0"/>
              <w:rPr>
                <w:lang w:val="en-US" w:eastAsia="zh-CN"/>
              </w:rPr>
            </w:pPr>
            <w:r>
              <w:t>一般计算点（m）</w:t>
            </w:r>
          </w:p>
        </w:tc>
        <w:tc>
          <w:tcPr>
            <w:tcW w:w="936" w:type="pct"/>
            <w:noWrap w:val="0"/>
            <w:vAlign w:val="center"/>
          </w:tcPr>
          <w:p w14:paraId="04E2E9B1">
            <w:pPr>
              <w:pStyle w:val="1111"/>
              <w:bidi w:val="0"/>
              <w:rPr>
                <w:rFonts w:hint="eastAsia" w:eastAsia="宋体"/>
                <w:lang w:val="en-US" w:eastAsia="zh-CN"/>
              </w:rPr>
            </w:pPr>
            <w:r>
              <w:t>出现时间（min</w:t>
            </w:r>
            <w:r>
              <w:rPr>
                <w:rFonts w:hint="eastAsia"/>
                <w:lang w:eastAsia="zh-CN"/>
              </w:rPr>
              <w:t>）</w:t>
            </w:r>
          </w:p>
        </w:tc>
        <w:tc>
          <w:tcPr>
            <w:tcW w:w="937" w:type="pct"/>
            <w:noWrap w:val="0"/>
            <w:vAlign w:val="center"/>
          </w:tcPr>
          <w:p w14:paraId="76FA014B">
            <w:pPr>
              <w:pStyle w:val="1111"/>
              <w:bidi w:val="0"/>
              <w:rPr>
                <w:rFonts w:hint="eastAsia" w:eastAsia="宋体"/>
                <w:lang w:val="en-US" w:eastAsia="zh-CN"/>
              </w:rPr>
            </w:pPr>
            <w:r>
              <w:t>最大浓度</w:t>
            </w:r>
            <w:r>
              <w:rPr>
                <w:rFonts w:hint="eastAsia"/>
                <w:lang w:eastAsia="zh-CN"/>
              </w:rPr>
              <w:t>（</w:t>
            </w:r>
            <w:r>
              <w:t>mg/m</w:t>
            </w:r>
            <w:r>
              <w:rPr>
                <w:vertAlign w:val="superscript"/>
              </w:rPr>
              <w:t>3</w:t>
            </w:r>
            <w:r>
              <w:rPr>
                <w:rFonts w:hint="eastAsia"/>
                <w:lang w:eastAsia="zh-CN"/>
              </w:rPr>
              <w:t>）</w:t>
            </w:r>
          </w:p>
        </w:tc>
        <w:tc>
          <w:tcPr>
            <w:tcW w:w="680" w:type="pct"/>
            <w:noWrap w:val="0"/>
            <w:vAlign w:val="center"/>
          </w:tcPr>
          <w:p w14:paraId="0008E4E5">
            <w:pPr>
              <w:pStyle w:val="1111"/>
              <w:bidi w:val="0"/>
              <w:rPr>
                <w:lang w:val="en-US" w:eastAsia="zh-CN"/>
              </w:rPr>
            </w:pPr>
            <w:r>
              <w:t>终点浓度范围</w:t>
            </w:r>
          </w:p>
        </w:tc>
      </w:tr>
      <w:tr w14:paraId="3593C8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79" w:type="pct"/>
            <w:vMerge w:val="restart"/>
            <w:noWrap w:val="0"/>
            <w:vAlign w:val="center"/>
          </w:tcPr>
          <w:p w14:paraId="069EF833">
            <w:pPr>
              <w:pStyle w:val="1111"/>
              <w:bidi w:val="0"/>
            </w:pPr>
            <w:r>
              <w:t>CO</w:t>
            </w:r>
          </w:p>
        </w:tc>
        <w:tc>
          <w:tcPr>
            <w:tcW w:w="679" w:type="pct"/>
            <w:noWrap w:val="0"/>
            <w:vAlign w:val="center"/>
          </w:tcPr>
          <w:p w14:paraId="54D626A3">
            <w:pPr>
              <w:pStyle w:val="1111"/>
              <w:bidi w:val="0"/>
            </w:pPr>
            <w:r>
              <w:t>1</w:t>
            </w:r>
          </w:p>
        </w:tc>
        <w:tc>
          <w:tcPr>
            <w:tcW w:w="1086" w:type="pct"/>
            <w:noWrap/>
            <w:vAlign w:val="center"/>
          </w:tcPr>
          <w:p w14:paraId="6CA2E2B3">
            <w:pPr>
              <w:pStyle w:val="1111"/>
              <w:bidi w:val="0"/>
            </w:pPr>
            <w:r>
              <w:t>10</w:t>
            </w:r>
          </w:p>
        </w:tc>
        <w:tc>
          <w:tcPr>
            <w:tcW w:w="936" w:type="pct"/>
            <w:noWrap w:val="0"/>
            <w:vAlign w:val="center"/>
          </w:tcPr>
          <w:p w14:paraId="574A81AE">
            <w:pPr>
              <w:pStyle w:val="1111"/>
              <w:bidi w:val="0"/>
            </w:pPr>
            <w:r>
              <w:rPr>
                <w:rFonts w:hint="default"/>
                <w:lang w:val="en-US" w:eastAsia="zh-CN"/>
              </w:rPr>
              <w:t>0.111</w:t>
            </w:r>
          </w:p>
        </w:tc>
        <w:tc>
          <w:tcPr>
            <w:tcW w:w="937" w:type="pct"/>
            <w:noWrap w:val="0"/>
            <w:vAlign w:val="center"/>
          </w:tcPr>
          <w:p w14:paraId="78ED9CEA">
            <w:pPr>
              <w:pStyle w:val="1111"/>
              <w:bidi w:val="0"/>
            </w:pPr>
            <w:r>
              <w:rPr>
                <w:rFonts w:hint="default"/>
                <w:lang w:val="en-US" w:eastAsia="zh-CN"/>
              </w:rPr>
              <w:t>0.000</w:t>
            </w:r>
          </w:p>
        </w:tc>
        <w:tc>
          <w:tcPr>
            <w:tcW w:w="680" w:type="pct"/>
            <w:vMerge w:val="restart"/>
            <w:noWrap w:val="0"/>
            <w:vAlign w:val="center"/>
          </w:tcPr>
          <w:p w14:paraId="5D4FFB3D">
            <w:pPr>
              <w:pStyle w:val="1111"/>
              <w:bidi w:val="0"/>
            </w:pPr>
            <w:r>
              <w:t>事故状态下下风向CO大气毒性终点浓度1</w:t>
            </w:r>
            <w:r>
              <w:rPr>
                <w:rFonts w:hint="eastAsia"/>
              </w:rPr>
              <w:t>影响范围为</w:t>
            </w:r>
            <w:r>
              <w:rPr>
                <w:rFonts w:hint="eastAsia"/>
                <w:lang w:val="en-US" w:eastAsia="zh-CN"/>
              </w:rPr>
              <w:t>200</w:t>
            </w:r>
            <w:r>
              <w:t>m。CO大气毒性终点浓度2影响范围为</w:t>
            </w:r>
            <w:r>
              <w:rPr>
                <w:rFonts w:hint="eastAsia"/>
                <w:lang w:val="en-US" w:eastAsia="zh-CN"/>
              </w:rPr>
              <w:t>590</w:t>
            </w:r>
            <w:r>
              <w:t>m。</w:t>
            </w:r>
          </w:p>
        </w:tc>
      </w:tr>
      <w:tr w14:paraId="325231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79" w:type="pct"/>
            <w:vMerge w:val="continue"/>
            <w:noWrap w:val="0"/>
            <w:vAlign w:val="center"/>
          </w:tcPr>
          <w:p w14:paraId="7663F246">
            <w:pPr>
              <w:pStyle w:val="1111"/>
              <w:bidi w:val="0"/>
            </w:pPr>
          </w:p>
        </w:tc>
        <w:tc>
          <w:tcPr>
            <w:tcW w:w="679" w:type="pct"/>
            <w:noWrap w:val="0"/>
            <w:vAlign w:val="center"/>
          </w:tcPr>
          <w:p w14:paraId="150C2081">
            <w:pPr>
              <w:pStyle w:val="1111"/>
              <w:bidi w:val="0"/>
            </w:pPr>
            <w:r>
              <w:t>2</w:t>
            </w:r>
          </w:p>
        </w:tc>
        <w:tc>
          <w:tcPr>
            <w:tcW w:w="1086" w:type="pct"/>
            <w:noWrap/>
            <w:vAlign w:val="center"/>
          </w:tcPr>
          <w:p w14:paraId="72AC094E">
            <w:pPr>
              <w:pStyle w:val="1111"/>
              <w:bidi w:val="0"/>
            </w:pPr>
            <w:r>
              <w:t>70</w:t>
            </w:r>
          </w:p>
        </w:tc>
        <w:tc>
          <w:tcPr>
            <w:tcW w:w="936" w:type="pct"/>
            <w:noWrap w:val="0"/>
            <w:vAlign w:val="center"/>
          </w:tcPr>
          <w:p w14:paraId="4EC7BD4C">
            <w:pPr>
              <w:pStyle w:val="1111"/>
              <w:bidi w:val="0"/>
            </w:pPr>
            <w:r>
              <w:rPr>
                <w:rFonts w:hint="default"/>
                <w:lang w:val="en-US" w:eastAsia="zh-CN"/>
              </w:rPr>
              <w:t>0.778</w:t>
            </w:r>
          </w:p>
        </w:tc>
        <w:tc>
          <w:tcPr>
            <w:tcW w:w="937" w:type="pct"/>
            <w:noWrap w:val="0"/>
            <w:vAlign w:val="center"/>
          </w:tcPr>
          <w:p w14:paraId="3335ECD9">
            <w:pPr>
              <w:pStyle w:val="1111"/>
              <w:bidi w:val="0"/>
              <w:rPr>
                <w:rFonts w:hint="default"/>
                <w:lang w:val="en-US"/>
              </w:rPr>
            </w:pPr>
            <w:r>
              <w:rPr>
                <w:rFonts w:hint="eastAsia"/>
                <w:lang w:val="en-US" w:eastAsia="zh-CN"/>
              </w:rPr>
              <w:t>658.330</w:t>
            </w:r>
          </w:p>
        </w:tc>
        <w:tc>
          <w:tcPr>
            <w:tcW w:w="680" w:type="pct"/>
            <w:vMerge w:val="continue"/>
            <w:noWrap w:val="0"/>
            <w:vAlign w:val="center"/>
          </w:tcPr>
          <w:p w14:paraId="49EDF27E">
            <w:pPr>
              <w:pStyle w:val="1111"/>
              <w:bidi w:val="0"/>
            </w:pPr>
          </w:p>
        </w:tc>
      </w:tr>
      <w:tr w14:paraId="7F9CDF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79" w:type="pct"/>
            <w:vMerge w:val="continue"/>
            <w:noWrap w:val="0"/>
            <w:vAlign w:val="center"/>
          </w:tcPr>
          <w:p w14:paraId="789E1D9B">
            <w:pPr>
              <w:pStyle w:val="1111"/>
              <w:bidi w:val="0"/>
            </w:pPr>
          </w:p>
        </w:tc>
        <w:tc>
          <w:tcPr>
            <w:tcW w:w="679" w:type="pct"/>
            <w:noWrap w:val="0"/>
            <w:vAlign w:val="center"/>
          </w:tcPr>
          <w:p w14:paraId="626288BD">
            <w:pPr>
              <w:pStyle w:val="1111"/>
              <w:bidi w:val="0"/>
            </w:pPr>
            <w:r>
              <w:t>3</w:t>
            </w:r>
          </w:p>
        </w:tc>
        <w:tc>
          <w:tcPr>
            <w:tcW w:w="1086" w:type="pct"/>
            <w:noWrap/>
            <w:vAlign w:val="center"/>
          </w:tcPr>
          <w:p w14:paraId="277FEF05">
            <w:pPr>
              <w:pStyle w:val="1111"/>
              <w:bidi w:val="0"/>
            </w:pPr>
            <w:r>
              <w:t>140</w:t>
            </w:r>
          </w:p>
        </w:tc>
        <w:tc>
          <w:tcPr>
            <w:tcW w:w="936" w:type="pct"/>
            <w:noWrap w:val="0"/>
            <w:vAlign w:val="center"/>
          </w:tcPr>
          <w:p w14:paraId="4FCFE2F6">
            <w:pPr>
              <w:pStyle w:val="1111"/>
              <w:bidi w:val="0"/>
            </w:pPr>
            <w:r>
              <w:rPr>
                <w:rFonts w:hint="default"/>
                <w:lang w:val="en-US" w:eastAsia="zh-CN"/>
              </w:rPr>
              <w:t>1.556</w:t>
            </w:r>
          </w:p>
        </w:tc>
        <w:tc>
          <w:tcPr>
            <w:tcW w:w="937" w:type="pct"/>
            <w:noWrap w:val="0"/>
            <w:vAlign w:val="center"/>
          </w:tcPr>
          <w:p w14:paraId="12092D69">
            <w:pPr>
              <w:pStyle w:val="1111"/>
              <w:bidi w:val="0"/>
              <w:rPr>
                <w:rFonts w:hint="default"/>
                <w:lang w:val="en-US"/>
              </w:rPr>
            </w:pPr>
            <w:r>
              <w:rPr>
                <w:rFonts w:hint="eastAsia"/>
                <w:lang w:val="en-US" w:eastAsia="zh-CN"/>
              </w:rPr>
              <w:t>498.000</w:t>
            </w:r>
          </w:p>
        </w:tc>
        <w:tc>
          <w:tcPr>
            <w:tcW w:w="680" w:type="pct"/>
            <w:vMerge w:val="continue"/>
            <w:noWrap w:val="0"/>
            <w:vAlign w:val="center"/>
          </w:tcPr>
          <w:p w14:paraId="14296451">
            <w:pPr>
              <w:pStyle w:val="1111"/>
              <w:bidi w:val="0"/>
            </w:pPr>
          </w:p>
        </w:tc>
      </w:tr>
      <w:tr w14:paraId="225A2C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79" w:type="pct"/>
            <w:vMerge w:val="continue"/>
            <w:noWrap w:val="0"/>
            <w:vAlign w:val="center"/>
          </w:tcPr>
          <w:p w14:paraId="07B66D64">
            <w:pPr>
              <w:pStyle w:val="1111"/>
              <w:bidi w:val="0"/>
            </w:pPr>
          </w:p>
        </w:tc>
        <w:tc>
          <w:tcPr>
            <w:tcW w:w="679" w:type="pct"/>
            <w:noWrap w:val="0"/>
            <w:vAlign w:val="center"/>
          </w:tcPr>
          <w:p w14:paraId="65A0D6E6">
            <w:pPr>
              <w:pStyle w:val="1111"/>
              <w:bidi w:val="0"/>
            </w:pPr>
            <w:r>
              <w:t>4</w:t>
            </w:r>
          </w:p>
        </w:tc>
        <w:tc>
          <w:tcPr>
            <w:tcW w:w="1086" w:type="pct"/>
            <w:noWrap/>
            <w:vAlign w:val="center"/>
          </w:tcPr>
          <w:p w14:paraId="22DD4F05">
            <w:pPr>
              <w:pStyle w:val="1111"/>
              <w:bidi w:val="0"/>
            </w:pPr>
            <w:r>
              <w:t>210</w:t>
            </w:r>
          </w:p>
        </w:tc>
        <w:tc>
          <w:tcPr>
            <w:tcW w:w="936" w:type="pct"/>
            <w:noWrap w:val="0"/>
            <w:vAlign w:val="center"/>
          </w:tcPr>
          <w:p w14:paraId="092E3074">
            <w:pPr>
              <w:pStyle w:val="1111"/>
              <w:bidi w:val="0"/>
            </w:pPr>
            <w:r>
              <w:rPr>
                <w:rFonts w:hint="default"/>
                <w:lang w:val="en-US" w:eastAsia="zh-CN"/>
              </w:rPr>
              <w:t>2.333</w:t>
            </w:r>
          </w:p>
        </w:tc>
        <w:tc>
          <w:tcPr>
            <w:tcW w:w="937" w:type="pct"/>
            <w:noWrap w:val="0"/>
            <w:vAlign w:val="center"/>
          </w:tcPr>
          <w:p w14:paraId="0012DE41">
            <w:pPr>
              <w:pStyle w:val="1111"/>
              <w:bidi w:val="0"/>
              <w:rPr>
                <w:rFonts w:hint="default"/>
                <w:lang w:val="en-US"/>
              </w:rPr>
            </w:pPr>
            <w:r>
              <w:rPr>
                <w:rFonts w:hint="eastAsia"/>
                <w:lang w:val="en-US" w:eastAsia="zh-CN"/>
              </w:rPr>
              <w:t>355.090</w:t>
            </w:r>
          </w:p>
        </w:tc>
        <w:tc>
          <w:tcPr>
            <w:tcW w:w="680" w:type="pct"/>
            <w:vMerge w:val="continue"/>
            <w:noWrap w:val="0"/>
            <w:vAlign w:val="center"/>
          </w:tcPr>
          <w:p w14:paraId="66F5296B">
            <w:pPr>
              <w:pStyle w:val="1111"/>
              <w:bidi w:val="0"/>
            </w:pPr>
          </w:p>
        </w:tc>
      </w:tr>
      <w:tr w14:paraId="42E251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79" w:type="pct"/>
            <w:vMerge w:val="continue"/>
            <w:noWrap w:val="0"/>
            <w:vAlign w:val="center"/>
          </w:tcPr>
          <w:p w14:paraId="42A25591">
            <w:pPr>
              <w:pStyle w:val="1111"/>
              <w:bidi w:val="0"/>
            </w:pPr>
          </w:p>
        </w:tc>
        <w:tc>
          <w:tcPr>
            <w:tcW w:w="679" w:type="pct"/>
            <w:noWrap w:val="0"/>
            <w:vAlign w:val="center"/>
          </w:tcPr>
          <w:p w14:paraId="2B42F610">
            <w:pPr>
              <w:pStyle w:val="1111"/>
              <w:bidi w:val="0"/>
            </w:pPr>
            <w:r>
              <w:t>5</w:t>
            </w:r>
          </w:p>
        </w:tc>
        <w:tc>
          <w:tcPr>
            <w:tcW w:w="1086" w:type="pct"/>
            <w:noWrap/>
            <w:vAlign w:val="center"/>
          </w:tcPr>
          <w:p w14:paraId="673E78FD">
            <w:pPr>
              <w:pStyle w:val="1111"/>
              <w:bidi w:val="0"/>
            </w:pPr>
            <w:r>
              <w:t>310</w:t>
            </w:r>
          </w:p>
        </w:tc>
        <w:tc>
          <w:tcPr>
            <w:tcW w:w="936" w:type="pct"/>
            <w:noWrap w:val="0"/>
            <w:vAlign w:val="center"/>
          </w:tcPr>
          <w:p w14:paraId="55F0D488">
            <w:pPr>
              <w:pStyle w:val="1111"/>
              <w:bidi w:val="0"/>
            </w:pPr>
            <w:r>
              <w:rPr>
                <w:rFonts w:hint="default"/>
                <w:lang w:val="en-US" w:eastAsia="zh-CN"/>
              </w:rPr>
              <w:t>3.444</w:t>
            </w:r>
          </w:p>
        </w:tc>
        <w:tc>
          <w:tcPr>
            <w:tcW w:w="937" w:type="pct"/>
            <w:noWrap w:val="0"/>
            <w:vAlign w:val="center"/>
          </w:tcPr>
          <w:p w14:paraId="4080ABCB">
            <w:pPr>
              <w:pStyle w:val="1111"/>
              <w:bidi w:val="0"/>
              <w:rPr>
                <w:rFonts w:hint="default"/>
                <w:lang w:val="en-US"/>
              </w:rPr>
            </w:pPr>
            <w:r>
              <w:rPr>
                <w:rFonts w:hint="eastAsia"/>
                <w:lang w:val="en-US" w:eastAsia="zh-CN"/>
              </w:rPr>
              <w:t>229.900</w:t>
            </w:r>
          </w:p>
        </w:tc>
        <w:tc>
          <w:tcPr>
            <w:tcW w:w="680" w:type="pct"/>
            <w:vMerge w:val="continue"/>
            <w:noWrap w:val="0"/>
            <w:vAlign w:val="center"/>
          </w:tcPr>
          <w:p w14:paraId="0E76A7B5">
            <w:pPr>
              <w:pStyle w:val="1111"/>
              <w:bidi w:val="0"/>
            </w:pPr>
          </w:p>
        </w:tc>
      </w:tr>
      <w:tr w14:paraId="02DAFC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79" w:type="pct"/>
            <w:vMerge w:val="continue"/>
            <w:noWrap w:val="0"/>
            <w:vAlign w:val="center"/>
          </w:tcPr>
          <w:p w14:paraId="11928D9A">
            <w:pPr>
              <w:pStyle w:val="1111"/>
              <w:bidi w:val="0"/>
            </w:pPr>
          </w:p>
        </w:tc>
        <w:tc>
          <w:tcPr>
            <w:tcW w:w="679" w:type="pct"/>
            <w:noWrap w:val="0"/>
            <w:vAlign w:val="center"/>
          </w:tcPr>
          <w:p w14:paraId="1C115721">
            <w:pPr>
              <w:pStyle w:val="1111"/>
              <w:bidi w:val="0"/>
            </w:pPr>
            <w:r>
              <w:t>6</w:t>
            </w:r>
          </w:p>
        </w:tc>
        <w:tc>
          <w:tcPr>
            <w:tcW w:w="1086" w:type="pct"/>
            <w:noWrap/>
            <w:vAlign w:val="center"/>
          </w:tcPr>
          <w:p w14:paraId="46F30DDC">
            <w:pPr>
              <w:pStyle w:val="1111"/>
              <w:bidi w:val="0"/>
            </w:pPr>
            <w:r>
              <w:t>410</w:t>
            </w:r>
          </w:p>
        </w:tc>
        <w:tc>
          <w:tcPr>
            <w:tcW w:w="936" w:type="pct"/>
            <w:noWrap w:val="0"/>
            <w:vAlign w:val="center"/>
          </w:tcPr>
          <w:p w14:paraId="60C337C9">
            <w:pPr>
              <w:pStyle w:val="1111"/>
              <w:bidi w:val="0"/>
            </w:pPr>
            <w:r>
              <w:rPr>
                <w:rFonts w:hint="default"/>
                <w:lang w:val="en-US" w:eastAsia="zh-CN"/>
              </w:rPr>
              <w:t>4.556</w:t>
            </w:r>
          </w:p>
        </w:tc>
        <w:tc>
          <w:tcPr>
            <w:tcW w:w="937" w:type="pct"/>
            <w:noWrap w:val="0"/>
            <w:vAlign w:val="center"/>
          </w:tcPr>
          <w:p w14:paraId="487C1366">
            <w:pPr>
              <w:pStyle w:val="1111"/>
              <w:bidi w:val="0"/>
              <w:rPr>
                <w:rFonts w:hint="default"/>
                <w:lang w:val="en-US"/>
              </w:rPr>
            </w:pPr>
            <w:r>
              <w:rPr>
                <w:rFonts w:hint="eastAsia"/>
                <w:lang w:val="en-US" w:eastAsia="zh-CN"/>
              </w:rPr>
              <w:t>159.350</w:t>
            </w:r>
          </w:p>
        </w:tc>
        <w:tc>
          <w:tcPr>
            <w:tcW w:w="680" w:type="pct"/>
            <w:vMerge w:val="continue"/>
            <w:noWrap w:val="0"/>
            <w:vAlign w:val="center"/>
          </w:tcPr>
          <w:p w14:paraId="24764409">
            <w:pPr>
              <w:pStyle w:val="1111"/>
              <w:bidi w:val="0"/>
            </w:pPr>
          </w:p>
        </w:tc>
      </w:tr>
      <w:tr w14:paraId="5528AF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79" w:type="pct"/>
            <w:vMerge w:val="continue"/>
            <w:noWrap w:val="0"/>
            <w:vAlign w:val="center"/>
          </w:tcPr>
          <w:p w14:paraId="2CD4E1C3">
            <w:pPr>
              <w:pStyle w:val="1111"/>
              <w:bidi w:val="0"/>
            </w:pPr>
          </w:p>
        </w:tc>
        <w:tc>
          <w:tcPr>
            <w:tcW w:w="679" w:type="pct"/>
            <w:noWrap w:val="0"/>
            <w:vAlign w:val="center"/>
          </w:tcPr>
          <w:p w14:paraId="04551E95">
            <w:pPr>
              <w:pStyle w:val="1111"/>
              <w:bidi w:val="0"/>
            </w:pPr>
            <w:r>
              <w:t>7</w:t>
            </w:r>
          </w:p>
        </w:tc>
        <w:tc>
          <w:tcPr>
            <w:tcW w:w="1086" w:type="pct"/>
            <w:noWrap/>
            <w:vAlign w:val="center"/>
          </w:tcPr>
          <w:p w14:paraId="77D6E6DB">
            <w:pPr>
              <w:pStyle w:val="1111"/>
              <w:bidi w:val="0"/>
            </w:pPr>
            <w:r>
              <w:t>510</w:t>
            </w:r>
          </w:p>
        </w:tc>
        <w:tc>
          <w:tcPr>
            <w:tcW w:w="936" w:type="pct"/>
            <w:noWrap w:val="0"/>
            <w:vAlign w:val="center"/>
          </w:tcPr>
          <w:p w14:paraId="7FC143B0">
            <w:pPr>
              <w:pStyle w:val="1111"/>
              <w:bidi w:val="0"/>
            </w:pPr>
            <w:r>
              <w:rPr>
                <w:rFonts w:hint="default"/>
                <w:lang w:val="en-US" w:eastAsia="zh-CN"/>
              </w:rPr>
              <w:t>5.667</w:t>
            </w:r>
          </w:p>
        </w:tc>
        <w:tc>
          <w:tcPr>
            <w:tcW w:w="937" w:type="pct"/>
            <w:noWrap w:val="0"/>
            <w:vAlign w:val="center"/>
          </w:tcPr>
          <w:p w14:paraId="25142A05">
            <w:pPr>
              <w:pStyle w:val="1111"/>
              <w:bidi w:val="0"/>
              <w:rPr>
                <w:rFonts w:hint="default"/>
                <w:lang w:val="en-US"/>
              </w:rPr>
            </w:pPr>
            <w:r>
              <w:rPr>
                <w:rFonts w:hint="eastAsia"/>
                <w:lang w:val="en-US" w:eastAsia="zh-CN"/>
              </w:rPr>
              <w:t>116.930</w:t>
            </w:r>
          </w:p>
        </w:tc>
        <w:tc>
          <w:tcPr>
            <w:tcW w:w="680" w:type="pct"/>
            <w:vMerge w:val="continue"/>
            <w:noWrap w:val="0"/>
            <w:vAlign w:val="center"/>
          </w:tcPr>
          <w:p w14:paraId="16276C54">
            <w:pPr>
              <w:pStyle w:val="1111"/>
              <w:bidi w:val="0"/>
            </w:pPr>
          </w:p>
        </w:tc>
      </w:tr>
      <w:tr w14:paraId="788CBF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79" w:type="pct"/>
            <w:vMerge w:val="continue"/>
            <w:noWrap w:val="0"/>
            <w:vAlign w:val="center"/>
          </w:tcPr>
          <w:p w14:paraId="0D85647B">
            <w:pPr>
              <w:pStyle w:val="1111"/>
              <w:bidi w:val="0"/>
            </w:pPr>
          </w:p>
        </w:tc>
        <w:tc>
          <w:tcPr>
            <w:tcW w:w="679" w:type="pct"/>
            <w:noWrap w:val="0"/>
            <w:vAlign w:val="center"/>
          </w:tcPr>
          <w:p w14:paraId="0022405A">
            <w:pPr>
              <w:pStyle w:val="1111"/>
              <w:bidi w:val="0"/>
            </w:pPr>
            <w:r>
              <w:t>8</w:t>
            </w:r>
          </w:p>
        </w:tc>
        <w:tc>
          <w:tcPr>
            <w:tcW w:w="1086" w:type="pct"/>
            <w:noWrap/>
            <w:vAlign w:val="center"/>
          </w:tcPr>
          <w:p w14:paraId="54541E6B">
            <w:pPr>
              <w:pStyle w:val="1111"/>
              <w:bidi w:val="0"/>
            </w:pPr>
            <w:r>
              <w:t>610</w:t>
            </w:r>
          </w:p>
        </w:tc>
        <w:tc>
          <w:tcPr>
            <w:tcW w:w="936" w:type="pct"/>
            <w:noWrap w:val="0"/>
            <w:vAlign w:val="center"/>
          </w:tcPr>
          <w:p w14:paraId="15AF3D87">
            <w:pPr>
              <w:pStyle w:val="1111"/>
              <w:bidi w:val="0"/>
            </w:pPr>
            <w:r>
              <w:rPr>
                <w:rFonts w:hint="default"/>
                <w:lang w:val="en-US" w:eastAsia="zh-CN"/>
              </w:rPr>
              <w:t>6.778</w:t>
            </w:r>
          </w:p>
        </w:tc>
        <w:tc>
          <w:tcPr>
            <w:tcW w:w="937" w:type="pct"/>
            <w:noWrap w:val="0"/>
            <w:vAlign w:val="center"/>
          </w:tcPr>
          <w:p w14:paraId="665364A1">
            <w:pPr>
              <w:pStyle w:val="1111"/>
              <w:bidi w:val="0"/>
              <w:rPr>
                <w:rFonts w:hint="default"/>
                <w:lang w:val="en-US"/>
              </w:rPr>
            </w:pPr>
            <w:r>
              <w:rPr>
                <w:rFonts w:hint="eastAsia"/>
                <w:lang w:val="en-US" w:eastAsia="zh-CN"/>
              </w:rPr>
              <w:t>89.659</w:t>
            </w:r>
          </w:p>
        </w:tc>
        <w:tc>
          <w:tcPr>
            <w:tcW w:w="680" w:type="pct"/>
            <w:vMerge w:val="continue"/>
            <w:noWrap w:val="0"/>
            <w:vAlign w:val="center"/>
          </w:tcPr>
          <w:p w14:paraId="27667249">
            <w:pPr>
              <w:pStyle w:val="1111"/>
              <w:bidi w:val="0"/>
            </w:pPr>
          </w:p>
        </w:tc>
      </w:tr>
      <w:tr w14:paraId="21F289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79" w:type="pct"/>
            <w:vMerge w:val="continue"/>
            <w:noWrap w:val="0"/>
            <w:vAlign w:val="center"/>
          </w:tcPr>
          <w:p w14:paraId="51CE8D06">
            <w:pPr>
              <w:pStyle w:val="1111"/>
              <w:bidi w:val="0"/>
            </w:pPr>
          </w:p>
        </w:tc>
        <w:tc>
          <w:tcPr>
            <w:tcW w:w="679" w:type="pct"/>
            <w:noWrap w:val="0"/>
            <w:vAlign w:val="center"/>
          </w:tcPr>
          <w:p w14:paraId="3F51C290">
            <w:pPr>
              <w:pStyle w:val="1111"/>
              <w:bidi w:val="0"/>
            </w:pPr>
            <w:r>
              <w:t>9</w:t>
            </w:r>
          </w:p>
        </w:tc>
        <w:tc>
          <w:tcPr>
            <w:tcW w:w="1086" w:type="pct"/>
            <w:noWrap/>
            <w:vAlign w:val="center"/>
          </w:tcPr>
          <w:p w14:paraId="51634DFD">
            <w:pPr>
              <w:pStyle w:val="1111"/>
              <w:bidi w:val="0"/>
            </w:pPr>
            <w:r>
              <w:t>710</w:t>
            </w:r>
          </w:p>
        </w:tc>
        <w:tc>
          <w:tcPr>
            <w:tcW w:w="936" w:type="pct"/>
            <w:noWrap w:val="0"/>
            <w:vAlign w:val="center"/>
          </w:tcPr>
          <w:p w14:paraId="00BBF50B">
            <w:pPr>
              <w:pStyle w:val="1111"/>
              <w:bidi w:val="0"/>
            </w:pPr>
            <w:r>
              <w:rPr>
                <w:rFonts w:hint="default"/>
                <w:lang w:val="en-US" w:eastAsia="zh-CN"/>
              </w:rPr>
              <w:t>7.889</w:t>
            </w:r>
          </w:p>
        </w:tc>
        <w:tc>
          <w:tcPr>
            <w:tcW w:w="937" w:type="pct"/>
            <w:noWrap w:val="0"/>
            <w:vAlign w:val="center"/>
          </w:tcPr>
          <w:p w14:paraId="0E89A447">
            <w:pPr>
              <w:pStyle w:val="1111"/>
              <w:bidi w:val="0"/>
              <w:rPr>
                <w:rFonts w:hint="default"/>
                <w:lang w:val="en-US"/>
              </w:rPr>
            </w:pPr>
            <w:r>
              <w:rPr>
                <w:rFonts w:hint="eastAsia"/>
                <w:lang w:val="en-US" w:eastAsia="zh-CN"/>
              </w:rPr>
              <w:t>71.126</w:t>
            </w:r>
          </w:p>
        </w:tc>
        <w:tc>
          <w:tcPr>
            <w:tcW w:w="680" w:type="pct"/>
            <w:vMerge w:val="continue"/>
            <w:noWrap w:val="0"/>
            <w:vAlign w:val="center"/>
          </w:tcPr>
          <w:p w14:paraId="227CEB4E">
            <w:pPr>
              <w:pStyle w:val="1111"/>
              <w:bidi w:val="0"/>
            </w:pPr>
          </w:p>
        </w:tc>
      </w:tr>
      <w:tr w14:paraId="7AB50C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79" w:type="pct"/>
            <w:vMerge w:val="continue"/>
            <w:noWrap w:val="0"/>
            <w:vAlign w:val="center"/>
          </w:tcPr>
          <w:p w14:paraId="5CE53DD5">
            <w:pPr>
              <w:pStyle w:val="1111"/>
              <w:bidi w:val="0"/>
            </w:pPr>
          </w:p>
        </w:tc>
        <w:tc>
          <w:tcPr>
            <w:tcW w:w="679" w:type="pct"/>
            <w:noWrap w:val="0"/>
            <w:vAlign w:val="center"/>
          </w:tcPr>
          <w:p w14:paraId="35B70045">
            <w:pPr>
              <w:pStyle w:val="1111"/>
              <w:bidi w:val="0"/>
            </w:pPr>
            <w:r>
              <w:t>10</w:t>
            </w:r>
          </w:p>
        </w:tc>
        <w:tc>
          <w:tcPr>
            <w:tcW w:w="1086" w:type="pct"/>
            <w:noWrap/>
            <w:vAlign w:val="center"/>
          </w:tcPr>
          <w:p w14:paraId="031535A5">
            <w:pPr>
              <w:pStyle w:val="1111"/>
              <w:bidi w:val="0"/>
            </w:pPr>
            <w:r>
              <w:t>810</w:t>
            </w:r>
          </w:p>
        </w:tc>
        <w:tc>
          <w:tcPr>
            <w:tcW w:w="936" w:type="pct"/>
            <w:noWrap w:val="0"/>
            <w:vAlign w:val="center"/>
          </w:tcPr>
          <w:p w14:paraId="102D8D64">
            <w:pPr>
              <w:pStyle w:val="1111"/>
              <w:bidi w:val="0"/>
            </w:pPr>
            <w:r>
              <w:rPr>
                <w:rFonts w:hint="default"/>
                <w:lang w:val="en-US" w:eastAsia="zh-CN"/>
              </w:rPr>
              <w:t>9.000</w:t>
            </w:r>
          </w:p>
        </w:tc>
        <w:tc>
          <w:tcPr>
            <w:tcW w:w="937" w:type="pct"/>
            <w:noWrap w:val="0"/>
            <w:vAlign w:val="center"/>
          </w:tcPr>
          <w:p w14:paraId="71EE2A1F">
            <w:pPr>
              <w:pStyle w:val="1111"/>
              <w:bidi w:val="0"/>
              <w:rPr>
                <w:rFonts w:hint="default"/>
                <w:lang w:val="en-US"/>
              </w:rPr>
            </w:pPr>
            <w:r>
              <w:rPr>
                <w:rFonts w:hint="eastAsia"/>
                <w:lang w:val="en-US" w:eastAsia="zh-CN"/>
              </w:rPr>
              <w:t>57.952</w:t>
            </w:r>
          </w:p>
        </w:tc>
        <w:tc>
          <w:tcPr>
            <w:tcW w:w="680" w:type="pct"/>
            <w:vMerge w:val="continue"/>
            <w:noWrap w:val="0"/>
            <w:vAlign w:val="center"/>
          </w:tcPr>
          <w:p w14:paraId="79662D0F">
            <w:pPr>
              <w:pStyle w:val="1111"/>
              <w:bidi w:val="0"/>
            </w:pPr>
          </w:p>
        </w:tc>
      </w:tr>
      <w:tr w14:paraId="65CE29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79" w:type="pct"/>
            <w:vMerge w:val="continue"/>
            <w:noWrap w:val="0"/>
            <w:vAlign w:val="center"/>
          </w:tcPr>
          <w:p w14:paraId="5D6AE0E9">
            <w:pPr>
              <w:pStyle w:val="1111"/>
              <w:bidi w:val="0"/>
            </w:pPr>
          </w:p>
        </w:tc>
        <w:tc>
          <w:tcPr>
            <w:tcW w:w="679" w:type="pct"/>
            <w:noWrap w:val="0"/>
            <w:vAlign w:val="center"/>
          </w:tcPr>
          <w:p w14:paraId="016FF1D4">
            <w:pPr>
              <w:pStyle w:val="1111"/>
              <w:bidi w:val="0"/>
            </w:pPr>
            <w:r>
              <w:t>11</w:t>
            </w:r>
          </w:p>
        </w:tc>
        <w:tc>
          <w:tcPr>
            <w:tcW w:w="1086" w:type="pct"/>
            <w:noWrap/>
            <w:vAlign w:val="center"/>
          </w:tcPr>
          <w:p w14:paraId="4D9F27DC">
            <w:pPr>
              <w:pStyle w:val="1111"/>
              <w:bidi w:val="0"/>
            </w:pPr>
            <w:r>
              <w:t>910</w:t>
            </w:r>
          </w:p>
        </w:tc>
        <w:tc>
          <w:tcPr>
            <w:tcW w:w="936" w:type="pct"/>
            <w:noWrap w:val="0"/>
            <w:vAlign w:val="center"/>
          </w:tcPr>
          <w:p w14:paraId="088A9C87">
            <w:pPr>
              <w:pStyle w:val="1111"/>
              <w:bidi w:val="0"/>
            </w:pPr>
            <w:r>
              <w:rPr>
                <w:rFonts w:hint="default"/>
                <w:lang w:val="en-US" w:eastAsia="zh-CN"/>
              </w:rPr>
              <w:t>10.111</w:t>
            </w:r>
          </w:p>
        </w:tc>
        <w:tc>
          <w:tcPr>
            <w:tcW w:w="937" w:type="pct"/>
            <w:noWrap w:val="0"/>
            <w:vAlign w:val="center"/>
          </w:tcPr>
          <w:p w14:paraId="65BD3371">
            <w:pPr>
              <w:pStyle w:val="1111"/>
              <w:bidi w:val="0"/>
              <w:rPr>
                <w:rFonts w:hint="default"/>
                <w:lang w:val="en-US"/>
              </w:rPr>
            </w:pPr>
            <w:r>
              <w:rPr>
                <w:rFonts w:hint="eastAsia"/>
                <w:lang w:val="en-US" w:eastAsia="zh-CN"/>
              </w:rPr>
              <w:t>48.239</w:t>
            </w:r>
          </w:p>
        </w:tc>
        <w:tc>
          <w:tcPr>
            <w:tcW w:w="680" w:type="pct"/>
            <w:vMerge w:val="continue"/>
            <w:noWrap w:val="0"/>
            <w:vAlign w:val="center"/>
          </w:tcPr>
          <w:p w14:paraId="71F6A9B2">
            <w:pPr>
              <w:pStyle w:val="1111"/>
              <w:bidi w:val="0"/>
            </w:pPr>
          </w:p>
        </w:tc>
      </w:tr>
      <w:tr w14:paraId="7C0C1E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79" w:type="pct"/>
            <w:vMerge w:val="continue"/>
            <w:noWrap w:val="0"/>
            <w:vAlign w:val="center"/>
          </w:tcPr>
          <w:p w14:paraId="2AB7C0F6">
            <w:pPr>
              <w:pStyle w:val="1111"/>
              <w:bidi w:val="0"/>
            </w:pPr>
          </w:p>
        </w:tc>
        <w:tc>
          <w:tcPr>
            <w:tcW w:w="679" w:type="pct"/>
            <w:noWrap w:val="0"/>
            <w:vAlign w:val="center"/>
          </w:tcPr>
          <w:p w14:paraId="706D4ABD">
            <w:pPr>
              <w:pStyle w:val="1111"/>
              <w:bidi w:val="0"/>
            </w:pPr>
            <w:r>
              <w:t>12</w:t>
            </w:r>
          </w:p>
        </w:tc>
        <w:tc>
          <w:tcPr>
            <w:tcW w:w="1086" w:type="pct"/>
            <w:noWrap/>
            <w:vAlign w:val="center"/>
          </w:tcPr>
          <w:p w14:paraId="3CBF75BD">
            <w:pPr>
              <w:pStyle w:val="1111"/>
              <w:bidi w:val="0"/>
            </w:pPr>
            <w:r>
              <w:t>1010</w:t>
            </w:r>
          </w:p>
        </w:tc>
        <w:tc>
          <w:tcPr>
            <w:tcW w:w="936" w:type="pct"/>
            <w:noWrap w:val="0"/>
            <w:vAlign w:val="center"/>
          </w:tcPr>
          <w:p w14:paraId="062B0EBF">
            <w:pPr>
              <w:pStyle w:val="1111"/>
              <w:bidi w:val="0"/>
            </w:pPr>
            <w:r>
              <w:rPr>
                <w:rFonts w:hint="default"/>
                <w:lang w:val="en-US" w:eastAsia="zh-CN"/>
              </w:rPr>
              <w:t>11.222</w:t>
            </w:r>
          </w:p>
        </w:tc>
        <w:tc>
          <w:tcPr>
            <w:tcW w:w="937" w:type="pct"/>
            <w:noWrap w:val="0"/>
            <w:vAlign w:val="center"/>
          </w:tcPr>
          <w:p w14:paraId="40A55F02">
            <w:pPr>
              <w:pStyle w:val="1111"/>
              <w:bidi w:val="0"/>
              <w:rPr>
                <w:rFonts w:hint="default"/>
                <w:lang w:val="en-US"/>
              </w:rPr>
            </w:pPr>
            <w:r>
              <w:rPr>
                <w:rFonts w:hint="eastAsia"/>
                <w:lang w:val="en-US" w:eastAsia="zh-CN"/>
              </w:rPr>
              <w:t>40.863</w:t>
            </w:r>
          </w:p>
        </w:tc>
        <w:tc>
          <w:tcPr>
            <w:tcW w:w="680" w:type="pct"/>
            <w:vMerge w:val="continue"/>
            <w:noWrap w:val="0"/>
            <w:vAlign w:val="center"/>
          </w:tcPr>
          <w:p w14:paraId="17B3B963">
            <w:pPr>
              <w:pStyle w:val="1111"/>
              <w:bidi w:val="0"/>
            </w:pPr>
          </w:p>
        </w:tc>
      </w:tr>
      <w:tr w14:paraId="04BAF4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79" w:type="pct"/>
            <w:vMerge w:val="continue"/>
            <w:noWrap w:val="0"/>
            <w:vAlign w:val="center"/>
          </w:tcPr>
          <w:p w14:paraId="210B63A4">
            <w:pPr>
              <w:pStyle w:val="1111"/>
              <w:bidi w:val="0"/>
            </w:pPr>
          </w:p>
        </w:tc>
        <w:tc>
          <w:tcPr>
            <w:tcW w:w="679" w:type="pct"/>
            <w:noWrap w:val="0"/>
            <w:vAlign w:val="center"/>
          </w:tcPr>
          <w:p w14:paraId="3E1F3324">
            <w:pPr>
              <w:pStyle w:val="1111"/>
              <w:bidi w:val="0"/>
            </w:pPr>
            <w:r>
              <w:t>13</w:t>
            </w:r>
          </w:p>
        </w:tc>
        <w:tc>
          <w:tcPr>
            <w:tcW w:w="1086" w:type="pct"/>
            <w:noWrap/>
            <w:vAlign w:val="center"/>
          </w:tcPr>
          <w:p w14:paraId="1E6822E2">
            <w:pPr>
              <w:pStyle w:val="1111"/>
              <w:bidi w:val="0"/>
            </w:pPr>
            <w:r>
              <w:t>1510</w:t>
            </w:r>
          </w:p>
        </w:tc>
        <w:tc>
          <w:tcPr>
            <w:tcW w:w="936" w:type="pct"/>
            <w:noWrap w:val="0"/>
            <w:vAlign w:val="center"/>
          </w:tcPr>
          <w:p w14:paraId="39C4275D">
            <w:pPr>
              <w:pStyle w:val="1111"/>
              <w:bidi w:val="0"/>
            </w:pPr>
            <w:r>
              <w:rPr>
                <w:rFonts w:hint="default"/>
                <w:lang w:val="en-US" w:eastAsia="zh-CN"/>
              </w:rPr>
              <w:t>16.778</w:t>
            </w:r>
          </w:p>
        </w:tc>
        <w:tc>
          <w:tcPr>
            <w:tcW w:w="937" w:type="pct"/>
            <w:noWrap w:val="0"/>
            <w:vAlign w:val="center"/>
          </w:tcPr>
          <w:p w14:paraId="56B1BE26">
            <w:pPr>
              <w:pStyle w:val="1111"/>
              <w:bidi w:val="0"/>
              <w:rPr>
                <w:rFonts w:hint="default"/>
                <w:lang w:val="en-US"/>
              </w:rPr>
            </w:pPr>
            <w:r>
              <w:rPr>
                <w:rFonts w:hint="eastAsia"/>
                <w:lang w:val="en-US" w:eastAsia="zh-CN"/>
              </w:rPr>
              <w:t>21.666</w:t>
            </w:r>
          </w:p>
        </w:tc>
        <w:tc>
          <w:tcPr>
            <w:tcW w:w="680" w:type="pct"/>
            <w:vMerge w:val="continue"/>
            <w:noWrap w:val="0"/>
            <w:vAlign w:val="center"/>
          </w:tcPr>
          <w:p w14:paraId="5651B1BF">
            <w:pPr>
              <w:pStyle w:val="1111"/>
              <w:bidi w:val="0"/>
            </w:pPr>
          </w:p>
        </w:tc>
      </w:tr>
      <w:tr w14:paraId="4132E2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79" w:type="pct"/>
            <w:vMerge w:val="continue"/>
            <w:noWrap w:val="0"/>
            <w:vAlign w:val="center"/>
          </w:tcPr>
          <w:p w14:paraId="30FCE419">
            <w:pPr>
              <w:pStyle w:val="1111"/>
              <w:bidi w:val="0"/>
            </w:pPr>
          </w:p>
        </w:tc>
        <w:tc>
          <w:tcPr>
            <w:tcW w:w="679" w:type="pct"/>
            <w:noWrap w:val="0"/>
            <w:vAlign w:val="center"/>
          </w:tcPr>
          <w:p w14:paraId="2D6F7AE6">
            <w:pPr>
              <w:pStyle w:val="1111"/>
              <w:bidi w:val="0"/>
            </w:pPr>
            <w:r>
              <w:t>14</w:t>
            </w:r>
          </w:p>
        </w:tc>
        <w:tc>
          <w:tcPr>
            <w:tcW w:w="1086" w:type="pct"/>
            <w:noWrap/>
            <w:vAlign w:val="center"/>
          </w:tcPr>
          <w:p w14:paraId="41C24911">
            <w:pPr>
              <w:pStyle w:val="1111"/>
              <w:bidi w:val="0"/>
            </w:pPr>
            <w:r>
              <w:t>2010</w:t>
            </w:r>
          </w:p>
        </w:tc>
        <w:tc>
          <w:tcPr>
            <w:tcW w:w="936" w:type="pct"/>
            <w:noWrap w:val="0"/>
            <w:vAlign w:val="center"/>
          </w:tcPr>
          <w:p w14:paraId="1116A0E8">
            <w:pPr>
              <w:pStyle w:val="1111"/>
              <w:bidi w:val="0"/>
            </w:pPr>
            <w:r>
              <w:rPr>
                <w:rFonts w:hint="default"/>
                <w:lang w:val="en-US" w:eastAsia="zh-CN"/>
              </w:rPr>
              <w:t>22.333</w:t>
            </w:r>
          </w:p>
        </w:tc>
        <w:tc>
          <w:tcPr>
            <w:tcW w:w="937" w:type="pct"/>
            <w:noWrap w:val="0"/>
            <w:vAlign w:val="center"/>
          </w:tcPr>
          <w:p w14:paraId="70B4F916">
            <w:pPr>
              <w:pStyle w:val="1111"/>
              <w:bidi w:val="0"/>
              <w:rPr>
                <w:rFonts w:hint="default"/>
                <w:lang w:val="en-US"/>
              </w:rPr>
            </w:pPr>
            <w:r>
              <w:rPr>
                <w:rFonts w:hint="eastAsia"/>
                <w:lang w:val="en-US" w:eastAsia="zh-CN"/>
              </w:rPr>
              <w:t>14.885</w:t>
            </w:r>
          </w:p>
        </w:tc>
        <w:tc>
          <w:tcPr>
            <w:tcW w:w="680" w:type="pct"/>
            <w:vMerge w:val="continue"/>
            <w:noWrap w:val="0"/>
            <w:vAlign w:val="center"/>
          </w:tcPr>
          <w:p w14:paraId="7D7F3791">
            <w:pPr>
              <w:pStyle w:val="1111"/>
              <w:bidi w:val="0"/>
            </w:pPr>
          </w:p>
        </w:tc>
      </w:tr>
      <w:tr w14:paraId="699E4E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79" w:type="pct"/>
            <w:vMerge w:val="continue"/>
            <w:noWrap w:val="0"/>
            <w:vAlign w:val="center"/>
          </w:tcPr>
          <w:p w14:paraId="544219E7">
            <w:pPr>
              <w:pStyle w:val="1111"/>
              <w:bidi w:val="0"/>
            </w:pPr>
          </w:p>
        </w:tc>
        <w:tc>
          <w:tcPr>
            <w:tcW w:w="679" w:type="pct"/>
            <w:noWrap w:val="0"/>
            <w:vAlign w:val="center"/>
          </w:tcPr>
          <w:p w14:paraId="0C660542">
            <w:pPr>
              <w:pStyle w:val="1111"/>
              <w:bidi w:val="0"/>
            </w:pPr>
            <w:r>
              <w:t>15</w:t>
            </w:r>
          </w:p>
        </w:tc>
        <w:tc>
          <w:tcPr>
            <w:tcW w:w="1086" w:type="pct"/>
            <w:noWrap/>
            <w:vAlign w:val="center"/>
          </w:tcPr>
          <w:p w14:paraId="72E160B9">
            <w:pPr>
              <w:pStyle w:val="1111"/>
              <w:bidi w:val="0"/>
            </w:pPr>
            <w:r>
              <w:t>3010</w:t>
            </w:r>
          </w:p>
        </w:tc>
        <w:tc>
          <w:tcPr>
            <w:tcW w:w="936" w:type="pct"/>
            <w:noWrap w:val="0"/>
            <w:vAlign w:val="center"/>
          </w:tcPr>
          <w:p w14:paraId="4C7F55A2">
            <w:pPr>
              <w:pStyle w:val="1111"/>
              <w:bidi w:val="0"/>
            </w:pPr>
            <w:r>
              <w:rPr>
                <w:rFonts w:hint="default"/>
                <w:lang w:val="en-US" w:eastAsia="zh-CN"/>
              </w:rPr>
              <w:t>38.444</w:t>
            </w:r>
          </w:p>
        </w:tc>
        <w:tc>
          <w:tcPr>
            <w:tcW w:w="937" w:type="pct"/>
            <w:noWrap w:val="0"/>
            <w:vAlign w:val="center"/>
          </w:tcPr>
          <w:p w14:paraId="062C9733">
            <w:pPr>
              <w:pStyle w:val="1111"/>
              <w:bidi w:val="0"/>
              <w:rPr>
                <w:rFonts w:hint="default"/>
                <w:lang w:val="en-US"/>
              </w:rPr>
            </w:pPr>
            <w:r>
              <w:rPr>
                <w:rFonts w:hint="eastAsia"/>
                <w:lang w:val="en-US" w:eastAsia="zh-CN"/>
              </w:rPr>
              <w:t>8.738</w:t>
            </w:r>
          </w:p>
        </w:tc>
        <w:tc>
          <w:tcPr>
            <w:tcW w:w="680" w:type="pct"/>
            <w:vMerge w:val="continue"/>
            <w:noWrap w:val="0"/>
            <w:vAlign w:val="center"/>
          </w:tcPr>
          <w:p w14:paraId="04C2DC6D">
            <w:pPr>
              <w:pStyle w:val="1111"/>
              <w:bidi w:val="0"/>
            </w:pPr>
          </w:p>
        </w:tc>
      </w:tr>
      <w:tr w14:paraId="5B4DA0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79" w:type="pct"/>
            <w:vMerge w:val="continue"/>
            <w:noWrap w:val="0"/>
            <w:vAlign w:val="center"/>
          </w:tcPr>
          <w:p w14:paraId="486C22C8">
            <w:pPr>
              <w:pStyle w:val="1111"/>
              <w:bidi w:val="0"/>
            </w:pPr>
          </w:p>
        </w:tc>
        <w:tc>
          <w:tcPr>
            <w:tcW w:w="679" w:type="pct"/>
            <w:noWrap w:val="0"/>
            <w:vAlign w:val="center"/>
          </w:tcPr>
          <w:p w14:paraId="1412888E">
            <w:pPr>
              <w:pStyle w:val="1111"/>
              <w:bidi w:val="0"/>
            </w:pPr>
            <w:r>
              <w:t>16</w:t>
            </w:r>
          </w:p>
        </w:tc>
        <w:tc>
          <w:tcPr>
            <w:tcW w:w="1086" w:type="pct"/>
            <w:noWrap/>
            <w:vAlign w:val="center"/>
          </w:tcPr>
          <w:p w14:paraId="2C21C74C">
            <w:pPr>
              <w:pStyle w:val="1111"/>
              <w:bidi w:val="0"/>
            </w:pPr>
            <w:r>
              <w:t>4010</w:t>
            </w:r>
          </w:p>
        </w:tc>
        <w:tc>
          <w:tcPr>
            <w:tcW w:w="936" w:type="pct"/>
            <w:noWrap w:val="0"/>
            <w:vAlign w:val="center"/>
          </w:tcPr>
          <w:p w14:paraId="3A5BBBCE">
            <w:pPr>
              <w:pStyle w:val="1111"/>
              <w:bidi w:val="0"/>
            </w:pPr>
            <w:r>
              <w:rPr>
                <w:rFonts w:hint="default"/>
                <w:lang w:val="en-US" w:eastAsia="zh-CN"/>
              </w:rPr>
              <w:t>51.555</w:t>
            </w:r>
          </w:p>
        </w:tc>
        <w:tc>
          <w:tcPr>
            <w:tcW w:w="937" w:type="pct"/>
            <w:noWrap w:val="0"/>
            <w:vAlign w:val="center"/>
          </w:tcPr>
          <w:p w14:paraId="5454E552">
            <w:pPr>
              <w:pStyle w:val="1111"/>
              <w:bidi w:val="0"/>
              <w:rPr>
                <w:rFonts w:hint="default"/>
                <w:lang w:val="en-US"/>
              </w:rPr>
            </w:pPr>
            <w:r>
              <w:rPr>
                <w:rFonts w:hint="eastAsia"/>
                <w:lang w:val="en-US" w:eastAsia="zh-CN"/>
              </w:rPr>
              <w:t>5.977</w:t>
            </w:r>
          </w:p>
        </w:tc>
        <w:tc>
          <w:tcPr>
            <w:tcW w:w="680" w:type="pct"/>
            <w:vMerge w:val="continue"/>
            <w:noWrap w:val="0"/>
            <w:vAlign w:val="center"/>
          </w:tcPr>
          <w:p w14:paraId="555A7AE4">
            <w:pPr>
              <w:pStyle w:val="1111"/>
              <w:bidi w:val="0"/>
            </w:pPr>
          </w:p>
        </w:tc>
      </w:tr>
      <w:tr w14:paraId="736B48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79" w:type="pct"/>
            <w:vMerge w:val="continue"/>
            <w:noWrap w:val="0"/>
            <w:vAlign w:val="center"/>
          </w:tcPr>
          <w:p w14:paraId="531ED573">
            <w:pPr>
              <w:pStyle w:val="1111"/>
              <w:bidi w:val="0"/>
            </w:pPr>
          </w:p>
        </w:tc>
        <w:tc>
          <w:tcPr>
            <w:tcW w:w="679" w:type="pct"/>
            <w:noWrap w:val="0"/>
            <w:vAlign w:val="center"/>
          </w:tcPr>
          <w:p w14:paraId="20DEC79F">
            <w:pPr>
              <w:pStyle w:val="1111"/>
              <w:bidi w:val="0"/>
            </w:pPr>
            <w:r>
              <w:t>17</w:t>
            </w:r>
          </w:p>
        </w:tc>
        <w:tc>
          <w:tcPr>
            <w:tcW w:w="1086" w:type="pct"/>
            <w:noWrap/>
            <w:vAlign w:val="center"/>
          </w:tcPr>
          <w:p w14:paraId="2E525C3A">
            <w:pPr>
              <w:pStyle w:val="1111"/>
              <w:bidi w:val="0"/>
            </w:pPr>
            <w:r>
              <w:t>4960</w:t>
            </w:r>
          </w:p>
        </w:tc>
        <w:tc>
          <w:tcPr>
            <w:tcW w:w="936" w:type="pct"/>
            <w:noWrap w:val="0"/>
            <w:vAlign w:val="center"/>
          </w:tcPr>
          <w:p w14:paraId="146BA48F">
            <w:pPr>
              <w:pStyle w:val="1111"/>
              <w:bidi w:val="0"/>
            </w:pPr>
            <w:r>
              <w:rPr>
                <w:rFonts w:hint="default"/>
                <w:lang w:val="en-US" w:eastAsia="zh-CN"/>
              </w:rPr>
              <w:t>63.111</w:t>
            </w:r>
          </w:p>
        </w:tc>
        <w:tc>
          <w:tcPr>
            <w:tcW w:w="937" w:type="pct"/>
            <w:noWrap w:val="0"/>
            <w:vAlign w:val="center"/>
          </w:tcPr>
          <w:p w14:paraId="34CA33B6">
            <w:pPr>
              <w:pStyle w:val="1111"/>
              <w:bidi w:val="0"/>
              <w:rPr>
                <w:rFonts w:hint="default"/>
                <w:lang w:val="en-US"/>
              </w:rPr>
            </w:pPr>
            <w:r>
              <w:rPr>
                <w:rFonts w:hint="eastAsia"/>
                <w:lang w:val="en-US" w:eastAsia="zh-CN"/>
              </w:rPr>
              <w:t>4.508</w:t>
            </w:r>
          </w:p>
        </w:tc>
        <w:tc>
          <w:tcPr>
            <w:tcW w:w="680" w:type="pct"/>
            <w:vMerge w:val="continue"/>
            <w:noWrap w:val="0"/>
            <w:vAlign w:val="center"/>
          </w:tcPr>
          <w:p w14:paraId="01D70842">
            <w:pPr>
              <w:pStyle w:val="1111"/>
              <w:bidi w:val="0"/>
            </w:pPr>
          </w:p>
        </w:tc>
      </w:tr>
    </w:tbl>
    <w:p w14:paraId="1D906F02">
      <w:pPr>
        <w:pStyle w:val="1111"/>
        <w:bidi w:val="0"/>
      </w:pPr>
      <w:r>
        <w:t>表</w:t>
      </w:r>
      <w:r>
        <w:rPr>
          <w:rFonts w:hint="eastAsia"/>
          <w:lang w:val="en-US" w:eastAsia="zh-CN"/>
        </w:rPr>
        <w:t>7-4</w:t>
      </w:r>
      <w:r>
        <w:t xml:space="preserve">  事故状态下</w:t>
      </w:r>
      <w:r>
        <w:rPr>
          <w:rFonts w:hint="eastAsia"/>
          <w:lang w:eastAsia="zh-CN"/>
        </w:rPr>
        <w:t>敏感点处</w:t>
      </w:r>
      <w:r>
        <w:t>有毒有害物质</w:t>
      </w:r>
      <w:r>
        <w:rPr>
          <w:rFonts w:hint="eastAsia"/>
          <w:lang w:eastAsia="zh-CN"/>
        </w:rPr>
        <w:t>浓度变化</w:t>
      </w:r>
      <w:r>
        <w:t>表</w:t>
      </w:r>
    </w:p>
    <w:tbl>
      <w:tblPr>
        <w:tblStyle w:val="7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1"/>
        <w:gridCol w:w="1595"/>
        <w:gridCol w:w="989"/>
        <w:gridCol w:w="894"/>
        <w:gridCol w:w="958"/>
        <w:gridCol w:w="958"/>
        <w:gridCol w:w="958"/>
        <w:gridCol w:w="959"/>
        <w:gridCol w:w="959"/>
      </w:tblGrid>
      <w:tr w14:paraId="2276C2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91" w:type="dxa"/>
            <w:noWrap/>
            <w:vAlign w:val="center"/>
          </w:tcPr>
          <w:p w14:paraId="5FEA5974">
            <w:pPr>
              <w:pStyle w:val="1111"/>
              <w:bidi w:val="0"/>
            </w:pPr>
            <w:r>
              <w:t>事故情景</w:t>
            </w:r>
          </w:p>
        </w:tc>
        <w:tc>
          <w:tcPr>
            <w:tcW w:w="1595" w:type="dxa"/>
            <w:noWrap/>
            <w:vAlign w:val="center"/>
          </w:tcPr>
          <w:p w14:paraId="269C1E02">
            <w:pPr>
              <w:pStyle w:val="1111"/>
              <w:bidi w:val="0"/>
            </w:pPr>
            <w:r>
              <w:t>特殊计算点（m）</w:t>
            </w:r>
          </w:p>
        </w:tc>
        <w:tc>
          <w:tcPr>
            <w:tcW w:w="989" w:type="dxa"/>
            <w:noWrap/>
            <w:vAlign w:val="center"/>
          </w:tcPr>
          <w:p w14:paraId="5445C1D3">
            <w:pPr>
              <w:pStyle w:val="1111"/>
              <w:bidi w:val="0"/>
              <w:rPr>
                <w:rFonts w:hint="eastAsia" w:eastAsia="宋体"/>
                <w:lang w:eastAsia="zh-CN"/>
              </w:rPr>
            </w:pPr>
            <w:r>
              <w:t>最大浓度|时间</w:t>
            </w:r>
            <w:r>
              <w:rPr>
                <w:rFonts w:hint="eastAsia"/>
                <w:lang w:eastAsia="zh-CN"/>
              </w:rPr>
              <w:t>（</w:t>
            </w:r>
            <w:r>
              <w:t>min</w:t>
            </w:r>
            <w:r>
              <w:rPr>
                <w:rFonts w:hint="eastAsia"/>
                <w:lang w:eastAsia="zh-CN"/>
              </w:rPr>
              <w:t>）</w:t>
            </w:r>
          </w:p>
        </w:tc>
        <w:tc>
          <w:tcPr>
            <w:tcW w:w="894" w:type="dxa"/>
            <w:noWrap/>
            <w:vAlign w:val="center"/>
          </w:tcPr>
          <w:p w14:paraId="1F7264E5">
            <w:pPr>
              <w:pStyle w:val="1111"/>
              <w:bidi w:val="0"/>
            </w:pPr>
            <w:r>
              <w:t>5min</w:t>
            </w:r>
          </w:p>
        </w:tc>
        <w:tc>
          <w:tcPr>
            <w:tcW w:w="958" w:type="dxa"/>
            <w:noWrap/>
            <w:vAlign w:val="center"/>
          </w:tcPr>
          <w:p w14:paraId="7C82F31B">
            <w:pPr>
              <w:pStyle w:val="1111"/>
              <w:bidi w:val="0"/>
            </w:pPr>
            <w:r>
              <w:t>10min</w:t>
            </w:r>
          </w:p>
        </w:tc>
        <w:tc>
          <w:tcPr>
            <w:tcW w:w="958" w:type="dxa"/>
            <w:noWrap/>
            <w:vAlign w:val="center"/>
          </w:tcPr>
          <w:p w14:paraId="47F05B87">
            <w:pPr>
              <w:pStyle w:val="1111"/>
              <w:bidi w:val="0"/>
            </w:pPr>
            <w:r>
              <w:t>15min</w:t>
            </w:r>
          </w:p>
        </w:tc>
        <w:tc>
          <w:tcPr>
            <w:tcW w:w="958" w:type="dxa"/>
            <w:noWrap/>
            <w:vAlign w:val="center"/>
          </w:tcPr>
          <w:p w14:paraId="239E4725">
            <w:pPr>
              <w:pStyle w:val="1111"/>
              <w:bidi w:val="0"/>
            </w:pPr>
            <w:r>
              <w:t>20min</w:t>
            </w:r>
          </w:p>
        </w:tc>
        <w:tc>
          <w:tcPr>
            <w:tcW w:w="959" w:type="dxa"/>
            <w:noWrap/>
            <w:vAlign w:val="center"/>
          </w:tcPr>
          <w:p w14:paraId="1E81C078">
            <w:pPr>
              <w:pStyle w:val="1111"/>
              <w:bidi w:val="0"/>
            </w:pPr>
            <w:r>
              <w:t>25min</w:t>
            </w:r>
          </w:p>
        </w:tc>
        <w:tc>
          <w:tcPr>
            <w:tcW w:w="959" w:type="dxa"/>
            <w:noWrap/>
            <w:vAlign w:val="center"/>
          </w:tcPr>
          <w:p w14:paraId="0CA1755C">
            <w:pPr>
              <w:pStyle w:val="1111"/>
              <w:bidi w:val="0"/>
            </w:pPr>
            <w:r>
              <w:t>30min</w:t>
            </w:r>
          </w:p>
        </w:tc>
      </w:tr>
      <w:tr w14:paraId="3AD149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91" w:type="dxa"/>
            <w:vMerge w:val="restart"/>
            <w:noWrap/>
            <w:vAlign w:val="center"/>
          </w:tcPr>
          <w:p w14:paraId="6713DBE7">
            <w:pPr>
              <w:pStyle w:val="1111"/>
              <w:bidi w:val="0"/>
            </w:pPr>
            <w:r>
              <w:rPr>
                <w:rFonts w:hint="eastAsia"/>
                <w:lang w:val="en-US" w:eastAsia="zh-CN"/>
              </w:rPr>
              <w:t>1#存储库</w:t>
            </w:r>
            <w:r>
              <w:t>火灾事故次生/伴生CO</w:t>
            </w:r>
          </w:p>
        </w:tc>
        <w:tc>
          <w:tcPr>
            <w:tcW w:w="1595" w:type="dxa"/>
            <w:shd w:val="clear" w:color="auto" w:fill="auto"/>
            <w:noWrap/>
            <w:vAlign w:val="center"/>
          </w:tcPr>
          <w:p w14:paraId="1DD55E57">
            <w:pPr>
              <w:pStyle w:val="1111"/>
              <w:bidi w:val="0"/>
              <w:rPr>
                <w:rFonts w:hint="eastAsia" w:ascii="Times New Roman" w:hAnsi="Times New Roman" w:eastAsia="宋体" w:cs="Times New Roman"/>
                <w:kern w:val="0"/>
                <w:sz w:val="21"/>
                <w:szCs w:val="20"/>
                <w:lang w:val="en-US" w:eastAsia="zh-CN" w:bidi="ar-SA"/>
              </w:rPr>
            </w:pPr>
            <w:r>
              <w:rPr>
                <w:rFonts w:hint="eastAsia"/>
                <w:lang w:eastAsia="zh-CN"/>
              </w:rPr>
              <w:t>瑞园青年公寓</w:t>
            </w:r>
          </w:p>
        </w:tc>
        <w:tc>
          <w:tcPr>
            <w:tcW w:w="989" w:type="dxa"/>
            <w:noWrap/>
            <w:vAlign w:val="center"/>
          </w:tcPr>
          <w:p w14:paraId="0E742881">
            <w:pPr>
              <w:pStyle w:val="1111"/>
              <w:bidi w:val="0"/>
            </w:pPr>
            <w:r>
              <w:t>0.00E+00|5</w:t>
            </w:r>
          </w:p>
        </w:tc>
        <w:tc>
          <w:tcPr>
            <w:tcW w:w="894" w:type="dxa"/>
            <w:noWrap/>
            <w:vAlign w:val="center"/>
          </w:tcPr>
          <w:p w14:paraId="5CA4349B">
            <w:pPr>
              <w:pStyle w:val="1111"/>
              <w:bidi w:val="0"/>
            </w:pPr>
            <w:r>
              <w:t>0.00E+00</w:t>
            </w:r>
          </w:p>
        </w:tc>
        <w:tc>
          <w:tcPr>
            <w:tcW w:w="958" w:type="dxa"/>
            <w:noWrap/>
            <w:vAlign w:val="center"/>
          </w:tcPr>
          <w:p w14:paraId="6CEBEDF2">
            <w:pPr>
              <w:pStyle w:val="1111"/>
              <w:bidi w:val="0"/>
            </w:pPr>
            <w:r>
              <w:t>0.00E+00</w:t>
            </w:r>
          </w:p>
        </w:tc>
        <w:tc>
          <w:tcPr>
            <w:tcW w:w="958" w:type="dxa"/>
            <w:noWrap/>
            <w:vAlign w:val="center"/>
          </w:tcPr>
          <w:p w14:paraId="79486559">
            <w:pPr>
              <w:pStyle w:val="1111"/>
              <w:bidi w:val="0"/>
            </w:pPr>
            <w:r>
              <w:t>0.00E+00</w:t>
            </w:r>
          </w:p>
        </w:tc>
        <w:tc>
          <w:tcPr>
            <w:tcW w:w="958" w:type="dxa"/>
            <w:noWrap/>
            <w:vAlign w:val="center"/>
          </w:tcPr>
          <w:p w14:paraId="32651D1B">
            <w:pPr>
              <w:pStyle w:val="1111"/>
              <w:bidi w:val="0"/>
            </w:pPr>
            <w:r>
              <w:t>0.00E+00</w:t>
            </w:r>
          </w:p>
        </w:tc>
        <w:tc>
          <w:tcPr>
            <w:tcW w:w="959" w:type="dxa"/>
            <w:noWrap/>
            <w:vAlign w:val="center"/>
          </w:tcPr>
          <w:p w14:paraId="6A88CA23">
            <w:pPr>
              <w:pStyle w:val="1111"/>
              <w:bidi w:val="0"/>
            </w:pPr>
            <w:r>
              <w:t>0.00E+00</w:t>
            </w:r>
          </w:p>
        </w:tc>
        <w:tc>
          <w:tcPr>
            <w:tcW w:w="959" w:type="dxa"/>
            <w:noWrap/>
            <w:vAlign w:val="center"/>
          </w:tcPr>
          <w:p w14:paraId="78EFEA8C">
            <w:pPr>
              <w:pStyle w:val="1111"/>
              <w:bidi w:val="0"/>
            </w:pPr>
            <w:r>
              <w:t>0.00E+00</w:t>
            </w:r>
          </w:p>
        </w:tc>
      </w:tr>
      <w:tr w14:paraId="08B148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91" w:type="dxa"/>
            <w:vMerge w:val="continue"/>
            <w:noWrap w:val="0"/>
            <w:vAlign w:val="center"/>
          </w:tcPr>
          <w:p w14:paraId="23AC81F8">
            <w:pPr>
              <w:pStyle w:val="1111"/>
              <w:bidi w:val="0"/>
            </w:pPr>
          </w:p>
        </w:tc>
        <w:tc>
          <w:tcPr>
            <w:tcW w:w="1595" w:type="dxa"/>
            <w:shd w:val="clear" w:color="auto" w:fill="auto"/>
            <w:noWrap/>
            <w:vAlign w:val="center"/>
          </w:tcPr>
          <w:p w14:paraId="35279A72">
            <w:pPr>
              <w:pStyle w:val="1111"/>
              <w:bidi w:val="0"/>
              <w:rPr>
                <w:rFonts w:hint="eastAsia" w:ascii="Times New Roman" w:hAnsi="Times New Roman" w:eastAsia="宋体" w:cs="Times New Roman"/>
                <w:kern w:val="0"/>
                <w:sz w:val="21"/>
                <w:szCs w:val="20"/>
                <w:lang w:val="en-US" w:eastAsia="zh-CN" w:bidi="ar-SA"/>
              </w:rPr>
            </w:pPr>
            <w:r>
              <w:rPr>
                <w:rFonts w:hint="eastAsia"/>
                <w:lang w:eastAsia="zh-CN"/>
              </w:rPr>
              <w:t>冠豪名苑</w:t>
            </w:r>
          </w:p>
        </w:tc>
        <w:tc>
          <w:tcPr>
            <w:tcW w:w="989" w:type="dxa"/>
            <w:noWrap/>
            <w:vAlign w:val="center"/>
          </w:tcPr>
          <w:p w14:paraId="17458794">
            <w:pPr>
              <w:pStyle w:val="1111"/>
              <w:bidi w:val="0"/>
            </w:pPr>
            <w:r>
              <w:t>0.00E+00|5</w:t>
            </w:r>
          </w:p>
        </w:tc>
        <w:tc>
          <w:tcPr>
            <w:tcW w:w="894" w:type="dxa"/>
            <w:noWrap/>
            <w:vAlign w:val="center"/>
          </w:tcPr>
          <w:p w14:paraId="3DB6A243">
            <w:pPr>
              <w:pStyle w:val="1111"/>
              <w:bidi w:val="0"/>
            </w:pPr>
            <w:r>
              <w:t>0.00E+00</w:t>
            </w:r>
          </w:p>
        </w:tc>
        <w:tc>
          <w:tcPr>
            <w:tcW w:w="958" w:type="dxa"/>
            <w:noWrap/>
            <w:vAlign w:val="center"/>
          </w:tcPr>
          <w:p w14:paraId="5C40366C">
            <w:pPr>
              <w:pStyle w:val="1111"/>
              <w:bidi w:val="0"/>
            </w:pPr>
            <w:r>
              <w:t>0.00E+00</w:t>
            </w:r>
          </w:p>
        </w:tc>
        <w:tc>
          <w:tcPr>
            <w:tcW w:w="958" w:type="dxa"/>
            <w:noWrap/>
            <w:vAlign w:val="center"/>
          </w:tcPr>
          <w:p w14:paraId="431EBD37">
            <w:pPr>
              <w:pStyle w:val="1111"/>
              <w:bidi w:val="0"/>
            </w:pPr>
            <w:r>
              <w:t>0.00E+00</w:t>
            </w:r>
          </w:p>
        </w:tc>
        <w:tc>
          <w:tcPr>
            <w:tcW w:w="958" w:type="dxa"/>
            <w:noWrap/>
            <w:vAlign w:val="center"/>
          </w:tcPr>
          <w:p w14:paraId="1D3BE27B">
            <w:pPr>
              <w:pStyle w:val="1111"/>
              <w:bidi w:val="0"/>
            </w:pPr>
            <w:r>
              <w:t>0.00E+00</w:t>
            </w:r>
          </w:p>
        </w:tc>
        <w:tc>
          <w:tcPr>
            <w:tcW w:w="959" w:type="dxa"/>
            <w:noWrap/>
            <w:vAlign w:val="center"/>
          </w:tcPr>
          <w:p w14:paraId="097968A3">
            <w:pPr>
              <w:pStyle w:val="1111"/>
              <w:bidi w:val="0"/>
            </w:pPr>
            <w:r>
              <w:t>0.00E+00</w:t>
            </w:r>
          </w:p>
        </w:tc>
        <w:tc>
          <w:tcPr>
            <w:tcW w:w="959" w:type="dxa"/>
            <w:noWrap/>
            <w:vAlign w:val="center"/>
          </w:tcPr>
          <w:p w14:paraId="4064D623">
            <w:pPr>
              <w:pStyle w:val="1111"/>
              <w:bidi w:val="0"/>
            </w:pPr>
            <w:r>
              <w:t>0.00E+00</w:t>
            </w:r>
          </w:p>
        </w:tc>
      </w:tr>
      <w:tr w14:paraId="4690C5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91" w:type="dxa"/>
            <w:vMerge w:val="continue"/>
            <w:noWrap w:val="0"/>
            <w:vAlign w:val="center"/>
          </w:tcPr>
          <w:p w14:paraId="60F704FE">
            <w:pPr>
              <w:pStyle w:val="1111"/>
              <w:bidi w:val="0"/>
            </w:pPr>
          </w:p>
        </w:tc>
        <w:tc>
          <w:tcPr>
            <w:tcW w:w="1595" w:type="dxa"/>
            <w:noWrap/>
            <w:vAlign w:val="center"/>
          </w:tcPr>
          <w:p w14:paraId="02400522">
            <w:pPr>
              <w:pStyle w:val="1111"/>
              <w:bidi w:val="0"/>
              <w:rPr>
                <w:rFonts w:hint="eastAsia"/>
                <w:lang w:eastAsia="zh-CN"/>
              </w:rPr>
            </w:pPr>
            <w:r>
              <w:rPr>
                <w:rFonts w:hint="eastAsia"/>
                <w:lang w:eastAsia="zh-CN"/>
              </w:rPr>
              <w:t>连云港市食品药品检验检测中心</w:t>
            </w:r>
          </w:p>
        </w:tc>
        <w:tc>
          <w:tcPr>
            <w:tcW w:w="989" w:type="dxa"/>
            <w:noWrap/>
            <w:vAlign w:val="center"/>
          </w:tcPr>
          <w:p w14:paraId="56EF5BE8">
            <w:pPr>
              <w:pStyle w:val="1111"/>
              <w:bidi w:val="0"/>
            </w:pPr>
            <w:r>
              <w:t>0.00E+00|5</w:t>
            </w:r>
          </w:p>
        </w:tc>
        <w:tc>
          <w:tcPr>
            <w:tcW w:w="894" w:type="dxa"/>
            <w:noWrap/>
            <w:vAlign w:val="center"/>
          </w:tcPr>
          <w:p w14:paraId="6062400A">
            <w:pPr>
              <w:pStyle w:val="1111"/>
              <w:bidi w:val="0"/>
            </w:pPr>
            <w:r>
              <w:t>0.00E+00</w:t>
            </w:r>
          </w:p>
        </w:tc>
        <w:tc>
          <w:tcPr>
            <w:tcW w:w="958" w:type="dxa"/>
            <w:noWrap/>
            <w:vAlign w:val="center"/>
          </w:tcPr>
          <w:p w14:paraId="687F3A4A">
            <w:pPr>
              <w:pStyle w:val="1111"/>
              <w:bidi w:val="0"/>
            </w:pPr>
            <w:r>
              <w:t>0.00E+00</w:t>
            </w:r>
          </w:p>
        </w:tc>
        <w:tc>
          <w:tcPr>
            <w:tcW w:w="958" w:type="dxa"/>
            <w:noWrap/>
            <w:vAlign w:val="center"/>
          </w:tcPr>
          <w:p w14:paraId="0BB6F1BD">
            <w:pPr>
              <w:pStyle w:val="1111"/>
              <w:bidi w:val="0"/>
            </w:pPr>
            <w:r>
              <w:t>0.00E+00</w:t>
            </w:r>
          </w:p>
        </w:tc>
        <w:tc>
          <w:tcPr>
            <w:tcW w:w="958" w:type="dxa"/>
            <w:noWrap/>
            <w:vAlign w:val="center"/>
          </w:tcPr>
          <w:p w14:paraId="226D2530">
            <w:pPr>
              <w:pStyle w:val="1111"/>
              <w:bidi w:val="0"/>
            </w:pPr>
            <w:r>
              <w:t>0.00E+00</w:t>
            </w:r>
          </w:p>
        </w:tc>
        <w:tc>
          <w:tcPr>
            <w:tcW w:w="959" w:type="dxa"/>
            <w:noWrap/>
            <w:vAlign w:val="center"/>
          </w:tcPr>
          <w:p w14:paraId="3AB2A25B">
            <w:pPr>
              <w:pStyle w:val="1111"/>
              <w:bidi w:val="0"/>
            </w:pPr>
            <w:r>
              <w:t>0.00E+00</w:t>
            </w:r>
          </w:p>
        </w:tc>
        <w:tc>
          <w:tcPr>
            <w:tcW w:w="959" w:type="dxa"/>
            <w:noWrap/>
            <w:vAlign w:val="center"/>
          </w:tcPr>
          <w:p w14:paraId="45752B73">
            <w:pPr>
              <w:pStyle w:val="1111"/>
              <w:bidi w:val="0"/>
            </w:pPr>
            <w:r>
              <w:t>0.00E+00</w:t>
            </w:r>
          </w:p>
        </w:tc>
      </w:tr>
      <w:tr w14:paraId="47D14C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91" w:type="dxa"/>
            <w:vMerge w:val="continue"/>
            <w:noWrap w:val="0"/>
            <w:vAlign w:val="center"/>
          </w:tcPr>
          <w:p w14:paraId="1FC2A95A">
            <w:pPr>
              <w:pStyle w:val="1111"/>
              <w:bidi w:val="0"/>
            </w:pPr>
          </w:p>
        </w:tc>
        <w:tc>
          <w:tcPr>
            <w:tcW w:w="1595" w:type="dxa"/>
            <w:noWrap/>
            <w:vAlign w:val="center"/>
          </w:tcPr>
          <w:p w14:paraId="32421192">
            <w:pPr>
              <w:pStyle w:val="1111"/>
              <w:bidi w:val="0"/>
              <w:rPr>
                <w:rFonts w:hint="eastAsia"/>
                <w:lang w:eastAsia="zh-CN"/>
              </w:rPr>
            </w:pPr>
            <w:r>
              <w:rPr>
                <w:rFonts w:hint="eastAsia"/>
                <w:lang w:eastAsia="zh-CN"/>
              </w:rPr>
              <w:t>连云港经济开发区疾病预防控制中心</w:t>
            </w:r>
          </w:p>
        </w:tc>
        <w:tc>
          <w:tcPr>
            <w:tcW w:w="989" w:type="dxa"/>
            <w:noWrap/>
            <w:vAlign w:val="center"/>
          </w:tcPr>
          <w:p w14:paraId="4BE3C963">
            <w:pPr>
              <w:pStyle w:val="1111"/>
              <w:bidi w:val="0"/>
              <w:rPr>
                <w:rFonts w:hint="default"/>
                <w:lang w:val="en-US" w:eastAsia="zh-CN"/>
              </w:rPr>
            </w:pPr>
            <w:r>
              <w:t>0.00E+00|5</w:t>
            </w:r>
          </w:p>
        </w:tc>
        <w:tc>
          <w:tcPr>
            <w:tcW w:w="894" w:type="dxa"/>
            <w:noWrap/>
            <w:vAlign w:val="center"/>
          </w:tcPr>
          <w:p w14:paraId="1E99BE5F">
            <w:pPr>
              <w:pStyle w:val="1111"/>
              <w:bidi w:val="0"/>
            </w:pPr>
            <w:r>
              <w:t>0.00E+00</w:t>
            </w:r>
          </w:p>
        </w:tc>
        <w:tc>
          <w:tcPr>
            <w:tcW w:w="958" w:type="dxa"/>
            <w:noWrap/>
            <w:vAlign w:val="center"/>
          </w:tcPr>
          <w:p w14:paraId="3AA0BBB7">
            <w:pPr>
              <w:pStyle w:val="1111"/>
              <w:bidi w:val="0"/>
            </w:pPr>
            <w:r>
              <w:t>0.00E+00</w:t>
            </w:r>
          </w:p>
        </w:tc>
        <w:tc>
          <w:tcPr>
            <w:tcW w:w="958" w:type="dxa"/>
            <w:noWrap/>
            <w:vAlign w:val="center"/>
          </w:tcPr>
          <w:p w14:paraId="7DCAC316">
            <w:pPr>
              <w:pStyle w:val="1111"/>
              <w:bidi w:val="0"/>
            </w:pPr>
            <w:r>
              <w:t>0.00E+00</w:t>
            </w:r>
          </w:p>
        </w:tc>
        <w:tc>
          <w:tcPr>
            <w:tcW w:w="958" w:type="dxa"/>
            <w:noWrap/>
            <w:vAlign w:val="center"/>
          </w:tcPr>
          <w:p w14:paraId="1EB072A6">
            <w:pPr>
              <w:pStyle w:val="1111"/>
              <w:bidi w:val="0"/>
            </w:pPr>
            <w:r>
              <w:t>0.00E+00</w:t>
            </w:r>
          </w:p>
        </w:tc>
        <w:tc>
          <w:tcPr>
            <w:tcW w:w="959" w:type="dxa"/>
            <w:noWrap/>
            <w:vAlign w:val="center"/>
          </w:tcPr>
          <w:p w14:paraId="42235B3C">
            <w:pPr>
              <w:pStyle w:val="1111"/>
              <w:bidi w:val="0"/>
            </w:pPr>
            <w:r>
              <w:t>0.00E+00</w:t>
            </w:r>
          </w:p>
        </w:tc>
        <w:tc>
          <w:tcPr>
            <w:tcW w:w="959" w:type="dxa"/>
            <w:noWrap/>
            <w:vAlign w:val="center"/>
          </w:tcPr>
          <w:p w14:paraId="1114C5F7">
            <w:pPr>
              <w:pStyle w:val="1111"/>
              <w:bidi w:val="0"/>
            </w:pPr>
            <w:r>
              <w:t>0.00E+00</w:t>
            </w:r>
          </w:p>
        </w:tc>
      </w:tr>
    </w:tbl>
    <w:p w14:paraId="33D49F5A">
      <w:pPr>
        <w:pStyle w:val="1111"/>
        <w:bidi w:val="0"/>
        <w:rPr>
          <w:rFonts w:hint="eastAsia"/>
          <w:lang w:eastAsia="zh-CN"/>
        </w:rPr>
      </w:pPr>
      <w:r>
        <w:drawing>
          <wp:inline distT="0" distB="0" distL="114300" distR="114300">
            <wp:extent cx="5610225" cy="2820035"/>
            <wp:effectExtent l="0" t="0" r="9525" b="18415"/>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56"/>
                    <a:stretch>
                      <a:fillRect/>
                    </a:stretch>
                  </pic:blipFill>
                  <pic:spPr>
                    <a:xfrm>
                      <a:off x="0" y="0"/>
                      <a:ext cx="5610225" cy="2820035"/>
                    </a:xfrm>
                    <a:prstGeom prst="rect">
                      <a:avLst/>
                    </a:prstGeom>
                    <a:noFill/>
                    <a:ln>
                      <a:noFill/>
                    </a:ln>
                  </pic:spPr>
                </pic:pic>
              </a:graphicData>
            </a:graphic>
          </wp:inline>
        </w:drawing>
      </w:r>
    </w:p>
    <w:p w14:paraId="4F7C7739">
      <w:pPr>
        <w:pStyle w:val="1111"/>
        <w:bidi w:val="0"/>
        <w:rPr>
          <w:rFonts w:hint="default"/>
          <w:lang w:val="en-US" w:eastAsia="zh-CN"/>
        </w:rPr>
      </w:pPr>
      <w:r>
        <w:rPr>
          <w:rFonts w:hint="eastAsia"/>
          <w:lang w:eastAsia="zh-CN"/>
        </w:rPr>
        <w:t>图</w:t>
      </w:r>
      <w:r>
        <w:rPr>
          <w:rFonts w:hint="eastAsia"/>
          <w:lang w:val="en-US" w:eastAsia="zh-CN"/>
        </w:rPr>
        <w:t>7-1 事故状态下</w:t>
      </w:r>
      <w:r>
        <w:rPr>
          <w:rFonts w:hint="eastAsia"/>
        </w:rPr>
        <w:t>火灾爆炸伴生/次生CO最大浓度与距离曲线图</w:t>
      </w:r>
    </w:p>
    <w:p w14:paraId="5F5E4B56">
      <w:pPr>
        <w:pStyle w:val="1111"/>
        <w:bidi w:val="0"/>
      </w:pPr>
      <w:r>
        <w:drawing>
          <wp:inline distT="0" distB="0" distL="114300" distR="114300">
            <wp:extent cx="5607685" cy="2658110"/>
            <wp:effectExtent l="0" t="0" r="12065" b="8890"/>
            <wp:docPr id="3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
                    <pic:cNvPicPr>
                      <a:picLocks noChangeAspect="1"/>
                    </pic:cNvPicPr>
                  </pic:nvPicPr>
                  <pic:blipFill>
                    <a:blip r:embed="rId57"/>
                    <a:stretch>
                      <a:fillRect/>
                    </a:stretch>
                  </pic:blipFill>
                  <pic:spPr>
                    <a:xfrm>
                      <a:off x="0" y="0"/>
                      <a:ext cx="5607685" cy="2658110"/>
                    </a:xfrm>
                    <a:prstGeom prst="rect">
                      <a:avLst/>
                    </a:prstGeom>
                    <a:noFill/>
                    <a:ln>
                      <a:noFill/>
                    </a:ln>
                  </pic:spPr>
                </pic:pic>
              </a:graphicData>
            </a:graphic>
          </wp:inline>
        </w:drawing>
      </w:r>
    </w:p>
    <w:p w14:paraId="082D5C79">
      <w:pPr>
        <w:pStyle w:val="1111"/>
        <w:bidi w:val="0"/>
        <w:rPr>
          <w:rFonts w:hint="default"/>
          <w:lang w:val="en-US" w:eastAsia="zh-CN"/>
        </w:rPr>
      </w:pPr>
      <w:r>
        <w:rPr>
          <w:rFonts w:hint="eastAsia"/>
          <w:lang w:eastAsia="zh-CN"/>
        </w:rPr>
        <w:t>图</w:t>
      </w:r>
      <w:r>
        <w:rPr>
          <w:rFonts w:hint="eastAsia"/>
          <w:lang w:val="en-US" w:eastAsia="zh-CN"/>
        </w:rPr>
        <w:t>7-2 事故状态下</w:t>
      </w:r>
      <w:r>
        <w:rPr>
          <w:rFonts w:hint="eastAsia"/>
        </w:rPr>
        <w:t>火灾爆炸伴生/次生CO浓度</w:t>
      </w:r>
      <w:r>
        <w:t>图</w:t>
      </w:r>
    </w:p>
    <w:p w14:paraId="0B0F3119">
      <w:pPr>
        <w:pStyle w:val="1111"/>
        <w:bidi w:val="0"/>
      </w:pPr>
      <w:r>
        <w:drawing>
          <wp:inline distT="0" distB="0" distL="114300" distR="114300">
            <wp:extent cx="5610225" cy="2820035"/>
            <wp:effectExtent l="0" t="0" r="9525" b="18415"/>
            <wp:docPr id="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
                    <pic:cNvPicPr>
                      <a:picLocks noChangeAspect="1"/>
                    </pic:cNvPicPr>
                  </pic:nvPicPr>
                  <pic:blipFill>
                    <a:blip r:embed="rId58"/>
                    <a:stretch>
                      <a:fillRect/>
                    </a:stretch>
                  </pic:blipFill>
                  <pic:spPr>
                    <a:xfrm>
                      <a:off x="0" y="0"/>
                      <a:ext cx="5610225" cy="2820035"/>
                    </a:xfrm>
                    <a:prstGeom prst="rect">
                      <a:avLst/>
                    </a:prstGeom>
                    <a:noFill/>
                    <a:ln>
                      <a:noFill/>
                    </a:ln>
                  </pic:spPr>
                </pic:pic>
              </a:graphicData>
            </a:graphic>
          </wp:inline>
        </w:drawing>
      </w:r>
    </w:p>
    <w:p w14:paraId="353F583E">
      <w:pPr>
        <w:pStyle w:val="1111"/>
        <w:bidi w:val="0"/>
        <w:rPr>
          <w:rFonts w:hint="eastAsia"/>
          <w:lang w:eastAsia="zh-CN"/>
        </w:rPr>
      </w:pPr>
      <w:r>
        <w:rPr>
          <w:rFonts w:hint="eastAsia"/>
          <w:lang w:eastAsia="zh-CN"/>
        </w:rPr>
        <w:t>图</w:t>
      </w:r>
      <w:r>
        <w:rPr>
          <w:rFonts w:hint="eastAsia"/>
          <w:lang w:val="en-US" w:eastAsia="zh-CN"/>
        </w:rPr>
        <w:t>7-3 事故状态下</w:t>
      </w:r>
      <w:r>
        <w:rPr>
          <w:rFonts w:hint="eastAsia"/>
        </w:rPr>
        <w:t>火灾爆炸伴生/次生CO</w:t>
      </w:r>
      <w:r>
        <w:rPr>
          <w:rFonts w:hint="eastAsia"/>
          <w:lang w:eastAsia="zh-CN"/>
        </w:rPr>
        <w:t>敏感点处浓度随时间变化图</w:t>
      </w:r>
    </w:p>
    <w:p w14:paraId="6E5D039A">
      <w:pPr>
        <w:pStyle w:val="515"/>
        <w:bidi w:val="0"/>
      </w:pPr>
      <w:bookmarkStart w:id="31" w:name="_Toc146013792"/>
      <w:r>
        <w:rPr>
          <w:rFonts w:hint="eastAsia"/>
          <w:lang w:val="en-US" w:eastAsia="zh-CN"/>
        </w:rPr>
        <w:t>7</w:t>
      </w:r>
      <w:r>
        <w:t>.2地表水环境影响风险评价</w:t>
      </w:r>
      <w:bookmarkEnd w:id="31"/>
    </w:p>
    <w:p w14:paraId="6932A7C8">
      <w:pPr>
        <w:pStyle w:val="512"/>
        <w:bidi w:val="0"/>
      </w:pPr>
      <w:r>
        <w:t>本项目地表水环境环境风险评价等级为</w:t>
      </w:r>
      <w:r>
        <w:rPr>
          <w:rFonts w:hint="eastAsia"/>
          <w:lang w:eastAsia="zh-CN"/>
        </w:rPr>
        <w:t>二</w:t>
      </w:r>
      <w:r>
        <w:t>级，主要定性分析地表水环境影响后果</w:t>
      </w:r>
      <w:r>
        <w:rPr>
          <w:rFonts w:hint="eastAsia"/>
        </w:rPr>
        <w:t>。</w:t>
      </w:r>
    </w:p>
    <w:p w14:paraId="1366A609">
      <w:pPr>
        <w:pStyle w:val="512"/>
        <w:bidi w:val="0"/>
        <w:rPr>
          <w:rFonts w:hint="eastAsia"/>
        </w:rPr>
      </w:pPr>
      <w:r>
        <w:t>地表水事故情景主要为危险废物中液态危废泄漏和火灾消防尾水影响。发生火灾事故时，有毒有害物质和消防液混合产生大量污染废水，即事故状态废水</w:t>
      </w:r>
      <w:r>
        <w:rPr>
          <w:rFonts w:hint="eastAsia"/>
          <w:lang w:eastAsia="zh-CN"/>
        </w:rPr>
        <w:t>（</w:t>
      </w:r>
      <w:r>
        <w:t>或消防尾水</w:t>
      </w:r>
      <w:r>
        <w:rPr>
          <w:rFonts w:hint="eastAsia"/>
          <w:lang w:eastAsia="zh-CN"/>
        </w:rPr>
        <w:t>）</w:t>
      </w:r>
      <w:r>
        <w:rPr>
          <w:rFonts w:hint="eastAsia"/>
        </w:rPr>
        <w:t>。</w:t>
      </w:r>
      <w:r>
        <w:t>如果不对其加以收集、处置，必然会对企业所在地地表水造成污染。</w:t>
      </w:r>
      <w:r>
        <w:rPr>
          <w:rFonts w:hint="eastAsia"/>
        </w:rPr>
        <w:t>本项目</w:t>
      </w:r>
      <w:r>
        <w:t>发生火灾事故时使用消防水、泡沫或二氧化碳灭火时，混合消防废水会排入厂区内雨水排放管网，因此需确保雨污水排放口</w:t>
      </w:r>
      <w:r>
        <w:rPr>
          <w:rFonts w:hint="eastAsia"/>
          <w:lang w:eastAsia="zh-CN"/>
        </w:rPr>
        <w:t>（</w:t>
      </w:r>
      <w:r>
        <w:t>接管口</w:t>
      </w:r>
      <w:r>
        <w:rPr>
          <w:rFonts w:hint="eastAsia"/>
          <w:lang w:eastAsia="zh-CN"/>
        </w:rPr>
        <w:t>）</w:t>
      </w:r>
      <w:r>
        <w:t>切断装置处于关闭状态，防止消防废水流入雨水管线及污水管线进入附近水体，使厂区地面消防废水通过消防水收集系统流入事故应急池暂存，待事故结束后再处置。</w:t>
      </w:r>
    </w:p>
    <w:p w14:paraId="002E2D77">
      <w:pPr>
        <w:pStyle w:val="512"/>
        <w:bidi w:val="0"/>
        <w:rPr>
          <w:rFonts w:hint="eastAsia"/>
        </w:rPr>
      </w:pPr>
      <w:r>
        <w:t>针对企业污染来源及其特性，以实现达标排放和满足应急处置的要求，公司及园区层面建立污染源头、过程处理和最终排放的“三级防控”机制。公司配套设施(导流设施、</w:t>
      </w:r>
      <w:r>
        <w:rPr>
          <w:rFonts w:hint="eastAsia"/>
          <w:lang w:eastAsia="zh-CN"/>
        </w:rPr>
        <w:t>应急收集井</w:t>
      </w:r>
      <w:r>
        <w:t>)，</w:t>
      </w:r>
      <w:r>
        <w:rPr>
          <w:rFonts w:hint="eastAsia"/>
          <w:lang w:eastAsia="zh-CN"/>
        </w:rPr>
        <w:t>同时中华药港设置</w:t>
      </w:r>
      <w:r>
        <w:rPr>
          <w:rFonts w:hint="eastAsia"/>
          <w:lang w:val="en-US" w:eastAsia="zh-CN"/>
        </w:rPr>
        <w:t>1座事故池（</w:t>
      </w:r>
      <w:r>
        <w:t>兼消防尾水收集池</w:t>
      </w:r>
      <w:r>
        <w:rPr>
          <w:rFonts w:hint="eastAsia"/>
          <w:lang w:val="en-US" w:eastAsia="zh-CN"/>
        </w:rPr>
        <w:t>）</w:t>
      </w:r>
      <w:r>
        <w:t>及其配套设置（事故导排系统）作为轻微事故泄漏及污染雨水的一级防控设施，</w:t>
      </w:r>
      <w:r>
        <w:rPr>
          <w:rFonts w:hint="eastAsia"/>
          <w:lang w:val="en-US" w:eastAsia="zh-CN"/>
        </w:rPr>
        <w:t>本项目依托中华药港的雨水排口截流闸，</w:t>
      </w:r>
      <w:r>
        <w:t>作为较大事故泄漏物料和消防废水的二级防控设置。另外，园区建设</w:t>
      </w:r>
      <w:r>
        <w:rPr>
          <w:rFonts w:hint="eastAsia"/>
          <w:lang w:eastAsia="zh-CN"/>
        </w:rPr>
        <w:t>河道闸坝及其他</w:t>
      </w:r>
      <w:r>
        <w:t>设施</w:t>
      </w:r>
      <w:r>
        <w:rPr>
          <w:rFonts w:hint="eastAsia"/>
          <w:lang w:eastAsia="zh-CN"/>
        </w:rPr>
        <w:t>的</w:t>
      </w:r>
      <w:r>
        <w:rPr>
          <w:rFonts w:hint="eastAsia"/>
          <w:lang w:val="en-US" w:eastAsia="zh-CN"/>
        </w:rPr>
        <w:t>三级防控设置</w:t>
      </w:r>
      <w:r>
        <w:t>，防止园区内企业发生重大事故泄漏和消防废水对地表水体造成污染，将污染物控制在园区内。因此，事故状态下，消防尾水不会直接进入厂区外地表水体。</w:t>
      </w:r>
    </w:p>
    <w:p w14:paraId="25986411">
      <w:pPr>
        <w:pStyle w:val="512"/>
        <w:bidi w:val="0"/>
      </w:pPr>
      <w:r>
        <w:t>公司</w:t>
      </w:r>
      <w:r>
        <w:rPr>
          <w:rFonts w:hint="eastAsia"/>
        </w:rPr>
        <w:t>按照“单元-厂区-园区/区域</w:t>
      </w:r>
      <w:r>
        <w:rPr>
          <w:rFonts w:hint="eastAsia"/>
          <w:lang w:eastAsia="zh-CN"/>
        </w:rPr>
        <w:t>”</w:t>
      </w:r>
      <w:r>
        <w:rPr>
          <w:rFonts w:hint="eastAsia"/>
        </w:rPr>
        <w:t>环境风险防控体系要求，设置三级应急防范体系，详细如下：</w:t>
      </w:r>
    </w:p>
    <w:p w14:paraId="0352CA26">
      <w:pPr>
        <w:pStyle w:val="1111"/>
        <w:bidi w:val="0"/>
      </w:pPr>
      <w:r>
        <w:t>表</w:t>
      </w:r>
      <w:r>
        <w:rPr>
          <w:rFonts w:hint="eastAsia"/>
          <w:lang w:val="en-US" w:eastAsia="zh-CN"/>
        </w:rPr>
        <w:t>7-5</w:t>
      </w:r>
      <w:r>
        <w:t xml:space="preserve"> </w:t>
      </w:r>
      <w:r>
        <w:rPr>
          <w:rFonts w:hint="eastAsia"/>
        </w:rPr>
        <w:t>“单元-厂区-园区/区域</w:t>
      </w:r>
      <w:r>
        <w:rPr>
          <w:rFonts w:hint="eastAsia"/>
          <w:lang w:eastAsia="zh-CN"/>
        </w:rPr>
        <w:t>”</w:t>
      </w:r>
      <w:r>
        <w:rPr>
          <w:rFonts w:hint="eastAsia"/>
        </w:rPr>
        <w:t>环境风险防控体系</w:t>
      </w:r>
    </w:p>
    <w:tbl>
      <w:tblPr>
        <w:tblStyle w:val="77"/>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85"/>
        <w:gridCol w:w="1246"/>
        <w:gridCol w:w="1675"/>
        <w:gridCol w:w="2634"/>
        <w:gridCol w:w="2913"/>
      </w:tblGrid>
      <w:tr w14:paraId="632CD2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23" w:type="pct"/>
            <w:tcBorders>
              <w:tl2br w:val="nil"/>
              <w:tr2bl w:val="nil"/>
            </w:tcBorders>
            <w:shd w:val="clear" w:color="auto" w:fill="FFFFFF"/>
            <w:vAlign w:val="center"/>
          </w:tcPr>
          <w:p w14:paraId="6283B4DE">
            <w:pPr>
              <w:pStyle w:val="1111"/>
              <w:bidi w:val="0"/>
            </w:pPr>
            <w:r>
              <w:rPr>
                <w:rFonts w:hint="eastAsia"/>
              </w:rPr>
              <w:t>序号</w:t>
            </w:r>
          </w:p>
        </w:tc>
        <w:tc>
          <w:tcPr>
            <w:tcW w:w="688" w:type="pct"/>
            <w:tcBorders>
              <w:tl2br w:val="nil"/>
              <w:tr2bl w:val="nil"/>
            </w:tcBorders>
            <w:shd w:val="clear" w:color="auto" w:fill="FFFFFF"/>
            <w:vAlign w:val="center"/>
          </w:tcPr>
          <w:p w14:paraId="6F4CEE9C">
            <w:pPr>
              <w:pStyle w:val="1111"/>
              <w:bidi w:val="0"/>
            </w:pPr>
            <w:r>
              <w:rPr>
                <w:rFonts w:hint="eastAsia"/>
              </w:rPr>
              <w:t>风险防控体系</w:t>
            </w:r>
          </w:p>
        </w:tc>
        <w:tc>
          <w:tcPr>
            <w:tcW w:w="925" w:type="pct"/>
            <w:tcBorders>
              <w:tl2br w:val="nil"/>
              <w:tr2bl w:val="nil"/>
            </w:tcBorders>
            <w:shd w:val="clear" w:color="auto" w:fill="FFFFFF"/>
            <w:vAlign w:val="center"/>
          </w:tcPr>
          <w:p w14:paraId="0A2EB8C2">
            <w:pPr>
              <w:pStyle w:val="1111"/>
              <w:bidi w:val="0"/>
            </w:pPr>
            <w:r>
              <w:rPr>
                <w:rFonts w:hint="eastAsia"/>
              </w:rPr>
              <w:t>类别</w:t>
            </w:r>
          </w:p>
        </w:tc>
        <w:tc>
          <w:tcPr>
            <w:tcW w:w="1455" w:type="pct"/>
            <w:tcBorders>
              <w:tl2br w:val="nil"/>
              <w:tr2bl w:val="nil"/>
            </w:tcBorders>
            <w:shd w:val="clear" w:color="auto" w:fill="FFFFFF"/>
            <w:vAlign w:val="center"/>
          </w:tcPr>
          <w:p w14:paraId="6BF56BC4">
            <w:pPr>
              <w:pStyle w:val="1111"/>
              <w:bidi w:val="0"/>
            </w:pPr>
            <w:r>
              <w:rPr>
                <w:rFonts w:hint="eastAsia"/>
              </w:rPr>
              <w:t>环境风险防范措施内容</w:t>
            </w:r>
          </w:p>
        </w:tc>
        <w:tc>
          <w:tcPr>
            <w:tcW w:w="1609" w:type="pct"/>
            <w:tcBorders>
              <w:tl2br w:val="nil"/>
              <w:tr2bl w:val="nil"/>
            </w:tcBorders>
            <w:shd w:val="clear" w:color="auto" w:fill="FFFFFF"/>
            <w:vAlign w:val="center"/>
          </w:tcPr>
          <w:p w14:paraId="04CF42BE">
            <w:pPr>
              <w:pStyle w:val="1111"/>
              <w:bidi w:val="0"/>
            </w:pPr>
            <w:r>
              <w:rPr>
                <w:rFonts w:hint="eastAsia"/>
              </w:rPr>
              <w:t>备注</w:t>
            </w:r>
          </w:p>
        </w:tc>
      </w:tr>
      <w:tr w14:paraId="1D7059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0483EFAD">
            <w:pPr>
              <w:pStyle w:val="1111"/>
              <w:bidi w:val="0"/>
            </w:pPr>
            <w:r>
              <w:rPr>
                <w:rFonts w:hint="eastAsia"/>
              </w:rPr>
              <w:t>1</w:t>
            </w:r>
          </w:p>
        </w:tc>
        <w:tc>
          <w:tcPr>
            <w:tcW w:w="688" w:type="pct"/>
            <w:tcBorders>
              <w:tl2br w:val="nil"/>
              <w:tr2bl w:val="nil"/>
            </w:tcBorders>
            <w:vAlign w:val="center"/>
          </w:tcPr>
          <w:p w14:paraId="703995A9">
            <w:pPr>
              <w:pStyle w:val="1111"/>
              <w:bidi w:val="0"/>
            </w:pPr>
            <w:r>
              <w:rPr>
                <w:rFonts w:hint="eastAsia"/>
              </w:rPr>
              <w:t>单元</w:t>
            </w:r>
          </w:p>
        </w:tc>
        <w:tc>
          <w:tcPr>
            <w:tcW w:w="925" w:type="pct"/>
            <w:tcBorders>
              <w:tl2br w:val="nil"/>
              <w:tr2bl w:val="nil"/>
            </w:tcBorders>
            <w:vAlign w:val="center"/>
          </w:tcPr>
          <w:p w14:paraId="06AC2CD8">
            <w:pPr>
              <w:pStyle w:val="1111"/>
              <w:bidi w:val="0"/>
            </w:pPr>
            <w:r>
              <w:rPr>
                <w:rFonts w:hint="eastAsia"/>
              </w:rPr>
              <w:t>围堰及导流设施的设置情况</w:t>
            </w:r>
          </w:p>
        </w:tc>
        <w:tc>
          <w:tcPr>
            <w:tcW w:w="1455" w:type="pct"/>
            <w:tcBorders>
              <w:tl2br w:val="nil"/>
              <w:tr2bl w:val="nil"/>
            </w:tcBorders>
            <w:vAlign w:val="center"/>
          </w:tcPr>
          <w:p w14:paraId="034EEE80">
            <w:pPr>
              <w:pStyle w:val="1111"/>
              <w:bidi w:val="0"/>
              <w:rPr>
                <w:rFonts w:hint="eastAsia" w:eastAsia="宋体"/>
                <w:lang w:eastAsia="zh-CN"/>
              </w:rPr>
            </w:pPr>
            <w:r>
              <w:rPr>
                <w:rFonts w:hint="eastAsia"/>
              </w:rPr>
              <w:t>危废库</w:t>
            </w:r>
            <w:r>
              <w:rPr>
                <w:rFonts w:hint="eastAsia"/>
                <w:lang w:eastAsia="zh-CN"/>
              </w:rPr>
              <w:t>在仓库门洞处修筑漫坡</w:t>
            </w:r>
            <w:r>
              <w:rPr>
                <w:rFonts w:hint="eastAsia"/>
              </w:rPr>
              <w:t>，并设置导流设施</w:t>
            </w:r>
            <w:r>
              <w:rPr>
                <w:rFonts w:hint="eastAsia"/>
                <w:lang w:eastAsia="zh-CN"/>
              </w:rPr>
              <w:t>；依托中华药港事故应急池</w:t>
            </w:r>
          </w:p>
        </w:tc>
        <w:tc>
          <w:tcPr>
            <w:tcW w:w="1609" w:type="pct"/>
            <w:tcBorders>
              <w:tl2br w:val="nil"/>
              <w:tr2bl w:val="nil"/>
            </w:tcBorders>
            <w:vAlign w:val="center"/>
          </w:tcPr>
          <w:p w14:paraId="60D2F2C1">
            <w:pPr>
              <w:pStyle w:val="1111"/>
              <w:bidi w:val="0"/>
            </w:pPr>
            <w:r>
              <w:rPr>
                <w:rFonts w:hint="eastAsia"/>
              </w:rPr>
              <w:t>确保发生废水废液事故时，各污染物能够控制在</w:t>
            </w:r>
            <w:r>
              <w:rPr>
                <w:rFonts w:hint="eastAsia"/>
                <w:lang w:eastAsia="zh-CN"/>
              </w:rPr>
              <w:t>存储间</w:t>
            </w:r>
            <w:r>
              <w:rPr>
                <w:rFonts w:hint="eastAsia"/>
              </w:rPr>
              <w:t>范围内，并通过导流设施将污染物收集</w:t>
            </w:r>
          </w:p>
        </w:tc>
      </w:tr>
      <w:tr w14:paraId="7FFD4F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496A7C8E">
            <w:pPr>
              <w:pStyle w:val="1111"/>
              <w:bidi w:val="0"/>
            </w:pPr>
            <w:r>
              <w:rPr>
                <w:rFonts w:hint="eastAsia"/>
              </w:rPr>
              <w:t>2</w:t>
            </w:r>
          </w:p>
        </w:tc>
        <w:tc>
          <w:tcPr>
            <w:tcW w:w="688" w:type="pct"/>
            <w:tcBorders>
              <w:tl2br w:val="nil"/>
              <w:tr2bl w:val="nil"/>
            </w:tcBorders>
            <w:vAlign w:val="center"/>
          </w:tcPr>
          <w:p w14:paraId="1FE462BC">
            <w:pPr>
              <w:pStyle w:val="1111"/>
              <w:bidi w:val="0"/>
            </w:pPr>
            <w:r>
              <w:rPr>
                <w:rFonts w:hint="eastAsia"/>
              </w:rPr>
              <w:t>厂区单位</w:t>
            </w:r>
          </w:p>
        </w:tc>
        <w:tc>
          <w:tcPr>
            <w:tcW w:w="925" w:type="pct"/>
            <w:tcBorders>
              <w:tl2br w:val="nil"/>
              <w:tr2bl w:val="nil"/>
            </w:tcBorders>
            <w:vAlign w:val="center"/>
          </w:tcPr>
          <w:p w14:paraId="52D9EF06">
            <w:pPr>
              <w:pStyle w:val="1111"/>
              <w:bidi w:val="0"/>
            </w:pPr>
            <w:r>
              <w:rPr>
                <w:rFonts w:hint="eastAsia"/>
              </w:rPr>
              <w:t>雨水系统、事故应急池的阀（闸）设置情况</w:t>
            </w:r>
          </w:p>
        </w:tc>
        <w:tc>
          <w:tcPr>
            <w:tcW w:w="1455" w:type="pct"/>
            <w:tcBorders>
              <w:tl2br w:val="nil"/>
              <w:tr2bl w:val="nil"/>
            </w:tcBorders>
            <w:vAlign w:val="center"/>
          </w:tcPr>
          <w:p w14:paraId="26F4E0D5">
            <w:pPr>
              <w:pStyle w:val="1111"/>
              <w:bidi w:val="0"/>
            </w:pPr>
            <w:r>
              <w:rPr>
                <w:rFonts w:hint="eastAsia"/>
                <w:lang w:eastAsia="zh-CN"/>
              </w:rPr>
              <w:t>依托中华药港</w:t>
            </w:r>
            <w:r>
              <w:rPr>
                <w:rFonts w:hint="eastAsia"/>
              </w:rPr>
              <w:t>雨水排放口截流阀；事故应急池进出口均设置阀（闸）</w:t>
            </w:r>
          </w:p>
        </w:tc>
        <w:tc>
          <w:tcPr>
            <w:tcW w:w="1609" w:type="pct"/>
            <w:tcBorders>
              <w:tl2br w:val="nil"/>
              <w:tr2bl w:val="nil"/>
            </w:tcBorders>
            <w:vAlign w:val="center"/>
          </w:tcPr>
          <w:p w14:paraId="45AE557E">
            <w:pPr>
              <w:pStyle w:val="1111"/>
              <w:bidi w:val="0"/>
            </w:pPr>
            <w:r>
              <w:rPr>
                <w:rFonts w:hint="eastAsia"/>
              </w:rPr>
              <w:t>一旦厂区内发生泄露事故，应立刻关闭雨水阀门，确保污染物不会出厂区。打开事故应急池入口阀（闸），将污染物导流进入事故应急池</w:t>
            </w:r>
          </w:p>
        </w:tc>
      </w:tr>
      <w:tr w14:paraId="5083CE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3" w:type="pct"/>
            <w:tcBorders>
              <w:tl2br w:val="nil"/>
              <w:tr2bl w:val="nil"/>
            </w:tcBorders>
            <w:vAlign w:val="center"/>
          </w:tcPr>
          <w:p w14:paraId="0077A971">
            <w:pPr>
              <w:pStyle w:val="1111"/>
              <w:bidi w:val="0"/>
            </w:pPr>
            <w:r>
              <w:rPr>
                <w:rFonts w:hint="eastAsia"/>
              </w:rPr>
              <w:t>3</w:t>
            </w:r>
          </w:p>
        </w:tc>
        <w:tc>
          <w:tcPr>
            <w:tcW w:w="688" w:type="pct"/>
            <w:tcBorders>
              <w:tl2br w:val="nil"/>
              <w:tr2bl w:val="nil"/>
            </w:tcBorders>
            <w:vAlign w:val="center"/>
          </w:tcPr>
          <w:p w14:paraId="2574DCCF">
            <w:pPr>
              <w:pStyle w:val="1111"/>
              <w:bidi w:val="0"/>
            </w:pPr>
            <w:r>
              <w:rPr>
                <w:rFonts w:hint="eastAsia"/>
              </w:rPr>
              <w:t>园区单元</w:t>
            </w:r>
          </w:p>
        </w:tc>
        <w:tc>
          <w:tcPr>
            <w:tcW w:w="925" w:type="pct"/>
            <w:tcBorders>
              <w:tl2br w:val="nil"/>
              <w:tr2bl w:val="nil"/>
            </w:tcBorders>
            <w:vAlign w:val="center"/>
          </w:tcPr>
          <w:p w14:paraId="7D78563C">
            <w:pPr>
              <w:pStyle w:val="1111"/>
              <w:bidi w:val="0"/>
            </w:pPr>
            <w:r>
              <w:rPr>
                <w:rFonts w:hint="eastAsia"/>
              </w:rPr>
              <w:t>河道闸坝及其他封堵设施等</w:t>
            </w:r>
          </w:p>
        </w:tc>
        <w:tc>
          <w:tcPr>
            <w:tcW w:w="1455" w:type="pct"/>
            <w:tcBorders>
              <w:tl2br w:val="nil"/>
              <w:tr2bl w:val="nil"/>
            </w:tcBorders>
            <w:vAlign w:val="center"/>
          </w:tcPr>
          <w:p w14:paraId="1E7C4ABD">
            <w:pPr>
              <w:pStyle w:val="1111"/>
              <w:bidi w:val="0"/>
            </w:pPr>
            <w:r>
              <w:rPr>
                <w:rFonts w:hint="eastAsia"/>
              </w:rPr>
              <w:t>本项目与园区设施衔接，园区设置闸门</w:t>
            </w:r>
          </w:p>
        </w:tc>
        <w:tc>
          <w:tcPr>
            <w:tcW w:w="1609" w:type="pct"/>
            <w:tcBorders>
              <w:tl2br w:val="nil"/>
              <w:tr2bl w:val="nil"/>
            </w:tcBorders>
            <w:vAlign w:val="center"/>
          </w:tcPr>
          <w:p w14:paraId="5653191A">
            <w:pPr>
              <w:pStyle w:val="1111"/>
              <w:bidi w:val="0"/>
            </w:pPr>
            <w:r>
              <w:rPr>
                <w:rFonts w:hint="eastAsia"/>
              </w:rPr>
              <w:t>一旦污染物溢出厂外，</w:t>
            </w:r>
            <w:r>
              <w:rPr>
                <w:rFonts w:hint="eastAsia"/>
                <w:lang w:eastAsia="zh-CN"/>
              </w:rPr>
              <w:t>企业</w:t>
            </w:r>
            <w:r>
              <w:rPr>
                <w:rFonts w:hint="eastAsia"/>
              </w:rPr>
              <w:t>立刻联系园区应急应急管理部门，关闭闸门，将污染物控制在园区范围内</w:t>
            </w:r>
          </w:p>
        </w:tc>
      </w:tr>
    </w:tbl>
    <w:p w14:paraId="326EB9A2">
      <w:pPr>
        <w:pStyle w:val="512"/>
        <w:bidi w:val="0"/>
      </w:pPr>
      <w:r>
        <w:t>因此</w:t>
      </w:r>
      <w:r>
        <w:rPr>
          <w:rFonts w:hint="eastAsia"/>
        </w:rPr>
        <w:t>，</w:t>
      </w:r>
      <w:r>
        <w:t>正常情况下事故废水不会对</w:t>
      </w:r>
      <w:r>
        <w:rPr>
          <w:rFonts w:hint="eastAsia"/>
        </w:rPr>
        <w:t>外环境</w:t>
      </w:r>
      <w:r>
        <w:t>水体造成污染</w:t>
      </w:r>
      <w:r>
        <w:rPr>
          <w:rFonts w:hint="eastAsia"/>
        </w:rPr>
        <w:t>。</w:t>
      </w:r>
    </w:p>
    <w:p w14:paraId="7E293B92">
      <w:pPr>
        <w:pStyle w:val="515"/>
        <w:bidi w:val="0"/>
      </w:pPr>
      <w:bookmarkStart w:id="32" w:name="_Toc146013793"/>
      <w:r>
        <w:rPr>
          <w:rFonts w:hint="eastAsia"/>
          <w:lang w:val="en-US" w:eastAsia="zh-CN"/>
        </w:rPr>
        <w:t>7</w:t>
      </w:r>
      <w:r>
        <w:t>.3地下水</w:t>
      </w:r>
      <w:r>
        <w:rPr>
          <w:rFonts w:hint="eastAsia"/>
        </w:rPr>
        <w:t>、土壤</w:t>
      </w:r>
      <w:r>
        <w:t>环境影响风险分析</w:t>
      </w:r>
      <w:bookmarkEnd w:id="32"/>
    </w:p>
    <w:p w14:paraId="618761BC">
      <w:pPr>
        <w:pStyle w:val="512"/>
        <w:bidi w:val="0"/>
      </w:pPr>
      <w:r>
        <w:t>根据导则要求，地下水环境风险潜势为简单分析，项目所在地不在集中式引用水水源地，也不在准保护区以外的补给径流区，包气带防污性能为D2，项目</w:t>
      </w:r>
      <w:r>
        <w:rPr>
          <w:rFonts w:hint="eastAsia"/>
        </w:rPr>
        <w:t>收集的液态危险废物</w:t>
      </w:r>
      <w:r>
        <w:t>泄漏到地面后可能会渗入地下水和土壤环境</w:t>
      </w:r>
      <w:r>
        <w:rPr>
          <w:rFonts w:hint="eastAsia"/>
        </w:rPr>
        <w:t>。企业固废管理较为规范，危废贮存场所均设有防腐防渗等防护措施，危险废物定期处置，造成土壤和地下水污染的可能性较小。</w:t>
      </w:r>
    </w:p>
    <w:p w14:paraId="18C17751">
      <w:pPr>
        <w:pStyle w:val="512"/>
        <w:bidi w:val="0"/>
      </w:pPr>
      <w:r>
        <w:rPr>
          <w:rFonts w:hint="eastAsia"/>
        </w:rPr>
        <w:t>本</w:t>
      </w:r>
      <w:r>
        <w:t>项目环境风险评价自查表详见表</w:t>
      </w:r>
      <w:r>
        <w:rPr>
          <w:rFonts w:hint="eastAsia"/>
          <w:lang w:val="en-US" w:eastAsia="zh-CN"/>
        </w:rPr>
        <w:t>7-6</w:t>
      </w:r>
      <w:r>
        <w:t>。</w:t>
      </w:r>
    </w:p>
    <w:p w14:paraId="05877362">
      <w:pPr>
        <w:pStyle w:val="1111"/>
        <w:bidi w:val="0"/>
      </w:pPr>
      <w:r>
        <w:t>表</w:t>
      </w:r>
      <w:r>
        <w:rPr>
          <w:rFonts w:hint="eastAsia"/>
          <w:lang w:val="en-US" w:eastAsia="zh-CN"/>
        </w:rPr>
        <w:t xml:space="preserve">7-6 </w:t>
      </w:r>
      <w:r>
        <w:t>项目环境风险评价自查表详见表</w:t>
      </w:r>
    </w:p>
    <w:tbl>
      <w:tblPr>
        <w:tblStyle w:val="77"/>
        <w:tblW w:w="468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13"/>
        <w:gridCol w:w="556"/>
        <w:gridCol w:w="1063"/>
        <w:gridCol w:w="1148"/>
        <w:gridCol w:w="328"/>
        <w:gridCol w:w="466"/>
        <w:gridCol w:w="122"/>
        <w:gridCol w:w="353"/>
        <w:gridCol w:w="519"/>
        <w:gridCol w:w="760"/>
        <w:gridCol w:w="117"/>
        <w:gridCol w:w="826"/>
        <w:gridCol w:w="451"/>
        <w:gridCol w:w="734"/>
        <w:gridCol w:w="305"/>
        <w:gridCol w:w="699"/>
      </w:tblGrid>
      <w:tr w14:paraId="5A2E7A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61" w:type="pct"/>
            <w:gridSpan w:val="2"/>
            <w:tcBorders>
              <w:tl2br w:val="nil"/>
              <w:tr2bl w:val="nil"/>
            </w:tcBorders>
            <w:shd w:val="clear" w:color="auto" w:fill="auto"/>
            <w:noWrap/>
            <w:vAlign w:val="center"/>
          </w:tcPr>
          <w:p w14:paraId="385FCEDB">
            <w:pPr>
              <w:pStyle w:val="1111"/>
              <w:bidi w:val="0"/>
            </w:pPr>
            <w:r>
              <w:t>工作内容</w:t>
            </w:r>
          </w:p>
        </w:tc>
        <w:tc>
          <w:tcPr>
            <w:tcW w:w="4338" w:type="pct"/>
            <w:gridSpan w:val="14"/>
            <w:tcBorders>
              <w:tl2br w:val="nil"/>
              <w:tr2bl w:val="nil"/>
            </w:tcBorders>
            <w:shd w:val="clear" w:color="auto" w:fill="auto"/>
            <w:noWrap/>
            <w:vAlign w:val="center"/>
          </w:tcPr>
          <w:p w14:paraId="30453EEA">
            <w:pPr>
              <w:pStyle w:val="1111"/>
              <w:bidi w:val="0"/>
            </w:pPr>
            <w:r>
              <w:t>完成情况</w:t>
            </w:r>
          </w:p>
        </w:tc>
      </w:tr>
      <w:tr w14:paraId="12D06E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45" w:type="pct"/>
            <w:vMerge w:val="restart"/>
            <w:tcBorders>
              <w:tl2br w:val="nil"/>
              <w:tr2bl w:val="nil"/>
            </w:tcBorders>
            <w:shd w:val="clear" w:color="auto" w:fill="auto"/>
            <w:noWrap/>
            <w:vAlign w:val="center"/>
          </w:tcPr>
          <w:p w14:paraId="3083873B">
            <w:pPr>
              <w:pStyle w:val="1111"/>
              <w:bidi w:val="0"/>
            </w:pPr>
            <w:r>
              <w:t>风险调查</w:t>
            </w:r>
          </w:p>
        </w:tc>
        <w:tc>
          <w:tcPr>
            <w:tcW w:w="315" w:type="pct"/>
            <w:vMerge w:val="restart"/>
            <w:tcBorders>
              <w:tl2br w:val="nil"/>
              <w:tr2bl w:val="nil"/>
            </w:tcBorders>
            <w:shd w:val="clear" w:color="auto" w:fill="auto"/>
            <w:noWrap/>
            <w:vAlign w:val="center"/>
          </w:tcPr>
          <w:p w14:paraId="7483C586">
            <w:pPr>
              <w:pStyle w:val="1111"/>
              <w:bidi w:val="0"/>
            </w:pPr>
            <w:r>
              <w:t>危险物质</w:t>
            </w:r>
          </w:p>
        </w:tc>
        <w:tc>
          <w:tcPr>
            <w:tcW w:w="577" w:type="pct"/>
            <w:tcBorders>
              <w:tl2br w:val="nil"/>
              <w:tr2bl w:val="nil"/>
            </w:tcBorders>
            <w:shd w:val="clear" w:color="auto" w:fill="auto"/>
            <w:noWrap/>
            <w:vAlign w:val="center"/>
          </w:tcPr>
          <w:p w14:paraId="22E52B6B">
            <w:pPr>
              <w:pStyle w:val="1111"/>
              <w:bidi w:val="0"/>
            </w:pPr>
            <w:r>
              <w:t>名称</w:t>
            </w:r>
          </w:p>
        </w:tc>
        <w:tc>
          <w:tcPr>
            <w:tcW w:w="630" w:type="pct"/>
            <w:tcBorders>
              <w:tl2br w:val="nil"/>
              <w:tr2bl w:val="nil"/>
            </w:tcBorders>
            <w:shd w:val="clear" w:color="auto" w:fill="auto"/>
            <w:noWrap/>
            <w:vAlign w:val="center"/>
          </w:tcPr>
          <w:p w14:paraId="245C228A">
            <w:pPr>
              <w:pStyle w:val="1111"/>
              <w:bidi w:val="0"/>
            </w:pPr>
            <w:r>
              <w:rPr>
                <w:rFonts w:hint="eastAsia"/>
              </w:rPr>
              <w:t>危险废物</w:t>
            </w:r>
          </w:p>
        </w:tc>
        <w:tc>
          <w:tcPr>
            <w:tcW w:w="708" w:type="pct"/>
            <w:gridSpan w:val="4"/>
            <w:tcBorders>
              <w:tl2br w:val="nil"/>
              <w:tr2bl w:val="nil"/>
            </w:tcBorders>
            <w:shd w:val="clear" w:color="auto" w:fill="auto"/>
            <w:vAlign w:val="center"/>
          </w:tcPr>
          <w:p w14:paraId="0BD9C0B0">
            <w:pPr>
              <w:pStyle w:val="1111"/>
              <w:bidi w:val="0"/>
            </w:pPr>
          </w:p>
        </w:tc>
        <w:tc>
          <w:tcPr>
            <w:tcW w:w="714" w:type="pct"/>
            <w:gridSpan w:val="2"/>
            <w:tcBorders>
              <w:tl2br w:val="nil"/>
              <w:tr2bl w:val="nil"/>
            </w:tcBorders>
            <w:shd w:val="clear" w:color="auto" w:fill="auto"/>
            <w:vAlign w:val="center"/>
          </w:tcPr>
          <w:p w14:paraId="57AB7686">
            <w:pPr>
              <w:pStyle w:val="1111"/>
              <w:bidi w:val="0"/>
            </w:pPr>
          </w:p>
        </w:tc>
        <w:tc>
          <w:tcPr>
            <w:tcW w:w="779" w:type="pct"/>
            <w:gridSpan w:val="3"/>
            <w:tcBorders>
              <w:tl2br w:val="nil"/>
              <w:tr2bl w:val="nil"/>
            </w:tcBorders>
            <w:shd w:val="clear" w:color="auto" w:fill="auto"/>
            <w:vAlign w:val="center"/>
          </w:tcPr>
          <w:p w14:paraId="34FA1ED6">
            <w:pPr>
              <w:pStyle w:val="1111"/>
              <w:bidi w:val="0"/>
            </w:pPr>
          </w:p>
        </w:tc>
        <w:tc>
          <w:tcPr>
            <w:tcW w:w="926" w:type="pct"/>
            <w:gridSpan w:val="3"/>
            <w:tcBorders>
              <w:tl2br w:val="nil"/>
              <w:tr2bl w:val="nil"/>
            </w:tcBorders>
            <w:shd w:val="clear" w:color="auto" w:fill="auto"/>
            <w:vAlign w:val="center"/>
          </w:tcPr>
          <w:p w14:paraId="1159DDE0">
            <w:pPr>
              <w:pStyle w:val="1111"/>
              <w:bidi w:val="0"/>
            </w:pPr>
          </w:p>
        </w:tc>
      </w:tr>
      <w:tr w14:paraId="57F59A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45" w:type="pct"/>
            <w:vMerge w:val="continue"/>
            <w:tcBorders>
              <w:tl2br w:val="nil"/>
              <w:tr2bl w:val="nil"/>
            </w:tcBorders>
            <w:shd w:val="clear" w:color="auto" w:fill="auto"/>
            <w:vAlign w:val="center"/>
          </w:tcPr>
          <w:p w14:paraId="68CAE3BF">
            <w:pPr>
              <w:pStyle w:val="1111"/>
              <w:bidi w:val="0"/>
            </w:pPr>
          </w:p>
        </w:tc>
        <w:tc>
          <w:tcPr>
            <w:tcW w:w="315" w:type="pct"/>
            <w:vMerge w:val="continue"/>
            <w:tcBorders>
              <w:tl2br w:val="nil"/>
              <w:tr2bl w:val="nil"/>
            </w:tcBorders>
            <w:shd w:val="clear" w:color="auto" w:fill="auto"/>
            <w:vAlign w:val="center"/>
          </w:tcPr>
          <w:p w14:paraId="5242AB60">
            <w:pPr>
              <w:pStyle w:val="1111"/>
              <w:bidi w:val="0"/>
            </w:pPr>
          </w:p>
        </w:tc>
        <w:tc>
          <w:tcPr>
            <w:tcW w:w="577" w:type="pct"/>
            <w:tcBorders>
              <w:tl2br w:val="nil"/>
              <w:tr2bl w:val="nil"/>
            </w:tcBorders>
            <w:shd w:val="clear" w:color="auto" w:fill="auto"/>
            <w:noWrap/>
            <w:vAlign w:val="center"/>
          </w:tcPr>
          <w:p w14:paraId="377DA137">
            <w:pPr>
              <w:pStyle w:val="1111"/>
              <w:bidi w:val="0"/>
            </w:pPr>
            <w:r>
              <w:t>存在总量/t</w:t>
            </w:r>
          </w:p>
        </w:tc>
        <w:tc>
          <w:tcPr>
            <w:tcW w:w="630" w:type="pct"/>
            <w:tcBorders>
              <w:tl2br w:val="nil"/>
              <w:tr2bl w:val="nil"/>
            </w:tcBorders>
            <w:shd w:val="clear" w:color="auto" w:fill="auto"/>
            <w:noWrap/>
            <w:vAlign w:val="center"/>
          </w:tcPr>
          <w:p w14:paraId="43D0CC64">
            <w:pPr>
              <w:pStyle w:val="1111"/>
              <w:bidi w:val="0"/>
              <w:rPr>
                <w:rFonts w:hint="default"/>
                <w:lang w:val="en-US" w:eastAsia="zh-CN"/>
              </w:rPr>
            </w:pPr>
            <w:r>
              <w:rPr>
                <w:rFonts w:hint="eastAsia"/>
                <w:lang w:val="en-US" w:eastAsia="zh-CN"/>
              </w:rPr>
              <w:t>137</w:t>
            </w:r>
          </w:p>
        </w:tc>
        <w:tc>
          <w:tcPr>
            <w:tcW w:w="708" w:type="pct"/>
            <w:gridSpan w:val="4"/>
            <w:tcBorders>
              <w:tl2br w:val="nil"/>
              <w:tr2bl w:val="nil"/>
            </w:tcBorders>
            <w:shd w:val="clear" w:color="auto" w:fill="auto"/>
            <w:vAlign w:val="center"/>
          </w:tcPr>
          <w:p w14:paraId="62F05AB2">
            <w:pPr>
              <w:pStyle w:val="1111"/>
              <w:bidi w:val="0"/>
            </w:pPr>
          </w:p>
        </w:tc>
        <w:tc>
          <w:tcPr>
            <w:tcW w:w="714" w:type="pct"/>
            <w:gridSpan w:val="2"/>
            <w:tcBorders>
              <w:tl2br w:val="nil"/>
              <w:tr2bl w:val="nil"/>
            </w:tcBorders>
            <w:shd w:val="clear" w:color="auto" w:fill="auto"/>
            <w:vAlign w:val="center"/>
          </w:tcPr>
          <w:p w14:paraId="2E105576">
            <w:pPr>
              <w:pStyle w:val="1111"/>
              <w:bidi w:val="0"/>
            </w:pPr>
          </w:p>
        </w:tc>
        <w:tc>
          <w:tcPr>
            <w:tcW w:w="779" w:type="pct"/>
            <w:gridSpan w:val="3"/>
            <w:tcBorders>
              <w:tl2br w:val="nil"/>
              <w:tr2bl w:val="nil"/>
            </w:tcBorders>
            <w:shd w:val="clear" w:color="auto" w:fill="auto"/>
            <w:vAlign w:val="center"/>
          </w:tcPr>
          <w:p w14:paraId="1AB5ECA7">
            <w:pPr>
              <w:pStyle w:val="1111"/>
              <w:bidi w:val="0"/>
            </w:pPr>
          </w:p>
        </w:tc>
        <w:tc>
          <w:tcPr>
            <w:tcW w:w="926" w:type="pct"/>
            <w:gridSpan w:val="3"/>
            <w:tcBorders>
              <w:tl2br w:val="nil"/>
              <w:tr2bl w:val="nil"/>
            </w:tcBorders>
            <w:shd w:val="clear" w:color="auto" w:fill="auto"/>
            <w:vAlign w:val="center"/>
          </w:tcPr>
          <w:p w14:paraId="64FDDA29">
            <w:pPr>
              <w:pStyle w:val="1111"/>
              <w:bidi w:val="0"/>
            </w:pPr>
          </w:p>
        </w:tc>
      </w:tr>
      <w:tr w14:paraId="410720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45" w:type="pct"/>
            <w:vMerge w:val="continue"/>
            <w:tcBorders>
              <w:tl2br w:val="nil"/>
              <w:tr2bl w:val="nil"/>
            </w:tcBorders>
            <w:shd w:val="clear" w:color="auto" w:fill="auto"/>
            <w:vAlign w:val="center"/>
          </w:tcPr>
          <w:p w14:paraId="4E7CBDD0">
            <w:pPr>
              <w:pStyle w:val="1111"/>
              <w:bidi w:val="0"/>
            </w:pPr>
          </w:p>
        </w:tc>
        <w:tc>
          <w:tcPr>
            <w:tcW w:w="315" w:type="pct"/>
            <w:vMerge w:val="restart"/>
            <w:tcBorders>
              <w:tl2br w:val="nil"/>
              <w:tr2bl w:val="nil"/>
            </w:tcBorders>
            <w:shd w:val="clear" w:color="auto" w:fill="auto"/>
            <w:noWrap/>
            <w:vAlign w:val="center"/>
          </w:tcPr>
          <w:p w14:paraId="1FB59493">
            <w:pPr>
              <w:pStyle w:val="1111"/>
              <w:bidi w:val="0"/>
            </w:pPr>
            <w:r>
              <w:t>环境敏感性</w:t>
            </w:r>
          </w:p>
        </w:tc>
        <w:tc>
          <w:tcPr>
            <w:tcW w:w="577" w:type="pct"/>
            <w:vMerge w:val="restart"/>
            <w:tcBorders>
              <w:tl2br w:val="nil"/>
              <w:tr2bl w:val="nil"/>
            </w:tcBorders>
            <w:shd w:val="clear" w:color="auto" w:fill="auto"/>
            <w:noWrap/>
            <w:vAlign w:val="center"/>
          </w:tcPr>
          <w:p w14:paraId="3D9EF586">
            <w:pPr>
              <w:pStyle w:val="1111"/>
              <w:bidi w:val="0"/>
            </w:pPr>
            <w:r>
              <w:t>大气</w:t>
            </w:r>
          </w:p>
        </w:tc>
        <w:tc>
          <w:tcPr>
            <w:tcW w:w="2054" w:type="pct"/>
            <w:gridSpan w:val="7"/>
            <w:tcBorders>
              <w:tl2br w:val="nil"/>
              <w:tr2bl w:val="nil"/>
            </w:tcBorders>
            <w:shd w:val="clear" w:color="auto" w:fill="auto"/>
            <w:noWrap/>
            <w:vAlign w:val="center"/>
          </w:tcPr>
          <w:p w14:paraId="672B9C25">
            <w:pPr>
              <w:pStyle w:val="1111"/>
              <w:bidi w:val="0"/>
            </w:pPr>
            <w:r>
              <w:t>500m范围内人口数50</w:t>
            </w:r>
            <w:r>
              <w:rPr>
                <w:rFonts w:hint="eastAsia"/>
              </w:rPr>
              <w:t>人</w:t>
            </w:r>
          </w:p>
        </w:tc>
        <w:tc>
          <w:tcPr>
            <w:tcW w:w="1706" w:type="pct"/>
            <w:gridSpan w:val="6"/>
            <w:tcBorders>
              <w:tl2br w:val="nil"/>
              <w:tr2bl w:val="nil"/>
            </w:tcBorders>
            <w:shd w:val="clear" w:color="auto" w:fill="auto"/>
            <w:noWrap/>
            <w:vAlign w:val="center"/>
          </w:tcPr>
          <w:p w14:paraId="3D6F2623">
            <w:pPr>
              <w:pStyle w:val="1111"/>
              <w:bidi w:val="0"/>
            </w:pPr>
            <w:r>
              <w:t>5km范围内人口数</w:t>
            </w:r>
            <w:r>
              <w:rPr>
                <w:rFonts w:hint="eastAsia"/>
                <w:lang w:val="en-US" w:eastAsia="zh-CN"/>
              </w:rPr>
              <w:t>110915</w:t>
            </w:r>
            <w:r>
              <w:t>人</w:t>
            </w:r>
          </w:p>
        </w:tc>
      </w:tr>
      <w:tr w14:paraId="501A87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45" w:type="pct"/>
            <w:vMerge w:val="continue"/>
            <w:tcBorders>
              <w:tl2br w:val="nil"/>
              <w:tr2bl w:val="nil"/>
            </w:tcBorders>
            <w:shd w:val="clear" w:color="auto" w:fill="auto"/>
            <w:vAlign w:val="center"/>
          </w:tcPr>
          <w:p w14:paraId="09E048E0">
            <w:pPr>
              <w:pStyle w:val="1111"/>
              <w:bidi w:val="0"/>
            </w:pPr>
          </w:p>
        </w:tc>
        <w:tc>
          <w:tcPr>
            <w:tcW w:w="315" w:type="pct"/>
            <w:vMerge w:val="continue"/>
            <w:tcBorders>
              <w:tl2br w:val="nil"/>
              <w:tr2bl w:val="nil"/>
            </w:tcBorders>
            <w:shd w:val="clear" w:color="auto" w:fill="auto"/>
            <w:vAlign w:val="center"/>
          </w:tcPr>
          <w:p w14:paraId="5C01BAB3">
            <w:pPr>
              <w:pStyle w:val="1111"/>
              <w:bidi w:val="0"/>
            </w:pPr>
          </w:p>
        </w:tc>
        <w:tc>
          <w:tcPr>
            <w:tcW w:w="577" w:type="pct"/>
            <w:vMerge w:val="continue"/>
            <w:tcBorders>
              <w:tl2br w:val="nil"/>
              <w:tr2bl w:val="nil"/>
            </w:tcBorders>
            <w:shd w:val="clear" w:color="auto" w:fill="auto"/>
            <w:vAlign w:val="center"/>
          </w:tcPr>
          <w:p w14:paraId="36F27FB3">
            <w:pPr>
              <w:pStyle w:val="1111"/>
              <w:bidi w:val="0"/>
            </w:pPr>
          </w:p>
        </w:tc>
        <w:tc>
          <w:tcPr>
            <w:tcW w:w="3255" w:type="pct"/>
            <w:gridSpan w:val="11"/>
            <w:tcBorders>
              <w:tl2br w:val="nil"/>
              <w:tr2bl w:val="nil"/>
            </w:tcBorders>
            <w:shd w:val="clear" w:color="auto" w:fill="auto"/>
            <w:noWrap/>
            <w:vAlign w:val="center"/>
          </w:tcPr>
          <w:p w14:paraId="1A81A377">
            <w:pPr>
              <w:pStyle w:val="1111"/>
              <w:bidi w:val="0"/>
            </w:pPr>
            <w:r>
              <w:t>每公里管段周边200m范围内人口数（最大）</w:t>
            </w:r>
          </w:p>
        </w:tc>
        <w:tc>
          <w:tcPr>
            <w:tcW w:w="504" w:type="pct"/>
            <w:gridSpan w:val="2"/>
            <w:tcBorders>
              <w:tl2br w:val="nil"/>
              <w:tr2bl w:val="nil"/>
            </w:tcBorders>
            <w:shd w:val="clear" w:color="auto" w:fill="auto"/>
            <w:noWrap/>
            <w:vAlign w:val="center"/>
          </w:tcPr>
          <w:p w14:paraId="05B192F6">
            <w:pPr>
              <w:pStyle w:val="1111"/>
              <w:bidi w:val="0"/>
              <w:rPr>
                <w:rFonts w:hint="eastAsia"/>
                <w:lang w:val="en-US" w:eastAsia="zh-CN"/>
              </w:rPr>
            </w:pPr>
            <w:r>
              <w:rPr>
                <w:rFonts w:hint="eastAsia"/>
                <w:lang w:val="en-US" w:eastAsia="zh-CN"/>
              </w:rPr>
              <w:t>/人</w:t>
            </w:r>
          </w:p>
        </w:tc>
      </w:tr>
      <w:tr w14:paraId="4786CC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45" w:type="pct"/>
            <w:vMerge w:val="continue"/>
            <w:tcBorders>
              <w:tl2br w:val="nil"/>
              <w:tr2bl w:val="nil"/>
            </w:tcBorders>
            <w:shd w:val="clear" w:color="auto" w:fill="auto"/>
            <w:vAlign w:val="center"/>
          </w:tcPr>
          <w:p w14:paraId="0DF96ADB">
            <w:pPr>
              <w:pStyle w:val="1111"/>
              <w:bidi w:val="0"/>
            </w:pPr>
          </w:p>
        </w:tc>
        <w:tc>
          <w:tcPr>
            <w:tcW w:w="315" w:type="pct"/>
            <w:vMerge w:val="continue"/>
            <w:tcBorders>
              <w:tl2br w:val="nil"/>
              <w:tr2bl w:val="nil"/>
            </w:tcBorders>
            <w:shd w:val="clear" w:color="auto" w:fill="auto"/>
            <w:vAlign w:val="center"/>
          </w:tcPr>
          <w:p w14:paraId="47C48F46">
            <w:pPr>
              <w:pStyle w:val="1111"/>
              <w:bidi w:val="0"/>
            </w:pPr>
          </w:p>
        </w:tc>
        <w:tc>
          <w:tcPr>
            <w:tcW w:w="577" w:type="pct"/>
            <w:vMerge w:val="restart"/>
            <w:tcBorders>
              <w:tl2br w:val="nil"/>
              <w:tr2bl w:val="nil"/>
            </w:tcBorders>
            <w:shd w:val="clear" w:color="auto" w:fill="auto"/>
            <w:noWrap/>
            <w:vAlign w:val="center"/>
          </w:tcPr>
          <w:p w14:paraId="4DF98757">
            <w:pPr>
              <w:pStyle w:val="1111"/>
              <w:bidi w:val="0"/>
            </w:pPr>
            <w:r>
              <w:t>地表水</w:t>
            </w:r>
          </w:p>
        </w:tc>
        <w:tc>
          <w:tcPr>
            <w:tcW w:w="1339" w:type="pct"/>
            <w:gridSpan w:val="5"/>
            <w:tcBorders>
              <w:tl2br w:val="nil"/>
              <w:tr2bl w:val="nil"/>
            </w:tcBorders>
            <w:shd w:val="clear" w:color="auto" w:fill="auto"/>
            <w:noWrap/>
            <w:vAlign w:val="center"/>
          </w:tcPr>
          <w:p w14:paraId="3BEDB6C4">
            <w:pPr>
              <w:pStyle w:val="1111"/>
              <w:bidi w:val="0"/>
            </w:pPr>
            <w:r>
              <w:t>地表水功能敏感性</w:t>
            </w:r>
          </w:p>
        </w:tc>
        <w:tc>
          <w:tcPr>
            <w:tcW w:w="714" w:type="pct"/>
            <w:gridSpan w:val="2"/>
            <w:tcBorders>
              <w:tl2br w:val="nil"/>
              <w:tr2bl w:val="nil"/>
            </w:tcBorders>
            <w:shd w:val="clear" w:color="auto" w:fill="auto"/>
            <w:noWrap/>
            <w:vAlign w:val="center"/>
          </w:tcPr>
          <w:p w14:paraId="0403EB5A">
            <w:pPr>
              <w:pStyle w:val="1111"/>
              <w:bidi w:val="0"/>
            </w:pPr>
            <w:r>
              <w:t>F1□</w:t>
            </w:r>
          </w:p>
        </w:tc>
        <w:tc>
          <w:tcPr>
            <w:tcW w:w="779" w:type="pct"/>
            <w:gridSpan w:val="3"/>
            <w:tcBorders>
              <w:tl2br w:val="nil"/>
              <w:tr2bl w:val="nil"/>
            </w:tcBorders>
            <w:shd w:val="clear" w:color="auto" w:fill="auto"/>
            <w:noWrap/>
            <w:vAlign w:val="center"/>
          </w:tcPr>
          <w:p w14:paraId="046260CC">
            <w:pPr>
              <w:pStyle w:val="1111"/>
              <w:bidi w:val="0"/>
            </w:pPr>
            <w:r>
              <w:t>F2√</w:t>
            </w:r>
          </w:p>
        </w:tc>
        <w:tc>
          <w:tcPr>
            <w:tcW w:w="926" w:type="pct"/>
            <w:gridSpan w:val="3"/>
            <w:tcBorders>
              <w:tl2br w:val="nil"/>
              <w:tr2bl w:val="nil"/>
            </w:tcBorders>
            <w:shd w:val="clear" w:color="auto" w:fill="auto"/>
            <w:noWrap/>
            <w:vAlign w:val="center"/>
          </w:tcPr>
          <w:p w14:paraId="113730A6">
            <w:pPr>
              <w:pStyle w:val="1111"/>
              <w:bidi w:val="0"/>
            </w:pPr>
            <w:r>
              <w:t>F3□</w:t>
            </w:r>
          </w:p>
        </w:tc>
      </w:tr>
      <w:tr w14:paraId="676697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45" w:type="pct"/>
            <w:vMerge w:val="continue"/>
            <w:tcBorders>
              <w:tl2br w:val="nil"/>
              <w:tr2bl w:val="nil"/>
            </w:tcBorders>
            <w:shd w:val="clear" w:color="auto" w:fill="auto"/>
            <w:vAlign w:val="center"/>
          </w:tcPr>
          <w:p w14:paraId="443C3C21">
            <w:pPr>
              <w:pStyle w:val="1111"/>
              <w:bidi w:val="0"/>
            </w:pPr>
          </w:p>
        </w:tc>
        <w:tc>
          <w:tcPr>
            <w:tcW w:w="315" w:type="pct"/>
            <w:vMerge w:val="continue"/>
            <w:tcBorders>
              <w:tl2br w:val="nil"/>
              <w:tr2bl w:val="nil"/>
            </w:tcBorders>
            <w:shd w:val="clear" w:color="auto" w:fill="auto"/>
            <w:vAlign w:val="center"/>
          </w:tcPr>
          <w:p w14:paraId="00106054">
            <w:pPr>
              <w:pStyle w:val="1111"/>
              <w:bidi w:val="0"/>
            </w:pPr>
          </w:p>
        </w:tc>
        <w:tc>
          <w:tcPr>
            <w:tcW w:w="577" w:type="pct"/>
            <w:vMerge w:val="continue"/>
            <w:tcBorders>
              <w:tl2br w:val="nil"/>
              <w:tr2bl w:val="nil"/>
            </w:tcBorders>
            <w:shd w:val="clear" w:color="auto" w:fill="auto"/>
            <w:vAlign w:val="center"/>
          </w:tcPr>
          <w:p w14:paraId="0C9AE569">
            <w:pPr>
              <w:pStyle w:val="1111"/>
              <w:bidi w:val="0"/>
            </w:pPr>
          </w:p>
        </w:tc>
        <w:tc>
          <w:tcPr>
            <w:tcW w:w="1339" w:type="pct"/>
            <w:gridSpan w:val="5"/>
            <w:tcBorders>
              <w:tl2br w:val="nil"/>
              <w:tr2bl w:val="nil"/>
            </w:tcBorders>
            <w:shd w:val="clear" w:color="auto" w:fill="auto"/>
            <w:noWrap/>
            <w:vAlign w:val="center"/>
          </w:tcPr>
          <w:p w14:paraId="57C9866D">
            <w:pPr>
              <w:pStyle w:val="1111"/>
              <w:bidi w:val="0"/>
            </w:pPr>
            <w:r>
              <w:t>环境敏感目标分级</w:t>
            </w:r>
          </w:p>
        </w:tc>
        <w:tc>
          <w:tcPr>
            <w:tcW w:w="714" w:type="pct"/>
            <w:gridSpan w:val="2"/>
            <w:tcBorders>
              <w:tl2br w:val="nil"/>
              <w:tr2bl w:val="nil"/>
            </w:tcBorders>
            <w:shd w:val="clear" w:color="auto" w:fill="auto"/>
            <w:noWrap/>
            <w:vAlign w:val="center"/>
          </w:tcPr>
          <w:p w14:paraId="532A9A81">
            <w:pPr>
              <w:pStyle w:val="1111"/>
              <w:bidi w:val="0"/>
            </w:pPr>
            <w:r>
              <w:t>S1√</w:t>
            </w:r>
          </w:p>
        </w:tc>
        <w:tc>
          <w:tcPr>
            <w:tcW w:w="779" w:type="pct"/>
            <w:gridSpan w:val="3"/>
            <w:tcBorders>
              <w:tl2br w:val="nil"/>
              <w:tr2bl w:val="nil"/>
            </w:tcBorders>
            <w:shd w:val="clear" w:color="auto" w:fill="auto"/>
            <w:noWrap/>
            <w:vAlign w:val="center"/>
          </w:tcPr>
          <w:p w14:paraId="72B81C29">
            <w:pPr>
              <w:pStyle w:val="1111"/>
              <w:bidi w:val="0"/>
            </w:pPr>
            <w:r>
              <w:t>S2□</w:t>
            </w:r>
          </w:p>
        </w:tc>
        <w:tc>
          <w:tcPr>
            <w:tcW w:w="926" w:type="pct"/>
            <w:gridSpan w:val="3"/>
            <w:tcBorders>
              <w:tl2br w:val="nil"/>
              <w:tr2bl w:val="nil"/>
            </w:tcBorders>
            <w:shd w:val="clear" w:color="auto" w:fill="auto"/>
            <w:noWrap/>
            <w:vAlign w:val="center"/>
          </w:tcPr>
          <w:p w14:paraId="33794CBD">
            <w:pPr>
              <w:pStyle w:val="1111"/>
              <w:bidi w:val="0"/>
            </w:pPr>
            <w:r>
              <w:t>S3□</w:t>
            </w:r>
          </w:p>
        </w:tc>
      </w:tr>
      <w:tr w14:paraId="68D7C0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45" w:type="pct"/>
            <w:vMerge w:val="continue"/>
            <w:tcBorders>
              <w:tl2br w:val="nil"/>
              <w:tr2bl w:val="nil"/>
            </w:tcBorders>
            <w:shd w:val="clear" w:color="auto" w:fill="auto"/>
            <w:vAlign w:val="center"/>
          </w:tcPr>
          <w:p w14:paraId="662587AD">
            <w:pPr>
              <w:pStyle w:val="1111"/>
              <w:bidi w:val="0"/>
            </w:pPr>
          </w:p>
        </w:tc>
        <w:tc>
          <w:tcPr>
            <w:tcW w:w="315" w:type="pct"/>
            <w:vMerge w:val="continue"/>
            <w:tcBorders>
              <w:tl2br w:val="nil"/>
              <w:tr2bl w:val="nil"/>
            </w:tcBorders>
            <w:shd w:val="clear" w:color="auto" w:fill="auto"/>
            <w:vAlign w:val="center"/>
          </w:tcPr>
          <w:p w14:paraId="49BF9DC6">
            <w:pPr>
              <w:pStyle w:val="1111"/>
              <w:bidi w:val="0"/>
            </w:pPr>
          </w:p>
        </w:tc>
        <w:tc>
          <w:tcPr>
            <w:tcW w:w="577" w:type="pct"/>
            <w:vMerge w:val="restart"/>
            <w:tcBorders>
              <w:tl2br w:val="nil"/>
              <w:tr2bl w:val="nil"/>
            </w:tcBorders>
            <w:shd w:val="clear" w:color="auto" w:fill="auto"/>
            <w:noWrap/>
            <w:vAlign w:val="center"/>
          </w:tcPr>
          <w:p w14:paraId="5BC8FCC9">
            <w:pPr>
              <w:pStyle w:val="1111"/>
              <w:bidi w:val="0"/>
            </w:pPr>
            <w:r>
              <w:t>地下水</w:t>
            </w:r>
          </w:p>
        </w:tc>
        <w:tc>
          <w:tcPr>
            <w:tcW w:w="1339" w:type="pct"/>
            <w:gridSpan w:val="5"/>
            <w:tcBorders>
              <w:tl2br w:val="nil"/>
              <w:tr2bl w:val="nil"/>
            </w:tcBorders>
            <w:shd w:val="clear" w:color="auto" w:fill="auto"/>
            <w:noWrap/>
            <w:vAlign w:val="center"/>
          </w:tcPr>
          <w:p w14:paraId="73CA9A26">
            <w:pPr>
              <w:pStyle w:val="1111"/>
              <w:bidi w:val="0"/>
            </w:pPr>
            <w:r>
              <w:t>地下水功能敏感性</w:t>
            </w:r>
          </w:p>
        </w:tc>
        <w:tc>
          <w:tcPr>
            <w:tcW w:w="714" w:type="pct"/>
            <w:gridSpan w:val="2"/>
            <w:tcBorders>
              <w:tl2br w:val="nil"/>
              <w:tr2bl w:val="nil"/>
            </w:tcBorders>
            <w:shd w:val="clear" w:color="auto" w:fill="auto"/>
            <w:noWrap/>
            <w:vAlign w:val="center"/>
          </w:tcPr>
          <w:p w14:paraId="6D46BEA0">
            <w:pPr>
              <w:pStyle w:val="1111"/>
              <w:bidi w:val="0"/>
            </w:pPr>
            <w:r>
              <w:t>G1□</w:t>
            </w:r>
          </w:p>
        </w:tc>
        <w:tc>
          <w:tcPr>
            <w:tcW w:w="779" w:type="pct"/>
            <w:gridSpan w:val="3"/>
            <w:tcBorders>
              <w:tl2br w:val="nil"/>
              <w:tr2bl w:val="nil"/>
            </w:tcBorders>
            <w:shd w:val="clear" w:color="auto" w:fill="auto"/>
            <w:noWrap/>
            <w:vAlign w:val="center"/>
          </w:tcPr>
          <w:p w14:paraId="3937C86D">
            <w:pPr>
              <w:pStyle w:val="1111"/>
              <w:bidi w:val="0"/>
            </w:pPr>
            <w:r>
              <w:t>G2□</w:t>
            </w:r>
          </w:p>
        </w:tc>
        <w:tc>
          <w:tcPr>
            <w:tcW w:w="926" w:type="pct"/>
            <w:gridSpan w:val="3"/>
            <w:tcBorders>
              <w:tl2br w:val="nil"/>
              <w:tr2bl w:val="nil"/>
            </w:tcBorders>
            <w:shd w:val="clear" w:color="auto" w:fill="auto"/>
            <w:noWrap/>
            <w:vAlign w:val="center"/>
          </w:tcPr>
          <w:p w14:paraId="7FADCEA8">
            <w:pPr>
              <w:pStyle w:val="1111"/>
              <w:bidi w:val="0"/>
            </w:pPr>
            <w:r>
              <w:t>G3√</w:t>
            </w:r>
          </w:p>
        </w:tc>
      </w:tr>
      <w:tr w14:paraId="0DF725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45" w:type="pct"/>
            <w:vMerge w:val="continue"/>
            <w:tcBorders>
              <w:tl2br w:val="nil"/>
              <w:tr2bl w:val="nil"/>
            </w:tcBorders>
            <w:shd w:val="clear" w:color="auto" w:fill="auto"/>
            <w:vAlign w:val="center"/>
          </w:tcPr>
          <w:p w14:paraId="604EB8BF">
            <w:pPr>
              <w:pStyle w:val="1111"/>
              <w:bidi w:val="0"/>
            </w:pPr>
          </w:p>
        </w:tc>
        <w:tc>
          <w:tcPr>
            <w:tcW w:w="315" w:type="pct"/>
            <w:vMerge w:val="continue"/>
            <w:tcBorders>
              <w:tl2br w:val="nil"/>
              <w:tr2bl w:val="nil"/>
            </w:tcBorders>
            <w:shd w:val="clear" w:color="auto" w:fill="auto"/>
            <w:vAlign w:val="center"/>
          </w:tcPr>
          <w:p w14:paraId="70E2108C">
            <w:pPr>
              <w:pStyle w:val="1111"/>
              <w:bidi w:val="0"/>
            </w:pPr>
          </w:p>
        </w:tc>
        <w:tc>
          <w:tcPr>
            <w:tcW w:w="577" w:type="pct"/>
            <w:vMerge w:val="continue"/>
            <w:tcBorders>
              <w:tl2br w:val="nil"/>
              <w:tr2bl w:val="nil"/>
            </w:tcBorders>
            <w:shd w:val="clear" w:color="auto" w:fill="auto"/>
            <w:vAlign w:val="center"/>
          </w:tcPr>
          <w:p w14:paraId="7AC6AACF">
            <w:pPr>
              <w:pStyle w:val="1111"/>
              <w:bidi w:val="0"/>
            </w:pPr>
          </w:p>
        </w:tc>
        <w:tc>
          <w:tcPr>
            <w:tcW w:w="1339" w:type="pct"/>
            <w:gridSpan w:val="5"/>
            <w:tcBorders>
              <w:tl2br w:val="nil"/>
              <w:tr2bl w:val="nil"/>
            </w:tcBorders>
            <w:shd w:val="clear" w:color="auto" w:fill="auto"/>
            <w:noWrap/>
            <w:vAlign w:val="center"/>
          </w:tcPr>
          <w:p w14:paraId="4177251B">
            <w:pPr>
              <w:pStyle w:val="1111"/>
              <w:bidi w:val="0"/>
            </w:pPr>
            <w:r>
              <w:t>包气带防污性能</w:t>
            </w:r>
          </w:p>
        </w:tc>
        <w:tc>
          <w:tcPr>
            <w:tcW w:w="714" w:type="pct"/>
            <w:gridSpan w:val="2"/>
            <w:tcBorders>
              <w:tl2br w:val="nil"/>
              <w:tr2bl w:val="nil"/>
            </w:tcBorders>
            <w:shd w:val="clear" w:color="auto" w:fill="auto"/>
            <w:noWrap/>
            <w:vAlign w:val="center"/>
          </w:tcPr>
          <w:p w14:paraId="42D769F0">
            <w:pPr>
              <w:pStyle w:val="1111"/>
              <w:bidi w:val="0"/>
            </w:pPr>
            <w:r>
              <w:t>D1□</w:t>
            </w:r>
          </w:p>
        </w:tc>
        <w:tc>
          <w:tcPr>
            <w:tcW w:w="779" w:type="pct"/>
            <w:gridSpan w:val="3"/>
            <w:tcBorders>
              <w:tl2br w:val="nil"/>
              <w:tr2bl w:val="nil"/>
            </w:tcBorders>
            <w:shd w:val="clear" w:color="auto" w:fill="auto"/>
            <w:noWrap/>
            <w:vAlign w:val="center"/>
          </w:tcPr>
          <w:p w14:paraId="58FC5AEC">
            <w:pPr>
              <w:pStyle w:val="1111"/>
              <w:bidi w:val="0"/>
            </w:pPr>
            <w:r>
              <w:t>D2√</w:t>
            </w:r>
          </w:p>
        </w:tc>
        <w:tc>
          <w:tcPr>
            <w:tcW w:w="926" w:type="pct"/>
            <w:gridSpan w:val="3"/>
            <w:tcBorders>
              <w:tl2br w:val="nil"/>
              <w:tr2bl w:val="nil"/>
            </w:tcBorders>
            <w:shd w:val="clear" w:color="auto" w:fill="auto"/>
            <w:noWrap/>
            <w:vAlign w:val="center"/>
          </w:tcPr>
          <w:p w14:paraId="0091DD28">
            <w:pPr>
              <w:pStyle w:val="1111"/>
              <w:bidi w:val="0"/>
            </w:pPr>
            <w:r>
              <w:t>D3□</w:t>
            </w:r>
          </w:p>
        </w:tc>
      </w:tr>
      <w:tr w14:paraId="5300B1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61" w:type="pct"/>
            <w:gridSpan w:val="2"/>
            <w:vMerge w:val="restart"/>
            <w:tcBorders>
              <w:tl2br w:val="nil"/>
              <w:tr2bl w:val="nil"/>
            </w:tcBorders>
            <w:shd w:val="clear" w:color="auto" w:fill="auto"/>
            <w:noWrap/>
            <w:vAlign w:val="center"/>
          </w:tcPr>
          <w:p w14:paraId="5F811D5F">
            <w:pPr>
              <w:pStyle w:val="1111"/>
              <w:bidi w:val="0"/>
            </w:pPr>
            <w:r>
              <w:t>物质及工艺系统危险性</w:t>
            </w:r>
          </w:p>
        </w:tc>
        <w:tc>
          <w:tcPr>
            <w:tcW w:w="577" w:type="pct"/>
            <w:tcBorders>
              <w:tl2br w:val="nil"/>
              <w:tr2bl w:val="nil"/>
            </w:tcBorders>
            <w:shd w:val="clear" w:color="auto" w:fill="auto"/>
            <w:noWrap/>
            <w:vAlign w:val="center"/>
          </w:tcPr>
          <w:p w14:paraId="7332ECE9">
            <w:pPr>
              <w:pStyle w:val="1111"/>
              <w:bidi w:val="0"/>
            </w:pPr>
            <w:r>
              <w:t>Q值</w:t>
            </w:r>
          </w:p>
        </w:tc>
        <w:tc>
          <w:tcPr>
            <w:tcW w:w="1339" w:type="pct"/>
            <w:gridSpan w:val="5"/>
            <w:tcBorders>
              <w:tl2br w:val="nil"/>
              <w:tr2bl w:val="nil"/>
            </w:tcBorders>
            <w:shd w:val="clear" w:color="auto" w:fill="auto"/>
            <w:noWrap/>
            <w:vAlign w:val="center"/>
          </w:tcPr>
          <w:p w14:paraId="5D88B2BE">
            <w:pPr>
              <w:pStyle w:val="1111"/>
              <w:bidi w:val="0"/>
            </w:pPr>
            <w:r>
              <w:t>Q1&lt;1□</w:t>
            </w:r>
          </w:p>
        </w:tc>
        <w:tc>
          <w:tcPr>
            <w:tcW w:w="714" w:type="pct"/>
            <w:gridSpan w:val="2"/>
            <w:tcBorders>
              <w:tl2br w:val="nil"/>
              <w:tr2bl w:val="nil"/>
            </w:tcBorders>
            <w:shd w:val="clear" w:color="auto" w:fill="auto"/>
            <w:noWrap/>
            <w:vAlign w:val="center"/>
          </w:tcPr>
          <w:p w14:paraId="37ACA127">
            <w:pPr>
              <w:pStyle w:val="1111"/>
              <w:bidi w:val="0"/>
            </w:pPr>
            <w:r>
              <w:t>1≤Q&lt;10√</w:t>
            </w:r>
          </w:p>
        </w:tc>
        <w:tc>
          <w:tcPr>
            <w:tcW w:w="779" w:type="pct"/>
            <w:gridSpan w:val="3"/>
            <w:tcBorders>
              <w:tl2br w:val="nil"/>
              <w:tr2bl w:val="nil"/>
            </w:tcBorders>
            <w:shd w:val="clear" w:color="auto" w:fill="auto"/>
            <w:noWrap/>
            <w:vAlign w:val="center"/>
          </w:tcPr>
          <w:p w14:paraId="66790350">
            <w:pPr>
              <w:pStyle w:val="1111"/>
              <w:bidi w:val="0"/>
            </w:pPr>
            <w:r>
              <w:t>10≤Q≤100□</w:t>
            </w:r>
          </w:p>
        </w:tc>
        <w:tc>
          <w:tcPr>
            <w:tcW w:w="926" w:type="pct"/>
            <w:gridSpan w:val="3"/>
            <w:tcBorders>
              <w:tl2br w:val="nil"/>
              <w:tr2bl w:val="nil"/>
            </w:tcBorders>
            <w:shd w:val="clear" w:color="auto" w:fill="auto"/>
            <w:noWrap/>
            <w:vAlign w:val="center"/>
          </w:tcPr>
          <w:p w14:paraId="17662BD5">
            <w:pPr>
              <w:pStyle w:val="1111"/>
              <w:bidi w:val="0"/>
            </w:pPr>
            <w:r>
              <w:t>Q≥100□</w:t>
            </w:r>
          </w:p>
        </w:tc>
      </w:tr>
      <w:tr w14:paraId="03FA38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61" w:type="pct"/>
            <w:gridSpan w:val="2"/>
            <w:vMerge w:val="continue"/>
            <w:tcBorders>
              <w:tl2br w:val="nil"/>
              <w:tr2bl w:val="nil"/>
            </w:tcBorders>
            <w:shd w:val="clear" w:color="auto" w:fill="auto"/>
            <w:vAlign w:val="center"/>
          </w:tcPr>
          <w:p w14:paraId="7FF72A0A">
            <w:pPr>
              <w:pStyle w:val="1111"/>
              <w:bidi w:val="0"/>
            </w:pPr>
          </w:p>
        </w:tc>
        <w:tc>
          <w:tcPr>
            <w:tcW w:w="577" w:type="pct"/>
            <w:tcBorders>
              <w:tl2br w:val="nil"/>
              <w:tr2bl w:val="nil"/>
            </w:tcBorders>
            <w:shd w:val="clear" w:color="auto" w:fill="auto"/>
            <w:noWrap/>
            <w:vAlign w:val="center"/>
          </w:tcPr>
          <w:p w14:paraId="0843226B">
            <w:pPr>
              <w:pStyle w:val="1111"/>
              <w:bidi w:val="0"/>
            </w:pPr>
            <w:r>
              <w:t>M值</w:t>
            </w:r>
          </w:p>
        </w:tc>
        <w:tc>
          <w:tcPr>
            <w:tcW w:w="1339" w:type="pct"/>
            <w:gridSpan w:val="5"/>
            <w:tcBorders>
              <w:tl2br w:val="nil"/>
              <w:tr2bl w:val="nil"/>
            </w:tcBorders>
            <w:shd w:val="clear" w:color="auto" w:fill="auto"/>
            <w:noWrap/>
            <w:vAlign w:val="center"/>
          </w:tcPr>
          <w:p w14:paraId="5F3B5BB4">
            <w:pPr>
              <w:pStyle w:val="1111"/>
              <w:bidi w:val="0"/>
            </w:pPr>
            <w:r>
              <w:t>M1□</w:t>
            </w:r>
          </w:p>
        </w:tc>
        <w:tc>
          <w:tcPr>
            <w:tcW w:w="714" w:type="pct"/>
            <w:gridSpan w:val="2"/>
            <w:tcBorders>
              <w:tl2br w:val="nil"/>
              <w:tr2bl w:val="nil"/>
            </w:tcBorders>
            <w:shd w:val="clear" w:color="auto" w:fill="auto"/>
            <w:noWrap/>
            <w:vAlign w:val="center"/>
          </w:tcPr>
          <w:p w14:paraId="19063680">
            <w:pPr>
              <w:pStyle w:val="1111"/>
              <w:bidi w:val="0"/>
            </w:pPr>
            <w:r>
              <w:t>M2□</w:t>
            </w:r>
          </w:p>
        </w:tc>
        <w:tc>
          <w:tcPr>
            <w:tcW w:w="779" w:type="pct"/>
            <w:gridSpan w:val="3"/>
            <w:tcBorders>
              <w:tl2br w:val="nil"/>
              <w:tr2bl w:val="nil"/>
            </w:tcBorders>
            <w:shd w:val="clear" w:color="auto" w:fill="auto"/>
            <w:noWrap/>
            <w:vAlign w:val="center"/>
          </w:tcPr>
          <w:p w14:paraId="0A888FA4">
            <w:pPr>
              <w:pStyle w:val="1111"/>
              <w:bidi w:val="0"/>
            </w:pPr>
            <w:r>
              <w:t>M3□</w:t>
            </w:r>
          </w:p>
        </w:tc>
        <w:tc>
          <w:tcPr>
            <w:tcW w:w="926" w:type="pct"/>
            <w:gridSpan w:val="3"/>
            <w:tcBorders>
              <w:tl2br w:val="nil"/>
              <w:tr2bl w:val="nil"/>
            </w:tcBorders>
            <w:shd w:val="clear" w:color="auto" w:fill="auto"/>
            <w:noWrap/>
            <w:vAlign w:val="center"/>
          </w:tcPr>
          <w:p w14:paraId="02E744D2">
            <w:pPr>
              <w:pStyle w:val="1111"/>
              <w:bidi w:val="0"/>
            </w:pPr>
            <w:r>
              <w:t>M4√</w:t>
            </w:r>
          </w:p>
        </w:tc>
      </w:tr>
      <w:tr w14:paraId="0B8912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61" w:type="pct"/>
            <w:gridSpan w:val="2"/>
            <w:vMerge w:val="continue"/>
            <w:tcBorders>
              <w:tl2br w:val="nil"/>
              <w:tr2bl w:val="nil"/>
            </w:tcBorders>
            <w:shd w:val="clear" w:color="auto" w:fill="auto"/>
            <w:vAlign w:val="center"/>
          </w:tcPr>
          <w:p w14:paraId="2C27A3CA">
            <w:pPr>
              <w:pStyle w:val="1111"/>
              <w:bidi w:val="0"/>
            </w:pPr>
          </w:p>
        </w:tc>
        <w:tc>
          <w:tcPr>
            <w:tcW w:w="577" w:type="pct"/>
            <w:tcBorders>
              <w:tl2br w:val="nil"/>
              <w:tr2bl w:val="nil"/>
            </w:tcBorders>
            <w:shd w:val="clear" w:color="auto" w:fill="auto"/>
            <w:noWrap/>
            <w:vAlign w:val="center"/>
          </w:tcPr>
          <w:p w14:paraId="1B01F682">
            <w:pPr>
              <w:pStyle w:val="1111"/>
              <w:bidi w:val="0"/>
            </w:pPr>
            <w:r>
              <w:t>P值</w:t>
            </w:r>
          </w:p>
        </w:tc>
        <w:tc>
          <w:tcPr>
            <w:tcW w:w="1339" w:type="pct"/>
            <w:gridSpan w:val="5"/>
            <w:tcBorders>
              <w:tl2br w:val="nil"/>
              <w:tr2bl w:val="nil"/>
            </w:tcBorders>
            <w:shd w:val="clear" w:color="auto" w:fill="auto"/>
            <w:noWrap/>
            <w:vAlign w:val="center"/>
          </w:tcPr>
          <w:p w14:paraId="5B4910B6">
            <w:pPr>
              <w:pStyle w:val="1111"/>
              <w:bidi w:val="0"/>
            </w:pPr>
            <w:r>
              <w:t>P1□</w:t>
            </w:r>
          </w:p>
        </w:tc>
        <w:tc>
          <w:tcPr>
            <w:tcW w:w="714" w:type="pct"/>
            <w:gridSpan w:val="2"/>
            <w:tcBorders>
              <w:tl2br w:val="nil"/>
              <w:tr2bl w:val="nil"/>
            </w:tcBorders>
            <w:shd w:val="clear" w:color="auto" w:fill="auto"/>
            <w:noWrap/>
            <w:vAlign w:val="center"/>
          </w:tcPr>
          <w:p w14:paraId="1B519C42">
            <w:pPr>
              <w:pStyle w:val="1111"/>
              <w:bidi w:val="0"/>
            </w:pPr>
            <w:r>
              <w:t>P2□</w:t>
            </w:r>
          </w:p>
        </w:tc>
        <w:tc>
          <w:tcPr>
            <w:tcW w:w="779" w:type="pct"/>
            <w:gridSpan w:val="3"/>
            <w:tcBorders>
              <w:tl2br w:val="nil"/>
              <w:tr2bl w:val="nil"/>
            </w:tcBorders>
            <w:shd w:val="clear" w:color="auto" w:fill="auto"/>
            <w:noWrap/>
            <w:vAlign w:val="center"/>
          </w:tcPr>
          <w:p w14:paraId="762AFBAC">
            <w:pPr>
              <w:pStyle w:val="1111"/>
              <w:bidi w:val="0"/>
            </w:pPr>
            <w:r>
              <w:t>P3□</w:t>
            </w:r>
          </w:p>
        </w:tc>
        <w:tc>
          <w:tcPr>
            <w:tcW w:w="926" w:type="pct"/>
            <w:gridSpan w:val="3"/>
            <w:tcBorders>
              <w:tl2br w:val="nil"/>
              <w:tr2bl w:val="nil"/>
            </w:tcBorders>
            <w:shd w:val="clear" w:color="auto" w:fill="auto"/>
            <w:noWrap/>
            <w:vAlign w:val="center"/>
          </w:tcPr>
          <w:p w14:paraId="22974B26">
            <w:pPr>
              <w:pStyle w:val="1111"/>
              <w:bidi w:val="0"/>
            </w:pPr>
            <w:r>
              <w:t>P4√</w:t>
            </w:r>
          </w:p>
        </w:tc>
      </w:tr>
      <w:tr w14:paraId="47F57C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61" w:type="pct"/>
            <w:gridSpan w:val="2"/>
            <w:vMerge w:val="restart"/>
            <w:tcBorders>
              <w:tl2br w:val="nil"/>
              <w:tr2bl w:val="nil"/>
            </w:tcBorders>
            <w:shd w:val="clear" w:color="auto" w:fill="auto"/>
            <w:noWrap/>
            <w:vAlign w:val="center"/>
          </w:tcPr>
          <w:p w14:paraId="507D5A86">
            <w:pPr>
              <w:pStyle w:val="1111"/>
              <w:bidi w:val="0"/>
            </w:pPr>
            <w:r>
              <w:t>环境敏感程度</w:t>
            </w:r>
          </w:p>
        </w:tc>
        <w:tc>
          <w:tcPr>
            <w:tcW w:w="577" w:type="pct"/>
            <w:tcBorders>
              <w:tl2br w:val="nil"/>
              <w:tr2bl w:val="nil"/>
            </w:tcBorders>
            <w:shd w:val="clear" w:color="auto" w:fill="auto"/>
            <w:noWrap/>
            <w:vAlign w:val="center"/>
          </w:tcPr>
          <w:p w14:paraId="0E35C2FA">
            <w:pPr>
              <w:pStyle w:val="1111"/>
              <w:bidi w:val="0"/>
            </w:pPr>
            <w:r>
              <w:t>大气</w:t>
            </w:r>
          </w:p>
        </w:tc>
        <w:tc>
          <w:tcPr>
            <w:tcW w:w="1142" w:type="pct"/>
            <w:gridSpan w:val="4"/>
            <w:tcBorders>
              <w:tl2br w:val="nil"/>
              <w:tr2bl w:val="nil"/>
            </w:tcBorders>
            <w:shd w:val="clear" w:color="auto" w:fill="auto"/>
            <w:noWrap/>
            <w:vAlign w:val="center"/>
          </w:tcPr>
          <w:p w14:paraId="7E7D04FC">
            <w:pPr>
              <w:pStyle w:val="1111"/>
              <w:bidi w:val="0"/>
            </w:pPr>
            <w:r>
              <w:t>E1√</w:t>
            </w:r>
          </w:p>
        </w:tc>
        <w:tc>
          <w:tcPr>
            <w:tcW w:w="1439" w:type="pct"/>
            <w:gridSpan w:val="5"/>
            <w:tcBorders>
              <w:tl2br w:val="nil"/>
              <w:tr2bl w:val="nil"/>
            </w:tcBorders>
            <w:shd w:val="clear" w:color="auto" w:fill="auto"/>
            <w:noWrap/>
            <w:vAlign w:val="center"/>
          </w:tcPr>
          <w:p w14:paraId="7A884048">
            <w:pPr>
              <w:pStyle w:val="1111"/>
              <w:bidi w:val="0"/>
            </w:pPr>
            <w:r>
              <w:t>E2□</w:t>
            </w:r>
          </w:p>
        </w:tc>
        <w:tc>
          <w:tcPr>
            <w:tcW w:w="1178" w:type="pct"/>
            <w:gridSpan w:val="4"/>
            <w:tcBorders>
              <w:tl2br w:val="nil"/>
              <w:tr2bl w:val="nil"/>
            </w:tcBorders>
            <w:shd w:val="clear" w:color="auto" w:fill="auto"/>
            <w:noWrap/>
            <w:vAlign w:val="center"/>
          </w:tcPr>
          <w:p w14:paraId="7FE1ACA7">
            <w:pPr>
              <w:pStyle w:val="1111"/>
              <w:bidi w:val="0"/>
            </w:pPr>
            <w:r>
              <w:t>E3□</w:t>
            </w:r>
          </w:p>
        </w:tc>
      </w:tr>
      <w:tr w14:paraId="5072A6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61" w:type="pct"/>
            <w:gridSpan w:val="2"/>
            <w:vMerge w:val="continue"/>
            <w:tcBorders>
              <w:tl2br w:val="nil"/>
              <w:tr2bl w:val="nil"/>
            </w:tcBorders>
            <w:shd w:val="clear" w:color="auto" w:fill="auto"/>
            <w:vAlign w:val="center"/>
          </w:tcPr>
          <w:p w14:paraId="2B4DB84F">
            <w:pPr>
              <w:pStyle w:val="1111"/>
              <w:bidi w:val="0"/>
            </w:pPr>
          </w:p>
        </w:tc>
        <w:tc>
          <w:tcPr>
            <w:tcW w:w="577" w:type="pct"/>
            <w:tcBorders>
              <w:tl2br w:val="nil"/>
              <w:tr2bl w:val="nil"/>
            </w:tcBorders>
            <w:shd w:val="clear" w:color="auto" w:fill="auto"/>
            <w:noWrap/>
            <w:vAlign w:val="center"/>
          </w:tcPr>
          <w:p w14:paraId="397868C2">
            <w:pPr>
              <w:pStyle w:val="1111"/>
              <w:bidi w:val="0"/>
            </w:pPr>
            <w:r>
              <w:t>地表水</w:t>
            </w:r>
          </w:p>
        </w:tc>
        <w:tc>
          <w:tcPr>
            <w:tcW w:w="1142" w:type="pct"/>
            <w:gridSpan w:val="4"/>
            <w:tcBorders>
              <w:tl2br w:val="nil"/>
              <w:tr2bl w:val="nil"/>
            </w:tcBorders>
            <w:shd w:val="clear" w:color="auto" w:fill="auto"/>
            <w:noWrap/>
            <w:vAlign w:val="center"/>
          </w:tcPr>
          <w:p w14:paraId="0A37E80B">
            <w:pPr>
              <w:pStyle w:val="1111"/>
              <w:bidi w:val="0"/>
              <w:rPr>
                <w:rFonts w:hint="eastAsia" w:eastAsia="宋体"/>
                <w:lang w:eastAsia="zh-CN"/>
              </w:rPr>
            </w:pPr>
            <w:r>
              <w:t>E1√</w:t>
            </w:r>
          </w:p>
        </w:tc>
        <w:tc>
          <w:tcPr>
            <w:tcW w:w="1439" w:type="pct"/>
            <w:gridSpan w:val="5"/>
            <w:tcBorders>
              <w:tl2br w:val="nil"/>
              <w:tr2bl w:val="nil"/>
            </w:tcBorders>
            <w:shd w:val="clear" w:color="auto" w:fill="auto"/>
            <w:noWrap/>
            <w:vAlign w:val="center"/>
          </w:tcPr>
          <w:p w14:paraId="360A8C87">
            <w:pPr>
              <w:pStyle w:val="1111"/>
              <w:bidi w:val="0"/>
            </w:pPr>
            <w:r>
              <w:t>E2□</w:t>
            </w:r>
          </w:p>
        </w:tc>
        <w:tc>
          <w:tcPr>
            <w:tcW w:w="1178" w:type="pct"/>
            <w:gridSpan w:val="4"/>
            <w:tcBorders>
              <w:tl2br w:val="nil"/>
              <w:tr2bl w:val="nil"/>
            </w:tcBorders>
            <w:shd w:val="clear" w:color="auto" w:fill="auto"/>
            <w:noWrap/>
            <w:vAlign w:val="center"/>
          </w:tcPr>
          <w:p w14:paraId="7910BED1">
            <w:pPr>
              <w:pStyle w:val="1111"/>
              <w:bidi w:val="0"/>
            </w:pPr>
            <w:r>
              <w:t>E3□</w:t>
            </w:r>
          </w:p>
        </w:tc>
      </w:tr>
      <w:tr w14:paraId="3AFFD0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61" w:type="pct"/>
            <w:gridSpan w:val="2"/>
            <w:vMerge w:val="continue"/>
            <w:tcBorders>
              <w:tl2br w:val="nil"/>
              <w:tr2bl w:val="nil"/>
            </w:tcBorders>
            <w:shd w:val="clear" w:color="auto" w:fill="auto"/>
            <w:vAlign w:val="center"/>
          </w:tcPr>
          <w:p w14:paraId="04994431">
            <w:pPr>
              <w:pStyle w:val="1111"/>
              <w:bidi w:val="0"/>
            </w:pPr>
          </w:p>
        </w:tc>
        <w:tc>
          <w:tcPr>
            <w:tcW w:w="577" w:type="pct"/>
            <w:tcBorders>
              <w:tl2br w:val="nil"/>
              <w:tr2bl w:val="nil"/>
            </w:tcBorders>
            <w:shd w:val="clear" w:color="auto" w:fill="auto"/>
            <w:noWrap/>
            <w:vAlign w:val="center"/>
          </w:tcPr>
          <w:p w14:paraId="2FD39471">
            <w:pPr>
              <w:pStyle w:val="1111"/>
              <w:bidi w:val="0"/>
            </w:pPr>
            <w:r>
              <w:t>地下水</w:t>
            </w:r>
          </w:p>
        </w:tc>
        <w:tc>
          <w:tcPr>
            <w:tcW w:w="1142" w:type="pct"/>
            <w:gridSpan w:val="4"/>
            <w:tcBorders>
              <w:tl2br w:val="nil"/>
              <w:tr2bl w:val="nil"/>
            </w:tcBorders>
            <w:shd w:val="clear" w:color="auto" w:fill="auto"/>
            <w:noWrap/>
            <w:vAlign w:val="center"/>
          </w:tcPr>
          <w:p w14:paraId="6C30A717">
            <w:pPr>
              <w:pStyle w:val="1111"/>
              <w:bidi w:val="0"/>
            </w:pPr>
            <w:r>
              <w:t>E1□</w:t>
            </w:r>
          </w:p>
        </w:tc>
        <w:tc>
          <w:tcPr>
            <w:tcW w:w="1439" w:type="pct"/>
            <w:gridSpan w:val="5"/>
            <w:tcBorders>
              <w:tl2br w:val="nil"/>
              <w:tr2bl w:val="nil"/>
            </w:tcBorders>
            <w:shd w:val="clear" w:color="auto" w:fill="auto"/>
            <w:noWrap/>
            <w:vAlign w:val="center"/>
          </w:tcPr>
          <w:p w14:paraId="4DCFAC52">
            <w:pPr>
              <w:pStyle w:val="1111"/>
              <w:bidi w:val="0"/>
            </w:pPr>
            <w:r>
              <w:t>E2□</w:t>
            </w:r>
          </w:p>
        </w:tc>
        <w:tc>
          <w:tcPr>
            <w:tcW w:w="1178" w:type="pct"/>
            <w:gridSpan w:val="4"/>
            <w:tcBorders>
              <w:tl2br w:val="nil"/>
              <w:tr2bl w:val="nil"/>
            </w:tcBorders>
            <w:shd w:val="clear" w:color="auto" w:fill="auto"/>
            <w:noWrap/>
            <w:vAlign w:val="center"/>
          </w:tcPr>
          <w:p w14:paraId="1C5D36BC">
            <w:pPr>
              <w:pStyle w:val="1111"/>
              <w:bidi w:val="0"/>
            </w:pPr>
            <w:r>
              <w:t>E3√</w:t>
            </w:r>
          </w:p>
        </w:tc>
      </w:tr>
      <w:tr w14:paraId="33C271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61" w:type="pct"/>
            <w:gridSpan w:val="2"/>
            <w:tcBorders>
              <w:tl2br w:val="nil"/>
              <w:tr2bl w:val="nil"/>
            </w:tcBorders>
            <w:shd w:val="clear" w:color="auto" w:fill="auto"/>
            <w:noWrap/>
            <w:vAlign w:val="center"/>
          </w:tcPr>
          <w:p w14:paraId="0EEE575B">
            <w:pPr>
              <w:pStyle w:val="1111"/>
              <w:bidi w:val="0"/>
            </w:pPr>
            <w:r>
              <w:t>环境风险潜势</w:t>
            </w:r>
          </w:p>
        </w:tc>
        <w:tc>
          <w:tcPr>
            <w:tcW w:w="577" w:type="pct"/>
            <w:tcBorders>
              <w:tl2br w:val="nil"/>
              <w:tr2bl w:val="nil"/>
            </w:tcBorders>
            <w:shd w:val="clear" w:color="auto" w:fill="auto"/>
            <w:noWrap/>
            <w:vAlign w:val="center"/>
          </w:tcPr>
          <w:p w14:paraId="35A08EF9">
            <w:pPr>
              <w:pStyle w:val="1111"/>
              <w:bidi w:val="0"/>
            </w:pPr>
            <w:r>
              <w:t>Ⅳ+□</w:t>
            </w:r>
          </w:p>
        </w:tc>
        <w:tc>
          <w:tcPr>
            <w:tcW w:w="1074" w:type="pct"/>
            <w:gridSpan w:val="3"/>
            <w:tcBorders>
              <w:tl2br w:val="nil"/>
              <w:tr2bl w:val="nil"/>
            </w:tcBorders>
            <w:shd w:val="clear" w:color="auto" w:fill="auto"/>
            <w:vAlign w:val="center"/>
          </w:tcPr>
          <w:p w14:paraId="13486049">
            <w:pPr>
              <w:pStyle w:val="1111"/>
              <w:bidi w:val="0"/>
            </w:pPr>
            <w:r>
              <w:t>Ⅳ□</w:t>
            </w:r>
          </w:p>
        </w:tc>
        <w:tc>
          <w:tcPr>
            <w:tcW w:w="1046" w:type="pct"/>
            <w:gridSpan w:val="5"/>
            <w:tcBorders>
              <w:tl2br w:val="nil"/>
              <w:tr2bl w:val="nil"/>
            </w:tcBorders>
            <w:shd w:val="clear" w:color="auto" w:fill="auto"/>
            <w:vAlign w:val="center"/>
          </w:tcPr>
          <w:p w14:paraId="5CECEB94">
            <w:pPr>
              <w:pStyle w:val="1111"/>
              <w:bidi w:val="0"/>
            </w:pPr>
            <w:r>
              <w:t>Ⅲ√</w:t>
            </w:r>
          </w:p>
        </w:tc>
        <w:tc>
          <w:tcPr>
            <w:tcW w:w="712" w:type="pct"/>
            <w:gridSpan w:val="2"/>
            <w:tcBorders>
              <w:tl2br w:val="nil"/>
              <w:tr2bl w:val="nil"/>
            </w:tcBorders>
            <w:shd w:val="clear" w:color="auto" w:fill="auto"/>
            <w:vAlign w:val="center"/>
          </w:tcPr>
          <w:p w14:paraId="32A4C8D3">
            <w:pPr>
              <w:pStyle w:val="1111"/>
              <w:bidi w:val="0"/>
            </w:pPr>
            <w:r>
              <w:t>Ⅱ□</w:t>
            </w:r>
          </w:p>
        </w:tc>
        <w:tc>
          <w:tcPr>
            <w:tcW w:w="926" w:type="pct"/>
            <w:gridSpan w:val="3"/>
            <w:tcBorders>
              <w:tl2br w:val="nil"/>
              <w:tr2bl w:val="nil"/>
            </w:tcBorders>
            <w:shd w:val="clear" w:color="auto" w:fill="auto"/>
            <w:vAlign w:val="center"/>
          </w:tcPr>
          <w:p w14:paraId="48FF7938">
            <w:pPr>
              <w:pStyle w:val="1111"/>
              <w:bidi w:val="0"/>
            </w:pPr>
            <w:r>
              <w:t>Ⅰ□</w:t>
            </w:r>
          </w:p>
        </w:tc>
      </w:tr>
      <w:tr w14:paraId="410255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61" w:type="pct"/>
            <w:gridSpan w:val="2"/>
            <w:tcBorders>
              <w:tl2br w:val="nil"/>
              <w:tr2bl w:val="nil"/>
            </w:tcBorders>
            <w:shd w:val="clear" w:color="auto" w:fill="auto"/>
            <w:noWrap/>
            <w:vAlign w:val="center"/>
          </w:tcPr>
          <w:p w14:paraId="6DE80E18">
            <w:pPr>
              <w:pStyle w:val="1111"/>
              <w:bidi w:val="0"/>
            </w:pPr>
            <w:r>
              <w:t>评价等级</w:t>
            </w:r>
          </w:p>
        </w:tc>
        <w:tc>
          <w:tcPr>
            <w:tcW w:w="577" w:type="pct"/>
            <w:tcBorders>
              <w:tl2br w:val="nil"/>
              <w:tr2bl w:val="nil"/>
            </w:tcBorders>
            <w:shd w:val="clear" w:color="auto" w:fill="auto"/>
            <w:noWrap/>
            <w:vAlign w:val="center"/>
          </w:tcPr>
          <w:p w14:paraId="49C0D0F8">
            <w:pPr>
              <w:pStyle w:val="1111"/>
              <w:bidi w:val="0"/>
            </w:pPr>
            <w:r>
              <w:t>一级□</w:t>
            </w:r>
          </w:p>
        </w:tc>
        <w:tc>
          <w:tcPr>
            <w:tcW w:w="1629" w:type="pct"/>
            <w:gridSpan w:val="6"/>
            <w:tcBorders>
              <w:tl2br w:val="nil"/>
              <w:tr2bl w:val="nil"/>
            </w:tcBorders>
            <w:shd w:val="clear" w:color="auto" w:fill="auto"/>
            <w:vAlign w:val="center"/>
          </w:tcPr>
          <w:p w14:paraId="6258F6D9">
            <w:pPr>
              <w:pStyle w:val="1111"/>
              <w:bidi w:val="0"/>
            </w:pPr>
            <w:r>
              <w:t>二级√</w:t>
            </w:r>
          </w:p>
        </w:tc>
        <w:tc>
          <w:tcPr>
            <w:tcW w:w="1204" w:type="pct"/>
            <w:gridSpan w:val="4"/>
            <w:tcBorders>
              <w:tl2br w:val="nil"/>
              <w:tr2bl w:val="nil"/>
            </w:tcBorders>
            <w:shd w:val="clear" w:color="auto" w:fill="auto"/>
            <w:vAlign w:val="center"/>
          </w:tcPr>
          <w:p w14:paraId="58F64821">
            <w:pPr>
              <w:pStyle w:val="1111"/>
              <w:bidi w:val="0"/>
            </w:pPr>
            <w:r>
              <w:t>三级□</w:t>
            </w:r>
          </w:p>
        </w:tc>
        <w:tc>
          <w:tcPr>
            <w:tcW w:w="926" w:type="pct"/>
            <w:gridSpan w:val="3"/>
            <w:tcBorders>
              <w:tl2br w:val="nil"/>
              <w:tr2bl w:val="nil"/>
            </w:tcBorders>
            <w:shd w:val="clear" w:color="auto" w:fill="auto"/>
            <w:vAlign w:val="center"/>
          </w:tcPr>
          <w:p w14:paraId="6045FBC3">
            <w:pPr>
              <w:pStyle w:val="1111"/>
              <w:bidi w:val="0"/>
            </w:pPr>
            <w:r>
              <w:t>简单分析□</w:t>
            </w:r>
          </w:p>
        </w:tc>
      </w:tr>
      <w:tr w14:paraId="3DA329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45" w:type="pct"/>
            <w:vMerge w:val="restart"/>
            <w:tcBorders>
              <w:tl2br w:val="nil"/>
              <w:tr2bl w:val="nil"/>
            </w:tcBorders>
            <w:shd w:val="clear" w:color="auto" w:fill="auto"/>
            <w:noWrap/>
            <w:vAlign w:val="center"/>
          </w:tcPr>
          <w:p w14:paraId="6D12E723">
            <w:pPr>
              <w:pStyle w:val="1111"/>
              <w:bidi w:val="0"/>
            </w:pPr>
            <w:r>
              <w:t>风险识别</w:t>
            </w:r>
          </w:p>
        </w:tc>
        <w:tc>
          <w:tcPr>
            <w:tcW w:w="315" w:type="pct"/>
            <w:tcBorders>
              <w:tl2br w:val="nil"/>
              <w:tr2bl w:val="nil"/>
            </w:tcBorders>
            <w:shd w:val="clear" w:color="auto" w:fill="auto"/>
            <w:noWrap/>
            <w:vAlign w:val="center"/>
          </w:tcPr>
          <w:p w14:paraId="2DCCD4E0">
            <w:pPr>
              <w:pStyle w:val="1111"/>
              <w:bidi w:val="0"/>
            </w:pPr>
            <w:r>
              <w:t>物质危险性</w:t>
            </w:r>
          </w:p>
        </w:tc>
        <w:tc>
          <w:tcPr>
            <w:tcW w:w="2206" w:type="pct"/>
            <w:gridSpan w:val="7"/>
            <w:tcBorders>
              <w:tl2br w:val="nil"/>
              <w:tr2bl w:val="nil"/>
            </w:tcBorders>
            <w:shd w:val="clear" w:color="auto" w:fill="auto"/>
            <w:noWrap/>
            <w:vAlign w:val="center"/>
          </w:tcPr>
          <w:p w14:paraId="2CE296B0">
            <w:pPr>
              <w:pStyle w:val="1111"/>
              <w:bidi w:val="0"/>
            </w:pPr>
            <w:r>
              <w:t>有毒有害√</w:t>
            </w:r>
          </w:p>
        </w:tc>
        <w:tc>
          <w:tcPr>
            <w:tcW w:w="2131" w:type="pct"/>
            <w:gridSpan w:val="7"/>
            <w:tcBorders>
              <w:tl2br w:val="nil"/>
              <w:tr2bl w:val="nil"/>
            </w:tcBorders>
            <w:shd w:val="clear" w:color="auto" w:fill="auto"/>
            <w:noWrap/>
            <w:vAlign w:val="center"/>
          </w:tcPr>
          <w:p w14:paraId="20F4D103">
            <w:pPr>
              <w:pStyle w:val="1111"/>
              <w:bidi w:val="0"/>
            </w:pPr>
            <w:r>
              <w:t>易燃易爆√</w:t>
            </w:r>
          </w:p>
        </w:tc>
      </w:tr>
      <w:tr w14:paraId="557D1B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45" w:type="pct"/>
            <w:vMerge w:val="continue"/>
            <w:tcBorders>
              <w:tl2br w:val="nil"/>
              <w:tr2bl w:val="nil"/>
            </w:tcBorders>
            <w:shd w:val="clear" w:color="auto" w:fill="auto"/>
            <w:noWrap/>
            <w:vAlign w:val="center"/>
          </w:tcPr>
          <w:p w14:paraId="34DF3E0C">
            <w:pPr>
              <w:pStyle w:val="1111"/>
              <w:bidi w:val="0"/>
            </w:pPr>
          </w:p>
        </w:tc>
        <w:tc>
          <w:tcPr>
            <w:tcW w:w="315" w:type="pct"/>
            <w:tcBorders>
              <w:tl2br w:val="nil"/>
              <w:tr2bl w:val="nil"/>
            </w:tcBorders>
            <w:shd w:val="clear" w:color="auto" w:fill="auto"/>
            <w:noWrap/>
            <w:vAlign w:val="center"/>
          </w:tcPr>
          <w:p w14:paraId="021EF603">
            <w:pPr>
              <w:pStyle w:val="1111"/>
              <w:bidi w:val="0"/>
            </w:pPr>
            <w:r>
              <w:t>环境风险类型</w:t>
            </w:r>
          </w:p>
        </w:tc>
        <w:tc>
          <w:tcPr>
            <w:tcW w:w="2206" w:type="pct"/>
            <w:gridSpan w:val="7"/>
            <w:tcBorders>
              <w:tl2br w:val="nil"/>
              <w:tr2bl w:val="nil"/>
            </w:tcBorders>
            <w:shd w:val="clear" w:color="auto" w:fill="auto"/>
            <w:noWrap/>
            <w:vAlign w:val="center"/>
          </w:tcPr>
          <w:p w14:paraId="64EFE3E9">
            <w:pPr>
              <w:pStyle w:val="1111"/>
              <w:bidi w:val="0"/>
            </w:pPr>
            <w:r>
              <w:t>泄漏√</w:t>
            </w:r>
          </w:p>
        </w:tc>
        <w:tc>
          <w:tcPr>
            <w:tcW w:w="2131" w:type="pct"/>
            <w:gridSpan w:val="7"/>
            <w:tcBorders>
              <w:tl2br w:val="nil"/>
              <w:tr2bl w:val="nil"/>
            </w:tcBorders>
            <w:shd w:val="clear" w:color="auto" w:fill="auto"/>
            <w:noWrap/>
            <w:vAlign w:val="center"/>
          </w:tcPr>
          <w:p w14:paraId="41FA1D10">
            <w:pPr>
              <w:pStyle w:val="1111"/>
              <w:bidi w:val="0"/>
            </w:pPr>
            <w:r>
              <w:t>火灾、爆炸引发伴生/次生污染物排放√</w:t>
            </w:r>
          </w:p>
        </w:tc>
      </w:tr>
      <w:tr w14:paraId="6696A6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45" w:type="pct"/>
            <w:vMerge w:val="continue"/>
            <w:tcBorders>
              <w:tl2br w:val="nil"/>
              <w:tr2bl w:val="nil"/>
            </w:tcBorders>
            <w:shd w:val="clear" w:color="auto" w:fill="auto"/>
            <w:vAlign w:val="center"/>
          </w:tcPr>
          <w:p w14:paraId="180AD79B">
            <w:pPr>
              <w:pStyle w:val="1111"/>
              <w:bidi w:val="0"/>
            </w:pPr>
          </w:p>
        </w:tc>
        <w:tc>
          <w:tcPr>
            <w:tcW w:w="315" w:type="pct"/>
            <w:tcBorders>
              <w:tl2br w:val="nil"/>
              <w:tr2bl w:val="nil"/>
            </w:tcBorders>
            <w:shd w:val="clear" w:color="auto" w:fill="auto"/>
            <w:noWrap/>
            <w:vAlign w:val="center"/>
          </w:tcPr>
          <w:p w14:paraId="7890578F">
            <w:pPr>
              <w:pStyle w:val="1111"/>
              <w:bidi w:val="0"/>
            </w:pPr>
            <w:r>
              <w:t>影响途径</w:t>
            </w:r>
          </w:p>
        </w:tc>
        <w:tc>
          <w:tcPr>
            <w:tcW w:w="1208" w:type="pct"/>
            <w:gridSpan w:val="2"/>
            <w:tcBorders>
              <w:tl2br w:val="nil"/>
              <w:tr2bl w:val="nil"/>
            </w:tcBorders>
            <w:shd w:val="clear" w:color="auto" w:fill="auto"/>
            <w:noWrap/>
            <w:vAlign w:val="center"/>
          </w:tcPr>
          <w:p w14:paraId="3A20A0EC">
            <w:pPr>
              <w:pStyle w:val="1111"/>
              <w:bidi w:val="0"/>
            </w:pPr>
            <w:r>
              <w:t>大气√</w:t>
            </w:r>
          </w:p>
        </w:tc>
        <w:tc>
          <w:tcPr>
            <w:tcW w:w="1423" w:type="pct"/>
            <w:gridSpan w:val="6"/>
            <w:tcBorders>
              <w:tl2br w:val="nil"/>
              <w:tr2bl w:val="nil"/>
            </w:tcBorders>
            <w:shd w:val="clear" w:color="auto" w:fill="auto"/>
            <w:vAlign w:val="center"/>
          </w:tcPr>
          <w:p w14:paraId="0B59C083">
            <w:pPr>
              <w:pStyle w:val="1111"/>
              <w:bidi w:val="0"/>
            </w:pPr>
            <w:r>
              <w:t>地表水√</w:t>
            </w:r>
          </w:p>
        </w:tc>
        <w:tc>
          <w:tcPr>
            <w:tcW w:w="1706" w:type="pct"/>
            <w:gridSpan w:val="6"/>
            <w:tcBorders>
              <w:tl2br w:val="nil"/>
              <w:tr2bl w:val="nil"/>
            </w:tcBorders>
            <w:shd w:val="clear" w:color="auto" w:fill="auto"/>
            <w:vAlign w:val="center"/>
          </w:tcPr>
          <w:p w14:paraId="266A0907">
            <w:pPr>
              <w:pStyle w:val="1111"/>
              <w:bidi w:val="0"/>
            </w:pPr>
            <w:r>
              <w:t>地下水√</w:t>
            </w:r>
          </w:p>
        </w:tc>
      </w:tr>
      <w:tr w14:paraId="0668A6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61" w:type="pct"/>
            <w:gridSpan w:val="2"/>
            <w:tcBorders>
              <w:tl2br w:val="nil"/>
              <w:tr2bl w:val="nil"/>
            </w:tcBorders>
            <w:shd w:val="clear" w:color="auto" w:fill="auto"/>
            <w:noWrap/>
            <w:vAlign w:val="center"/>
          </w:tcPr>
          <w:p w14:paraId="5506DAE1">
            <w:pPr>
              <w:pStyle w:val="1111"/>
              <w:bidi w:val="0"/>
            </w:pPr>
            <w:r>
              <w:t>事故情形分析</w:t>
            </w:r>
          </w:p>
        </w:tc>
        <w:tc>
          <w:tcPr>
            <w:tcW w:w="577" w:type="pct"/>
            <w:tcBorders>
              <w:tl2br w:val="nil"/>
              <w:tr2bl w:val="nil"/>
            </w:tcBorders>
            <w:shd w:val="clear" w:color="auto" w:fill="auto"/>
            <w:noWrap/>
            <w:vAlign w:val="center"/>
          </w:tcPr>
          <w:p w14:paraId="11D283C3">
            <w:pPr>
              <w:pStyle w:val="1111"/>
              <w:bidi w:val="0"/>
            </w:pPr>
            <w:r>
              <w:t>源强设定方法</w:t>
            </w:r>
          </w:p>
        </w:tc>
        <w:tc>
          <w:tcPr>
            <w:tcW w:w="1629" w:type="pct"/>
            <w:gridSpan w:val="6"/>
            <w:tcBorders>
              <w:tl2br w:val="nil"/>
              <w:tr2bl w:val="nil"/>
            </w:tcBorders>
            <w:shd w:val="clear" w:color="auto" w:fill="auto"/>
            <w:noWrap/>
            <w:vAlign w:val="center"/>
          </w:tcPr>
          <w:p w14:paraId="53C2F466">
            <w:pPr>
              <w:pStyle w:val="1111"/>
              <w:bidi w:val="0"/>
            </w:pPr>
            <w:r>
              <w:t>计算法√</w:t>
            </w:r>
          </w:p>
        </w:tc>
        <w:tc>
          <w:tcPr>
            <w:tcW w:w="1204" w:type="pct"/>
            <w:gridSpan w:val="4"/>
            <w:tcBorders>
              <w:tl2br w:val="nil"/>
              <w:tr2bl w:val="nil"/>
            </w:tcBorders>
            <w:shd w:val="clear" w:color="auto" w:fill="auto"/>
            <w:vAlign w:val="center"/>
          </w:tcPr>
          <w:p w14:paraId="49F1F1BB">
            <w:pPr>
              <w:pStyle w:val="1111"/>
              <w:bidi w:val="0"/>
            </w:pPr>
            <w:r>
              <w:t>经验估算法□</w:t>
            </w:r>
          </w:p>
        </w:tc>
        <w:tc>
          <w:tcPr>
            <w:tcW w:w="926" w:type="pct"/>
            <w:gridSpan w:val="3"/>
            <w:tcBorders>
              <w:tl2br w:val="nil"/>
              <w:tr2bl w:val="nil"/>
            </w:tcBorders>
            <w:shd w:val="clear" w:color="auto" w:fill="auto"/>
            <w:vAlign w:val="center"/>
          </w:tcPr>
          <w:p w14:paraId="6251B962">
            <w:pPr>
              <w:pStyle w:val="1111"/>
              <w:bidi w:val="0"/>
            </w:pPr>
            <w:r>
              <w:t>其他估算法□</w:t>
            </w:r>
          </w:p>
        </w:tc>
      </w:tr>
      <w:tr w14:paraId="0B5810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45" w:type="pct"/>
            <w:vMerge w:val="restart"/>
            <w:tcBorders>
              <w:tl2br w:val="nil"/>
              <w:tr2bl w:val="nil"/>
            </w:tcBorders>
            <w:shd w:val="clear" w:color="auto" w:fill="auto"/>
            <w:noWrap/>
            <w:vAlign w:val="center"/>
          </w:tcPr>
          <w:p w14:paraId="3A8F23B0">
            <w:pPr>
              <w:pStyle w:val="1111"/>
              <w:bidi w:val="0"/>
            </w:pPr>
            <w:r>
              <w:t>风险预测与评价</w:t>
            </w:r>
          </w:p>
        </w:tc>
        <w:tc>
          <w:tcPr>
            <w:tcW w:w="315" w:type="pct"/>
            <w:vMerge w:val="restart"/>
            <w:tcBorders>
              <w:tl2br w:val="nil"/>
              <w:tr2bl w:val="nil"/>
            </w:tcBorders>
            <w:shd w:val="clear" w:color="auto" w:fill="auto"/>
            <w:noWrap/>
            <w:vAlign w:val="center"/>
          </w:tcPr>
          <w:p w14:paraId="36E4F263">
            <w:pPr>
              <w:pStyle w:val="1111"/>
              <w:bidi w:val="0"/>
            </w:pPr>
            <w:r>
              <w:t>大气</w:t>
            </w:r>
          </w:p>
        </w:tc>
        <w:tc>
          <w:tcPr>
            <w:tcW w:w="577" w:type="pct"/>
            <w:tcBorders>
              <w:tl2br w:val="nil"/>
              <w:tr2bl w:val="nil"/>
            </w:tcBorders>
            <w:shd w:val="clear" w:color="auto" w:fill="auto"/>
            <w:noWrap/>
            <w:vAlign w:val="center"/>
          </w:tcPr>
          <w:p w14:paraId="0FA0B8AB">
            <w:pPr>
              <w:pStyle w:val="1111"/>
              <w:bidi w:val="0"/>
            </w:pPr>
            <w:r>
              <w:t>预测模型</w:t>
            </w:r>
          </w:p>
        </w:tc>
        <w:tc>
          <w:tcPr>
            <w:tcW w:w="814" w:type="pct"/>
            <w:gridSpan w:val="2"/>
            <w:tcBorders>
              <w:tl2br w:val="nil"/>
              <w:tr2bl w:val="nil"/>
            </w:tcBorders>
            <w:shd w:val="clear" w:color="auto" w:fill="auto"/>
            <w:noWrap/>
            <w:vAlign w:val="center"/>
          </w:tcPr>
          <w:p w14:paraId="4181B031">
            <w:pPr>
              <w:pStyle w:val="1111"/>
              <w:bidi w:val="0"/>
            </w:pPr>
            <w:r>
              <w:t>SLAB√</w:t>
            </w:r>
          </w:p>
        </w:tc>
        <w:tc>
          <w:tcPr>
            <w:tcW w:w="2603" w:type="pct"/>
            <w:gridSpan w:val="10"/>
            <w:tcBorders>
              <w:tl2br w:val="nil"/>
              <w:tr2bl w:val="nil"/>
            </w:tcBorders>
            <w:shd w:val="clear" w:color="auto" w:fill="auto"/>
            <w:vAlign w:val="center"/>
          </w:tcPr>
          <w:p w14:paraId="7A2AB172">
            <w:pPr>
              <w:pStyle w:val="1111"/>
              <w:bidi w:val="0"/>
            </w:pPr>
            <w:r>
              <w:t>AFTOX√</w:t>
            </w:r>
          </w:p>
        </w:tc>
        <w:tc>
          <w:tcPr>
            <w:tcW w:w="341" w:type="pct"/>
            <w:tcBorders>
              <w:tl2br w:val="nil"/>
              <w:tr2bl w:val="nil"/>
            </w:tcBorders>
            <w:shd w:val="clear" w:color="auto" w:fill="auto"/>
            <w:vAlign w:val="center"/>
          </w:tcPr>
          <w:p w14:paraId="28BE5655">
            <w:pPr>
              <w:pStyle w:val="1111"/>
              <w:bidi w:val="0"/>
            </w:pPr>
            <w:r>
              <w:t>其他</w:t>
            </w:r>
          </w:p>
        </w:tc>
      </w:tr>
      <w:tr w14:paraId="016CE2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45" w:type="pct"/>
            <w:vMerge w:val="continue"/>
            <w:tcBorders>
              <w:tl2br w:val="nil"/>
              <w:tr2bl w:val="nil"/>
            </w:tcBorders>
            <w:shd w:val="clear" w:color="auto" w:fill="auto"/>
            <w:vAlign w:val="center"/>
          </w:tcPr>
          <w:p w14:paraId="012C3DBB">
            <w:pPr>
              <w:pStyle w:val="1111"/>
              <w:bidi w:val="0"/>
            </w:pPr>
          </w:p>
        </w:tc>
        <w:tc>
          <w:tcPr>
            <w:tcW w:w="315" w:type="pct"/>
            <w:vMerge w:val="continue"/>
            <w:tcBorders>
              <w:tl2br w:val="nil"/>
              <w:tr2bl w:val="nil"/>
            </w:tcBorders>
            <w:shd w:val="clear" w:color="auto" w:fill="auto"/>
            <w:vAlign w:val="center"/>
          </w:tcPr>
          <w:p w14:paraId="12649E50">
            <w:pPr>
              <w:pStyle w:val="1111"/>
              <w:bidi w:val="0"/>
            </w:pPr>
          </w:p>
        </w:tc>
        <w:tc>
          <w:tcPr>
            <w:tcW w:w="577" w:type="pct"/>
            <w:tcBorders>
              <w:tl2br w:val="nil"/>
              <w:tr2bl w:val="nil"/>
            </w:tcBorders>
            <w:shd w:val="clear" w:color="auto" w:fill="auto"/>
            <w:noWrap/>
            <w:vAlign w:val="center"/>
          </w:tcPr>
          <w:p w14:paraId="71E55A62">
            <w:pPr>
              <w:pStyle w:val="1111"/>
              <w:bidi w:val="0"/>
            </w:pPr>
            <w:r>
              <w:t>预测结果</w:t>
            </w:r>
          </w:p>
        </w:tc>
        <w:tc>
          <w:tcPr>
            <w:tcW w:w="3760" w:type="pct"/>
            <w:gridSpan w:val="13"/>
            <w:tcBorders>
              <w:tl2br w:val="nil"/>
              <w:tr2bl w:val="nil"/>
            </w:tcBorders>
            <w:shd w:val="clear" w:color="auto" w:fill="auto"/>
            <w:noWrap/>
            <w:vAlign w:val="center"/>
          </w:tcPr>
          <w:p w14:paraId="462436DB">
            <w:pPr>
              <w:pStyle w:val="1111"/>
              <w:bidi w:val="0"/>
            </w:pPr>
            <w:r>
              <w:t>CO大气毒性终点浓度</w:t>
            </w:r>
            <w:r>
              <w:rPr>
                <w:rFonts w:hint="eastAsia"/>
              </w:rPr>
              <w:t>-</w:t>
            </w:r>
            <w:r>
              <w:t>1最大影响范围</w:t>
            </w:r>
            <w:r>
              <w:rPr>
                <w:rFonts w:hint="eastAsia"/>
                <w:lang w:val="en-US" w:eastAsia="zh-CN"/>
              </w:rPr>
              <w:t>200m</w:t>
            </w:r>
          </w:p>
          <w:p w14:paraId="722EA8AC">
            <w:pPr>
              <w:pStyle w:val="1111"/>
              <w:bidi w:val="0"/>
            </w:pPr>
            <w:r>
              <w:t>CO大气毒性终点浓度</w:t>
            </w:r>
            <w:r>
              <w:rPr>
                <w:rFonts w:hint="eastAsia"/>
              </w:rPr>
              <w:t>-</w:t>
            </w:r>
            <w:r>
              <w:t>2最大影响范围</w:t>
            </w:r>
            <w:r>
              <w:rPr>
                <w:rFonts w:hint="eastAsia"/>
                <w:lang w:val="en-US" w:eastAsia="zh-CN"/>
              </w:rPr>
              <w:t>590</w:t>
            </w:r>
            <w:r>
              <w:t>m</w:t>
            </w:r>
          </w:p>
        </w:tc>
      </w:tr>
      <w:tr w14:paraId="7837F6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45" w:type="pct"/>
            <w:vMerge w:val="continue"/>
            <w:tcBorders>
              <w:tl2br w:val="nil"/>
              <w:tr2bl w:val="nil"/>
            </w:tcBorders>
            <w:shd w:val="clear" w:color="auto" w:fill="auto"/>
            <w:vAlign w:val="center"/>
          </w:tcPr>
          <w:p w14:paraId="23A56E66">
            <w:pPr>
              <w:pStyle w:val="1111"/>
              <w:bidi w:val="0"/>
            </w:pPr>
          </w:p>
        </w:tc>
        <w:tc>
          <w:tcPr>
            <w:tcW w:w="315" w:type="pct"/>
            <w:tcBorders>
              <w:tl2br w:val="nil"/>
              <w:tr2bl w:val="nil"/>
            </w:tcBorders>
            <w:shd w:val="clear" w:color="auto" w:fill="auto"/>
            <w:noWrap/>
            <w:vAlign w:val="center"/>
          </w:tcPr>
          <w:p w14:paraId="776EC167">
            <w:pPr>
              <w:pStyle w:val="1111"/>
              <w:bidi w:val="0"/>
            </w:pPr>
            <w:r>
              <w:t>地表水</w:t>
            </w:r>
          </w:p>
        </w:tc>
        <w:tc>
          <w:tcPr>
            <w:tcW w:w="4338" w:type="pct"/>
            <w:gridSpan w:val="14"/>
            <w:tcBorders>
              <w:tl2br w:val="nil"/>
              <w:tr2bl w:val="nil"/>
            </w:tcBorders>
            <w:shd w:val="clear" w:color="auto" w:fill="auto"/>
            <w:noWrap/>
            <w:vAlign w:val="center"/>
          </w:tcPr>
          <w:p w14:paraId="09DEF749">
            <w:pPr>
              <w:pStyle w:val="1111"/>
              <w:bidi w:val="0"/>
            </w:pPr>
            <w:r>
              <w:t>最近环境敏感目标/，到达时间/h</w:t>
            </w:r>
          </w:p>
        </w:tc>
      </w:tr>
      <w:tr w14:paraId="4D88D3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45" w:type="pct"/>
            <w:vMerge w:val="continue"/>
            <w:tcBorders>
              <w:tl2br w:val="nil"/>
              <w:tr2bl w:val="nil"/>
            </w:tcBorders>
            <w:shd w:val="clear" w:color="auto" w:fill="auto"/>
            <w:vAlign w:val="center"/>
          </w:tcPr>
          <w:p w14:paraId="373A70BD">
            <w:pPr>
              <w:pStyle w:val="1111"/>
              <w:bidi w:val="0"/>
            </w:pPr>
          </w:p>
        </w:tc>
        <w:tc>
          <w:tcPr>
            <w:tcW w:w="315" w:type="pct"/>
            <w:vMerge w:val="restart"/>
            <w:tcBorders>
              <w:tl2br w:val="nil"/>
              <w:tr2bl w:val="nil"/>
            </w:tcBorders>
            <w:shd w:val="clear" w:color="auto" w:fill="auto"/>
            <w:noWrap/>
            <w:vAlign w:val="center"/>
          </w:tcPr>
          <w:p w14:paraId="5C52BFA7">
            <w:pPr>
              <w:pStyle w:val="1111"/>
              <w:bidi w:val="0"/>
            </w:pPr>
            <w:r>
              <w:t>地下水</w:t>
            </w:r>
          </w:p>
        </w:tc>
        <w:tc>
          <w:tcPr>
            <w:tcW w:w="4338" w:type="pct"/>
            <w:gridSpan w:val="14"/>
            <w:tcBorders>
              <w:tl2br w:val="nil"/>
              <w:tr2bl w:val="nil"/>
            </w:tcBorders>
            <w:shd w:val="clear" w:color="auto" w:fill="auto"/>
            <w:noWrap/>
            <w:vAlign w:val="center"/>
          </w:tcPr>
          <w:p w14:paraId="7058D4F5">
            <w:pPr>
              <w:pStyle w:val="1111"/>
              <w:bidi w:val="0"/>
            </w:pPr>
            <w:r>
              <w:t>下游厂区边界到达时间/d</w:t>
            </w:r>
          </w:p>
        </w:tc>
      </w:tr>
      <w:tr w14:paraId="2B840A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45" w:type="pct"/>
            <w:vMerge w:val="continue"/>
            <w:tcBorders>
              <w:tl2br w:val="nil"/>
              <w:tr2bl w:val="nil"/>
            </w:tcBorders>
            <w:shd w:val="clear" w:color="auto" w:fill="auto"/>
            <w:vAlign w:val="center"/>
          </w:tcPr>
          <w:p w14:paraId="4C865032">
            <w:pPr>
              <w:pStyle w:val="1111"/>
              <w:bidi w:val="0"/>
            </w:pPr>
          </w:p>
        </w:tc>
        <w:tc>
          <w:tcPr>
            <w:tcW w:w="315" w:type="pct"/>
            <w:vMerge w:val="continue"/>
            <w:tcBorders>
              <w:tl2br w:val="nil"/>
              <w:tr2bl w:val="nil"/>
            </w:tcBorders>
            <w:shd w:val="clear" w:color="auto" w:fill="auto"/>
            <w:vAlign w:val="center"/>
          </w:tcPr>
          <w:p w14:paraId="12EAE051">
            <w:pPr>
              <w:pStyle w:val="1111"/>
              <w:bidi w:val="0"/>
            </w:pPr>
          </w:p>
        </w:tc>
        <w:tc>
          <w:tcPr>
            <w:tcW w:w="4338" w:type="pct"/>
            <w:gridSpan w:val="14"/>
            <w:tcBorders>
              <w:tl2br w:val="nil"/>
              <w:tr2bl w:val="nil"/>
            </w:tcBorders>
            <w:shd w:val="clear" w:color="auto" w:fill="auto"/>
            <w:noWrap/>
            <w:vAlign w:val="center"/>
          </w:tcPr>
          <w:p w14:paraId="6EB17E8A">
            <w:pPr>
              <w:pStyle w:val="1111"/>
              <w:bidi w:val="0"/>
            </w:pPr>
            <w:r>
              <w:t>最近环境敏感目标/，到达时间/d</w:t>
            </w:r>
          </w:p>
        </w:tc>
      </w:tr>
      <w:tr w14:paraId="0B9987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61" w:type="pct"/>
            <w:gridSpan w:val="2"/>
            <w:tcBorders>
              <w:tl2br w:val="nil"/>
              <w:tr2bl w:val="nil"/>
            </w:tcBorders>
            <w:shd w:val="clear" w:color="auto" w:fill="auto"/>
            <w:noWrap/>
            <w:vAlign w:val="center"/>
          </w:tcPr>
          <w:p w14:paraId="0FB6F5E3">
            <w:pPr>
              <w:pStyle w:val="1111"/>
              <w:bidi w:val="0"/>
            </w:pPr>
            <w:r>
              <w:t>重点风险防范措施</w:t>
            </w:r>
          </w:p>
        </w:tc>
        <w:tc>
          <w:tcPr>
            <w:tcW w:w="4338" w:type="pct"/>
            <w:gridSpan w:val="14"/>
            <w:tcBorders>
              <w:tl2br w:val="nil"/>
              <w:tr2bl w:val="nil"/>
            </w:tcBorders>
            <w:shd w:val="clear" w:color="auto" w:fill="auto"/>
            <w:noWrap/>
            <w:vAlign w:val="center"/>
          </w:tcPr>
          <w:p w14:paraId="1235BAB8">
            <w:pPr>
              <w:pStyle w:val="1111"/>
              <w:bidi w:val="0"/>
            </w:pPr>
            <w:r>
              <w:t>制定</w:t>
            </w:r>
            <w:r>
              <w:rPr>
                <w:rFonts w:hint="eastAsia"/>
              </w:rPr>
              <w:t>风险防范</w:t>
            </w:r>
            <w:r>
              <w:t>措施，有效防范风险事故的发生，</w:t>
            </w:r>
            <w:r>
              <w:rPr>
                <w:rFonts w:hint="eastAsia"/>
              </w:rPr>
              <w:t>编制</w:t>
            </w:r>
            <w:r>
              <w:t>企业环境应急预案，配备事故应急设施、材料能保证有效的事故应急，降低事故环境风险。</w:t>
            </w:r>
          </w:p>
        </w:tc>
      </w:tr>
      <w:tr w14:paraId="0888AD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61" w:type="pct"/>
            <w:gridSpan w:val="2"/>
            <w:tcBorders>
              <w:tl2br w:val="nil"/>
              <w:tr2bl w:val="nil"/>
            </w:tcBorders>
            <w:shd w:val="clear" w:color="auto" w:fill="auto"/>
            <w:noWrap/>
            <w:vAlign w:val="center"/>
          </w:tcPr>
          <w:p w14:paraId="01AA30F5">
            <w:pPr>
              <w:pStyle w:val="1111"/>
              <w:bidi w:val="0"/>
            </w:pPr>
            <w:r>
              <w:t>评价结论与建议</w:t>
            </w:r>
          </w:p>
        </w:tc>
        <w:tc>
          <w:tcPr>
            <w:tcW w:w="4338" w:type="pct"/>
            <w:gridSpan w:val="14"/>
            <w:tcBorders>
              <w:tl2br w:val="nil"/>
              <w:tr2bl w:val="nil"/>
            </w:tcBorders>
            <w:shd w:val="clear" w:color="auto" w:fill="auto"/>
            <w:noWrap/>
            <w:vAlign w:val="center"/>
          </w:tcPr>
          <w:p w14:paraId="135F55DE">
            <w:pPr>
              <w:pStyle w:val="1111"/>
              <w:bidi w:val="0"/>
            </w:pPr>
            <w:r>
              <w:t>建设项目环境风险可实现有效防控，但应根据拟建项目环境风险可能影响的范围与程度，采取措施进一步缓解环境风险。进一步加强项目的火灾自动报警、消防、应急控制、洗消废水导流措施，加强突发环境事件应急预案演练，提高应急响应水平，将环境风险降至最低。</w:t>
            </w:r>
          </w:p>
        </w:tc>
      </w:tr>
      <w:tr w14:paraId="1F5358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16"/>
            <w:tcBorders>
              <w:tl2br w:val="nil"/>
              <w:tr2bl w:val="nil"/>
            </w:tcBorders>
            <w:shd w:val="clear" w:color="auto" w:fill="auto"/>
            <w:noWrap/>
            <w:vAlign w:val="center"/>
          </w:tcPr>
          <w:p w14:paraId="52EF7AFC">
            <w:pPr>
              <w:pStyle w:val="1111"/>
              <w:bidi w:val="0"/>
            </w:pPr>
            <w:r>
              <w:t>注：</w:t>
            </w:r>
            <w:r>
              <w:rPr>
                <w:rFonts w:hint="eastAsia"/>
                <w:lang w:eastAsia="zh-CN"/>
              </w:rPr>
              <w:t>“</w:t>
            </w:r>
            <w:r>
              <w:t>□</w:t>
            </w:r>
            <w:r>
              <w:rPr>
                <w:rFonts w:hint="eastAsia"/>
                <w:lang w:eastAsia="zh-CN"/>
              </w:rPr>
              <w:t>”</w:t>
            </w:r>
            <w:r>
              <w:t>为勾选，</w:t>
            </w:r>
            <w:r>
              <w:rPr>
                <w:rFonts w:hint="eastAsia"/>
                <w:lang w:eastAsia="zh-CN"/>
              </w:rPr>
              <w:t>“</w:t>
            </w:r>
            <w:r>
              <w:t xml:space="preserve">     ʺ为填写项</w:t>
            </w:r>
          </w:p>
        </w:tc>
      </w:tr>
    </w:tbl>
    <w:p w14:paraId="02F7D593">
      <w:pPr>
        <w:widowControl/>
        <w:spacing w:line="360" w:lineRule="auto"/>
        <w:ind w:firstLineChars="0"/>
        <w:jc w:val="left"/>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br w:type="page"/>
      </w:r>
    </w:p>
    <w:p w14:paraId="16AEFAD6">
      <w:pPr>
        <w:pStyle w:val="515"/>
        <w:bidi w:val="0"/>
      </w:pPr>
      <w:bookmarkStart w:id="33" w:name="_Toc146013794"/>
      <w:r>
        <w:rPr>
          <w:rFonts w:hint="eastAsia"/>
          <w:lang w:val="en-US" w:eastAsia="zh-CN"/>
        </w:rPr>
        <w:t>8</w:t>
      </w:r>
      <w:r>
        <w:t>风险管理</w:t>
      </w:r>
      <w:bookmarkEnd w:id="33"/>
    </w:p>
    <w:p w14:paraId="6AAF2793">
      <w:pPr>
        <w:pStyle w:val="512"/>
        <w:bidi w:val="0"/>
      </w:pPr>
      <w:r>
        <w:t>根据建设项目环境风险分析的结果，对建设项目进行风险管理，采取有关的风险防范措施以降低事故的发生概率，建立事故应急预案以减轻事故的危害后果，尽最大可能的降低项目的环境风险。</w:t>
      </w:r>
    </w:p>
    <w:p w14:paraId="545EAB80">
      <w:pPr>
        <w:pStyle w:val="515"/>
        <w:bidi w:val="0"/>
      </w:pPr>
      <w:bookmarkStart w:id="34" w:name="_Toc146013795"/>
      <w:r>
        <w:rPr>
          <w:rFonts w:hint="eastAsia"/>
          <w:lang w:val="en-US" w:eastAsia="zh-CN"/>
        </w:rPr>
        <w:t>8</w:t>
      </w:r>
      <w:r>
        <w:t>.1风险防范措施</w:t>
      </w:r>
      <w:bookmarkEnd w:id="34"/>
    </w:p>
    <w:p w14:paraId="5E5B2AA4">
      <w:pPr>
        <w:pStyle w:val="512"/>
        <w:bidi w:val="0"/>
      </w:pPr>
      <w:r>
        <w:t>（1）运输车辆故障救援措施</w:t>
      </w:r>
    </w:p>
    <w:p w14:paraId="0BD49A64">
      <w:pPr>
        <w:pStyle w:val="512"/>
        <w:bidi w:val="0"/>
      </w:pPr>
      <w:r>
        <w:rPr>
          <w:rFonts w:hint="eastAsia"/>
        </w:rPr>
        <w:t>运送过程中会发生翻车、撞车导致危险废物溢出、散落。必须制定预防措施。</w:t>
      </w:r>
    </w:p>
    <w:p w14:paraId="32D07735">
      <w:pPr>
        <w:pStyle w:val="512"/>
        <w:bidi w:val="0"/>
      </w:pPr>
      <w:r>
        <w:rPr>
          <w:rFonts w:hint="eastAsia"/>
        </w:rPr>
        <w:t>①制定周密的收运计划，选择路况较好的道路作行驶路线和备选路线；</w:t>
      </w:r>
    </w:p>
    <w:p w14:paraId="102F4560">
      <w:pPr>
        <w:pStyle w:val="512"/>
        <w:bidi w:val="0"/>
      </w:pPr>
      <w:r>
        <w:rPr>
          <w:rFonts w:hint="eastAsia"/>
        </w:rPr>
        <w:t>②建立收运安全操作规程，收运中必须按照规定限速行驶，密切注意车辆行驶情况和路面状况；</w:t>
      </w:r>
    </w:p>
    <w:p w14:paraId="7DEF321B">
      <w:pPr>
        <w:pStyle w:val="512"/>
        <w:bidi w:val="0"/>
      </w:pPr>
      <w:r>
        <w:rPr>
          <w:rFonts w:hint="eastAsia"/>
        </w:rPr>
        <w:t>③根据车辆发生的故障现象，逐项排查车辆故障原因，依据车辆的具体受损情况，就地做到能自修则自修，采取局部换件、重点维修、整体调校的维修方式，从快排除车辆故障；</w:t>
      </w:r>
    </w:p>
    <w:p w14:paraId="41E6EA43">
      <w:pPr>
        <w:pStyle w:val="512"/>
        <w:bidi w:val="0"/>
      </w:pPr>
      <w:r>
        <w:rPr>
          <w:rFonts w:hint="eastAsia"/>
        </w:rPr>
        <w:t>④如在厂区或运输途中出现运输事故，应及时通知企业，并立即报告公安、卫生和环保等部门，及时进行处理，处理方法可参考如下：</w:t>
      </w:r>
    </w:p>
    <w:p w14:paraId="01D825E7">
      <w:pPr>
        <w:pStyle w:val="512"/>
        <w:bidi w:val="0"/>
      </w:pPr>
      <w:r>
        <w:rPr>
          <w:rFonts w:hint="eastAsia"/>
        </w:rPr>
        <w:t>a.立即请求公安交警在受污染地区设立隔离区，禁止其他车辆和行人穿过，避免污染物扩散和对行人造成伤害；</w:t>
      </w:r>
    </w:p>
    <w:p w14:paraId="14E0A88B">
      <w:pPr>
        <w:pStyle w:val="512"/>
        <w:bidi w:val="0"/>
      </w:pPr>
      <w:r>
        <w:rPr>
          <w:rFonts w:hint="eastAsia"/>
        </w:rPr>
        <w:t>b.对溢出、散落的废物迅速进行收集、清理；</w:t>
      </w:r>
    </w:p>
    <w:p w14:paraId="444AA9B9">
      <w:pPr>
        <w:pStyle w:val="512"/>
        <w:bidi w:val="0"/>
        <w:rPr>
          <w:rFonts w:hint="eastAsia" w:eastAsia="宋体"/>
          <w:lang w:eastAsia="zh-CN"/>
        </w:rPr>
      </w:pPr>
      <w:r>
        <w:rPr>
          <w:rFonts w:hint="eastAsia"/>
        </w:rPr>
        <w:t>c.清理人员在进行清理工作时穿戴防护用品，清理结束后，用具和防护用品均进行消毒处理</w:t>
      </w:r>
      <w:r>
        <w:rPr>
          <w:rFonts w:hint="eastAsia"/>
          <w:lang w:eastAsia="zh-CN"/>
        </w:rPr>
        <w:t>；</w:t>
      </w:r>
    </w:p>
    <w:p w14:paraId="5859742D">
      <w:pPr>
        <w:pStyle w:val="512"/>
        <w:bidi w:val="0"/>
      </w:pPr>
      <w:r>
        <w:rPr>
          <w:rFonts w:hint="eastAsia"/>
        </w:rPr>
        <w:t>d.如在操作中，清理人员的身体（皮肤）不慎受到伤害，将及时采取处理措施，并到医院接收救治；</w:t>
      </w:r>
    </w:p>
    <w:p w14:paraId="06118B2D">
      <w:pPr>
        <w:pStyle w:val="512"/>
        <w:bidi w:val="0"/>
      </w:pPr>
      <w:r>
        <w:rPr>
          <w:rFonts w:hint="eastAsia"/>
        </w:rPr>
        <w:t>e.对被污染的现场地面清洁人员还将进行消毒和清洁处理。</w:t>
      </w:r>
    </w:p>
    <w:p w14:paraId="6D68F517">
      <w:pPr>
        <w:pStyle w:val="512"/>
        <w:bidi w:val="0"/>
      </w:pPr>
      <w:r>
        <w:t>（2）危险废物管理风险防范措施</w:t>
      </w:r>
    </w:p>
    <w:p w14:paraId="3F9A98D9">
      <w:pPr>
        <w:pStyle w:val="512"/>
        <w:bidi w:val="0"/>
      </w:pPr>
      <w:r>
        <w:t>本项目</w:t>
      </w:r>
      <w:r>
        <w:rPr>
          <w:rFonts w:hint="eastAsia"/>
        </w:rPr>
        <w:t>设</w:t>
      </w:r>
      <w:r>
        <w:rPr>
          <w:rFonts w:hint="eastAsia"/>
          <w:lang w:val="en-US" w:eastAsia="zh-CN"/>
        </w:rPr>
        <w:t>3间危废存储间（共176.22m</w:t>
      </w:r>
      <w:r>
        <w:rPr>
          <w:rFonts w:hint="eastAsia"/>
          <w:vertAlign w:val="superscript"/>
          <w:lang w:val="en-US" w:eastAsia="zh-CN"/>
        </w:rPr>
        <w:t>2</w:t>
      </w:r>
      <w:r>
        <w:rPr>
          <w:rFonts w:hint="eastAsia"/>
          <w:lang w:val="en-US" w:eastAsia="zh-CN"/>
        </w:rPr>
        <w:t>）</w:t>
      </w:r>
      <w:r>
        <w:t>，厂区危险废物的储存和管理均须按照以下要求规范化建设：</w:t>
      </w:r>
    </w:p>
    <w:p w14:paraId="33B5E0DA">
      <w:pPr>
        <w:pStyle w:val="512"/>
        <w:bidi w:val="0"/>
      </w:pPr>
      <w:r>
        <w:rPr>
          <w:rFonts w:hint="eastAsia"/>
        </w:rPr>
        <w:t>①</w:t>
      </w:r>
      <w:r>
        <w:t>厂区内危险废物暂存场地必须严格按照《危险废物贮存污染控制标准》（GB18597-2023）的要求设置和管理；</w:t>
      </w:r>
    </w:p>
    <w:p w14:paraId="6C4427EF">
      <w:pPr>
        <w:pStyle w:val="512"/>
        <w:bidi w:val="0"/>
      </w:pPr>
      <w:r>
        <w:rPr>
          <w:rFonts w:hint="eastAsia"/>
        </w:rPr>
        <w:t>②</w:t>
      </w:r>
      <w:r>
        <w:t>建立危险废物台账管理制度，跟踪记录危险废物在公司内部运转的整个流程，与生产记录相结合，建立危险废物台账；</w:t>
      </w:r>
    </w:p>
    <w:p w14:paraId="5D705745">
      <w:pPr>
        <w:pStyle w:val="512"/>
        <w:bidi w:val="0"/>
      </w:pPr>
      <w:r>
        <w:rPr>
          <w:rFonts w:hint="eastAsia"/>
        </w:rPr>
        <w:t>③</w:t>
      </w:r>
      <w:r>
        <w:t>对危险废物的容器和包装物以及收集、贮存、运输、处置危险废物的设施、场所，必须设置危险废物识别标志；</w:t>
      </w:r>
    </w:p>
    <w:p w14:paraId="3F245B49">
      <w:pPr>
        <w:pStyle w:val="512"/>
        <w:bidi w:val="0"/>
      </w:pPr>
      <w:r>
        <w:rPr>
          <w:rFonts w:hint="eastAsia"/>
        </w:rPr>
        <w:t>④</w:t>
      </w:r>
      <w:r>
        <w:t>禁止将性质不兼容而未经安全性处置的危险废物混合收集、贮存、运输、处置，禁止将危险废物混入非危险废物中贮存、处置；</w:t>
      </w:r>
    </w:p>
    <w:p w14:paraId="67BBF967">
      <w:pPr>
        <w:pStyle w:val="512"/>
        <w:bidi w:val="0"/>
      </w:pPr>
      <w:r>
        <w:rPr>
          <w:rFonts w:hint="eastAsia"/>
        </w:rPr>
        <w:t>⑤</w:t>
      </w:r>
      <w:r>
        <w:t>必须定期对所贮存的危险废物包装容器及贮存设施进行检查，发现破损，应及时采取措施清理更换；</w:t>
      </w:r>
    </w:p>
    <w:p w14:paraId="1CDF7F37">
      <w:pPr>
        <w:pStyle w:val="512"/>
        <w:bidi w:val="0"/>
      </w:pPr>
      <w:r>
        <w:rPr>
          <w:rFonts w:hint="eastAsia"/>
        </w:rPr>
        <w:t>⑥</w:t>
      </w:r>
      <w:r>
        <w:t>运输危险废物必须根据废物特性，采用符合相应标准的包装物、容器和运输工具；</w:t>
      </w:r>
    </w:p>
    <w:p w14:paraId="25C9040B">
      <w:pPr>
        <w:pStyle w:val="512"/>
        <w:bidi w:val="0"/>
      </w:pPr>
      <w:r>
        <w:rPr>
          <w:rFonts w:hint="eastAsia"/>
        </w:rPr>
        <w:t>⑦</w:t>
      </w:r>
      <w:r>
        <w:t>收集、贮存、运输、处置危险废物的场所、设施、设备、容器、包装物及其他物品转作他用时，必须经过消除污染的处理，并经检测合格。</w:t>
      </w:r>
    </w:p>
    <w:p w14:paraId="520DA405">
      <w:pPr>
        <w:pStyle w:val="512"/>
        <w:bidi w:val="0"/>
      </w:pPr>
      <w:r>
        <w:rPr>
          <w:rFonts w:hint="eastAsia"/>
        </w:rPr>
        <w:t>（</w:t>
      </w:r>
      <w:r>
        <w:t>3</w:t>
      </w:r>
      <w:r>
        <w:rPr>
          <w:rFonts w:hint="eastAsia"/>
        </w:rPr>
        <w:t>）废气事故排放防范措施</w:t>
      </w:r>
    </w:p>
    <w:p w14:paraId="186FD5C6">
      <w:pPr>
        <w:pStyle w:val="512"/>
        <w:bidi w:val="0"/>
      </w:pPr>
      <w:r>
        <w:t>1</w:t>
      </w:r>
      <w:r>
        <w:rPr>
          <w:rFonts w:hint="eastAsia"/>
        </w:rPr>
        <w:t>）加强废气处理设施设备的日常管理和维护，发现故障及时采取紧急应对措施，及时组织技术人员排查，尽可能避免出现废气事故排放现象。</w:t>
      </w:r>
    </w:p>
    <w:p w14:paraId="00150FA5">
      <w:pPr>
        <w:pStyle w:val="512"/>
        <w:bidi w:val="0"/>
      </w:pPr>
      <w:r>
        <w:t>2</w:t>
      </w:r>
      <w:r>
        <w:rPr>
          <w:rFonts w:hint="eastAsia"/>
        </w:rPr>
        <w:t>）如出现集气罩发生故障且短时间不能排除，因此导致废气污染物排放浓度出现超标，应采取紧急措施，将可能出现的事故排放持续时间控制在最短。</w:t>
      </w:r>
    </w:p>
    <w:p w14:paraId="45E4ADC7">
      <w:pPr>
        <w:pStyle w:val="512"/>
        <w:bidi w:val="0"/>
      </w:pPr>
      <w:r>
        <w:t>3</w:t>
      </w:r>
      <w:r>
        <w:rPr>
          <w:rFonts w:hint="eastAsia"/>
        </w:rPr>
        <w:t>）强化风机的设备维护，保证系统负压状态，防止废气逸散到室外。</w:t>
      </w:r>
    </w:p>
    <w:p w14:paraId="65A5A75F">
      <w:pPr>
        <w:pStyle w:val="512"/>
        <w:bidi w:val="0"/>
        <w:rPr>
          <w:rFonts w:hint="eastAsia"/>
        </w:rPr>
      </w:pPr>
      <w:r>
        <w:rPr>
          <w:rFonts w:hint="eastAsia"/>
        </w:rPr>
        <w:t>4）定期更换活性炭，确保危废库内废气得到有效去除。</w:t>
      </w:r>
    </w:p>
    <w:p w14:paraId="358F8CE0">
      <w:pPr>
        <w:pStyle w:val="512"/>
        <w:bidi w:val="0"/>
        <w:rPr>
          <w:rFonts w:hint="eastAsia"/>
          <w:lang w:eastAsia="zh-CN"/>
        </w:rPr>
      </w:pPr>
      <w:r>
        <w:rPr>
          <w:rFonts w:hint="eastAsia"/>
          <w:lang w:eastAsia="zh-CN"/>
        </w:rPr>
        <w:t>（</w:t>
      </w:r>
      <w:r>
        <w:rPr>
          <w:rFonts w:hint="eastAsia"/>
          <w:lang w:val="en-US" w:eastAsia="zh-CN"/>
        </w:rPr>
        <w:t>4</w:t>
      </w:r>
      <w:r>
        <w:rPr>
          <w:rFonts w:hint="eastAsia"/>
          <w:lang w:eastAsia="zh-CN"/>
        </w:rPr>
        <w:t>）制度管理上的风险防范措施</w:t>
      </w:r>
    </w:p>
    <w:p w14:paraId="2B582882">
      <w:pPr>
        <w:pStyle w:val="512"/>
        <w:bidi w:val="0"/>
      </w:pPr>
      <w:r>
        <w:rPr>
          <w:rFonts w:hint="eastAsia"/>
          <w:lang w:val="en-US" w:eastAsia="zh-CN"/>
        </w:rPr>
        <w:t>从事危险废物贮存的单位，应该按照相关规范建立相应的规章制度和污染防治措施：</w:t>
      </w:r>
    </w:p>
    <w:p w14:paraId="5F8585B0">
      <w:pPr>
        <w:pStyle w:val="512"/>
        <w:bidi w:val="0"/>
      </w:pPr>
      <w:r>
        <w:rPr>
          <w:rFonts w:hint="eastAsia"/>
          <w:lang w:val="en-US" w:eastAsia="zh-CN"/>
        </w:rPr>
        <w:t>①危险废物分析管理制度、安全管理制度、污染防治措施等。</w:t>
      </w:r>
    </w:p>
    <w:p w14:paraId="517AA955">
      <w:pPr>
        <w:pStyle w:val="512"/>
        <w:bidi w:val="0"/>
      </w:pPr>
      <w:r>
        <w:rPr>
          <w:rFonts w:hint="eastAsia"/>
          <w:lang w:val="en-US" w:eastAsia="zh-CN"/>
        </w:rPr>
        <w:t>②应建立健全规章制度及操作流程，确保贮存过程的安全、可靠。</w:t>
      </w:r>
    </w:p>
    <w:p w14:paraId="6011C019">
      <w:pPr>
        <w:pStyle w:val="512"/>
        <w:bidi w:val="0"/>
      </w:pPr>
      <w:r>
        <w:rPr>
          <w:rFonts w:hint="eastAsia"/>
          <w:lang w:val="en-US" w:eastAsia="zh-CN"/>
        </w:rPr>
        <w:t>③危险废物贮存单位应建立危险废物贮存的台帐制度，包括危险废物出入库交接记录内容。</w:t>
      </w:r>
    </w:p>
    <w:p w14:paraId="69E069C6">
      <w:pPr>
        <w:pStyle w:val="512"/>
        <w:bidi w:val="0"/>
      </w:pPr>
      <w:r>
        <w:rPr>
          <w:rFonts w:hint="eastAsia"/>
          <w:lang w:val="en-US" w:eastAsia="zh-CN"/>
        </w:rPr>
        <w:t>④落实环境管理及风险监控的机构、人员，加强日常监控和管理，并制定相应的环境风险事故应急预案，强化消防安全措施及管理；定期检查和保养废气治理设备，提高企业员工安全意识。</w:t>
      </w:r>
    </w:p>
    <w:p w14:paraId="73DAD413">
      <w:pPr>
        <w:pStyle w:val="515"/>
        <w:bidi w:val="0"/>
        <w:rPr>
          <w:rFonts w:hint="default" w:eastAsia="宋体"/>
          <w:lang w:val="en-US" w:eastAsia="zh-CN"/>
        </w:rPr>
      </w:pPr>
      <w:r>
        <w:rPr>
          <w:rFonts w:hint="eastAsia"/>
          <w:lang w:val="en-US" w:eastAsia="zh-CN"/>
        </w:rPr>
        <w:t>8.2环境风险事故应急处理措施</w:t>
      </w:r>
    </w:p>
    <w:p w14:paraId="557D5A41">
      <w:pPr>
        <w:pStyle w:val="512"/>
        <w:bidi w:val="0"/>
      </w:pPr>
      <w:r>
        <w:rPr>
          <w:rFonts w:hint="eastAsia"/>
          <w:lang w:val="en-US" w:eastAsia="zh-CN"/>
        </w:rPr>
        <w:t>（</w:t>
      </w:r>
      <w:r>
        <w:rPr>
          <w:rFonts w:hint="default"/>
          <w:lang w:val="en-US" w:eastAsia="zh-CN"/>
        </w:rPr>
        <w:t>1</w:t>
      </w:r>
      <w:r>
        <w:rPr>
          <w:rFonts w:hint="eastAsia"/>
          <w:lang w:val="en-US" w:eastAsia="zh-CN"/>
        </w:rPr>
        <w:t>）泄漏应急处理</w:t>
      </w:r>
    </w:p>
    <w:p w14:paraId="3E110267">
      <w:pPr>
        <w:pStyle w:val="512"/>
        <w:bidi w:val="0"/>
      </w:pPr>
      <w:r>
        <w:rPr>
          <w:rFonts w:hint="default"/>
          <w:lang w:val="en-US" w:eastAsia="zh-CN"/>
        </w:rPr>
        <w:t>1</w:t>
      </w:r>
      <w:r>
        <w:rPr>
          <w:rFonts w:hint="eastAsia"/>
          <w:lang w:val="en-US" w:eastAsia="zh-CN"/>
        </w:rPr>
        <w:t>）如果贮存区半固态或液态危险废物发生泄漏事故，应立即将容器中剩余液体转入其他专用容器内；对于泄漏的半固体物质，可采取人工收集方式（铁铲和扫帚）进行收集；对于少量泄漏的液态物质，可采用吸油毯等具有吸附能力的介质进行吸附；对于大量泄漏的液态物质，首先采用泵抽至事故应急池内，然后采用吸油毯等具有吸附能力的介质进行吸附；吸附危险废物后的物质纳入危险废物进行处置；最后对泄漏地面用水进行冲洗，冲洗废水经收集沟收集引至废液集液池进行集中收集，作为危险废物委外处置。</w:t>
      </w:r>
    </w:p>
    <w:p w14:paraId="1532357B">
      <w:pPr>
        <w:pStyle w:val="512"/>
        <w:bidi w:val="0"/>
      </w:pPr>
      <w:r>
        <w:rPr>
          <w:rFonts w:hint="default"/>
          <w:lang w:val="en-US" w:eastAsia="zh-CN"/>
        </w:rPr>
        <w:t>2</w:t>
      </w:r>
      <w:r>
        <w:rPr>
          <w:rFonts w:hint="eastAsia"/>
          <w:lang w:val="en-US" w:eastAsia="zh-CN"/>
        </w:rPr>
        <w:t>）设立事故警戒线，启动应急预案，并按《突发环境事件信息报告办法》（部令第</w:t>
      </w:r>
      <w:r>
        <w:rPr>
          <w:rFonts w:hint="default"/>
          <w:lang w:val="en-US" w:eastAsia="zh-CN"/>
        </w:rPr>
        <w:t>17</w:t>
      </w:r>
      <w:r>
        <w:rPr>
          <w:rFonts w:hint="eastAsia"/>
          <w:lang w:val="en-US" w:eastAsia="zh-CN"/>
        </w:rPr>
        <w:t>号）要求进行报告。</w:t>
      </w:r>
    </w:p>
    <w:p w14:paraId="340ACA23">
      <w:pPr>
        <w:pStyle w:val="512"/>
        <w:bidi w:val="0"/>
      </w:pPr>
      <w:r>
        <w:rPr>
          <w:rFonts w:hint="default"/>
          <w:lang w:val="en-US" w:eastAsia="zh-CN"/>
        </w:rPr>
        <w:t>3</w:t>
      </w:r>
      <w:r>
        <w:rPr>
          <w:rFonts w:hint="eastAsia"/>
          <w:lang w:val="en-US" w:eastAsia="zh-CN"/>
        </w:rPr>
        <w:t>）若造成事故的危险废物具有剧毒性、易燃性、爆炸性或高传染性，应立即疏散人群，并请求环境保护、消防、医疗、公安等相关部门支援。</w:t>
      </w:r>
    </w:p>
    <w:p w14:paraId="21723833">
      <w:pPr>
        <w:pStyle w:val="512"/>
        <w:bidi w:val="0"/>
      </w:pPr>
      <w:r>
        <w:rPr>
          <w:rFonts w:hint="default"/>
          <w:lang w:val="en-US" w:eastAsia="zh-CN"/>
        </w:rPr>
        <w:t>4</w:t>
      </w:r>
      <w:r>
        <w:rPr>
          <w:rFonts w:hint="eastAsia"/>
          <w:lang w:val="en-US" w:eastAsia="zh-CN"/>
        </w:rPr>
        <w:t>）对事故现场受到污染的土壤和水体等环境介质应进行相应的清理和修复。</w:t>
      </w:r>
    </w:p>
    <w:p w14:paraId="0EC85568">
      <w:pPr>
        <w:pStyle w:val="512"/>
        <w:bidi w:val="0"/>
      </w:pPr>
      <w:r>
        <w:rPr>
          <w:rFonts w:hint="default"/>
          <w:lang w:val="en-US" w:eastAsia="zh-CN"/>
        </w:rPr>
        <w:t>5</w:t>
      </w:r>
      <w:r>
        <w:rPr>
          <w:rFonts w:hint="eastAsia"/>
          <w:lang w:val="en-US" w:eastAsia="zh-CN"/>
        </w:rPr>
        <w:t>）清理过程中产生的所有废物均应按危险废物进行管理和处置。</w:t>
      </w:r>
    </w:p>
    <w:p w14:paraId="32E571DA">
      <w:pPr>
        <w:pStyle w:val="512"/>
        <w:bidi w:val="0"/>
      </w:pPr>
      <w:r>
        <w:rPr>
          <w:rFonts w:hint="default"/>
          <w:lang w:val="en-US" w:eastAsia="zh-CN"/>
        </w:rPr>
        <w:t>6</w:t>
      </w:r>
      <w:r>
        <w:rPr>
          <w:rFonts w:hint="eastAsia"/>
          <w:lang w:val="en-US" w:eastAsia="zh-CN"/>
        </w:rPr>
        <w:t>）进入现场清理和包装危险废物的人员应受过专业培训，穿着防护服，并佩戴</w:t>
      </w:r>
    </w:p>
    <w:p w14:paraId="0D09E5C3">
      <w:pPr>
        <w:pStyle w:val="512"/>
        <w:bidi w:val="0"/>
      </w:pPr>
      <w:r>
        <w:rPr>
          <w:rFonts w:hint="eastAsia"/>
          <w:lang w:val="en-US" w:eastAsia="zh-CN"/>
        </w:rPr>
        <w:t>相应的防护用具。</w:t>
      </w:r>
    </w:p>
    <w:p w14:paraId="2767AD22">
      <w:pPr>
        <w:pStyle w:val="512"/>
        <w:bidi w:val="0"/>
      </w:pPr>
      <w:r>
        <w:rPr>
          <w:rFonts w:hint="default"/>
          <w:lang w:val="en-US" w:eastAsia="zh-CN"/>
        </w:rPr>
        <w:t>7</w:t>
      </w:r>
      <w:r>
        <w:rPr>
          <w:rFonts w:hint="eastAsia"/>
          <w:lang w:val="en-US" w:eastAsia="zh-CN"/>
        </w:rPr>
        <w:t>）泄漏容器要妥善处理，修复、检验后再用。</w:t>
      </w:r>
    </w:p>
    <w:p w14:paraId="29D8D5C5">
      <w:pPr>
        <w:pStyle w:val="512"/>
        <w:bidi w:val="0"/>
      </w:pPr>
      <w:r>
        <w:rPr>
          <w:rFonts w:hint="eastAsia"/>
          <w:lang w:val="en-US" w:eastAsia="zh-CN"/>
        </w:rPr>
        <w:t>（</w:t>
      </w:r>
      <w:r>
        <w:rPr>
          <w:rFonts w:hint="default"/>
          <w:lang w:val="en-US" w:eastAsia="zh-CN"/>
        </w:rPr>
        <w:t>2</w:t>
      </w:r>
      <w:r>
        <w:rPr>
          <w:rFonts w:hint="eastAsia"/>
          <w:lang w:val="en-US" w:eastAsia="zh-CN"/>
        </w:rPr>
        <w:t>）着火应急处理</w:t>
      </w:r>
    </w:p>
    <w:p w14:paraId="6D8895B1">
      <w:pPr>
        <w:pStyle w:val="512"/>
        <w:bidi w:val="0"/>
      </w:pPr>
      <w:r>
        <w:rPr>
          <w:rFonts w:hint="default"/>
          <w:lang w:val="en-US" w:eastAsia="zh-CN"/>
        </w:rPr>
        <w:t>1</w:t>
      </w:r>
      <w:r>
        <w:rPr>
          <w:rFonts w:hint="eastAsia"/>
          <w:lang w:val="en-US" w:eastAsia="zh-CN"/>
        </w:rPr>
        <w:t>）灭火方法：本项目中转贮存的危险废物部分具有易燃性，若发生火灾事故，应根据着火物质的特性，采用</w:t>
      </w:r>
      <w:r>
        <w:rPr>
          <w:rFonts w:hint="default"/>
          <w:lang w:val="en-US" w:eastAsia="zh-CN"/>
        </w:rPr>
        <w:t>CO</w:t>
      </w:r>
      <w:r>
        <w:rPr>
          <w:rFonts w:hint="default"/>
          <w:vertAlign w:val="subscript"/>
          <w:lang w:val="en-US" w:eastAsia="zh-CN"/>
        </w:rPr>
        <w:t>2</w:t>
      </w:r>
      <w:r>
        <w:rPr>
          <w:rFonts w:hint="eastAsia"/>
          <w:lang w:val="en-US" w:eastAsia="zh-CN"/>
        </w:rPr>
        <w:t>灭火器、沙土和水等进行灭火。</w:t>
      </w:r>
    </w:p>
    <w:p w14:paraId="3EF94999">
      <w:pPr>
        <w:pStyle w:val="512"/>
        <w:bidi w:val="0"/>
      </w:pPr>
      <w:r>
        <w:rPr>
          <w:rFonts w:hint="default"/>
          <w:lang w:val="en-US" w:eastAsia="zh-CN"/>
        </w:rPr>
        <w:t>2</w:t>
      </w:r>
      <w:r>
        <w:rPr>
          <w:rFonts w:hint="eastAsia"/>
          <w:lang w:val="en-US" w:eastAsia="zh-CN"/>
        </w:rPr>
        <w:t>）冷却和疏散受火势威胁的密闭容器和可燃物，控制燃烧范围，并积极抢救受伤和被困人员。</w:t>
      </w:r>
    </w:p>
    <w:p w14:paraId="7DA07553">
      <w:pPr>
        <w:pStyle w:val="512"/>
        <w:bidi w:val="0"/>
      </w:pPr>
      <w:r>
        <w:rPr>
          <w:rFonts w:hint="default"/>
          <w:lang w:val="en-US" w:eastAsia="zh-CN"/>
        </w:rPr>
        <w:t>3</w:t>
      </w:r>
      <w:r>
        <w:rPr>
          <w:rFonts w:hint="eastAsia"/>
          <w:lang w:val="en-US" w:eastAsia="zh-CN"/>
        </w:rPr>
        <w:t>）通知环保、安全等相关部门人员，启动应急救护程序。</w:t>
      </w:r>
    </w:p>
    <w:p w14:paraId="09B6CBDC">
      <w:pPr>
        <w:pStyle w:val="512"/>
        <w:bidi w:val="0"/>
      </w:pPr>
      <w:r>
        <w:rPr>
          <w:rFonts w:hint="default"/>
          <w:lang w:val="en-US" w:eastAsia="zh-CN"/>
        </w:rPr>
        <w:t>4</w:t>
      </w:r>
      <w:r>
        <w:rPr>
          <w:rFonts w:hint="eastAsia"/>
          <w:lang w:val="en-US" w:eastAsia="zh-CN"/>
        </w:rPr>
        <w:t>）组织救援小组，封锁现场，疏散人员。</w:t>
      </w:r>
    </w:p>
    <w:p w14:paraId="7BB24679">
      <w:pPr>
        <w:pStyle w:val="512"/>
        <w:bidi w:val="0"/>
        <w:rPr>
          <w:rFonts w:hint="eastAsia"/>
          <w:lang w:val="en-US" w:eastAsia="zh-CN"/>
        </w:rPr>
      </w:pPr>
      <w:r>
        <w:rPr>
          <w:rFonts w:hint="default"/>
          <w:lang w:val="en-US" w:eastAsia="zh-CN"/>
        </w:rPr>
        <w:t>5</w:t>
      </w:r>
      <w:r>
        <w:rPr>
          <w:rFonts w:hint="eastAsia"/>
          <w:lang w:val="en-US" w:eastAsia="zh-CN"/>
        </w:rPr>
        <w:t>）灭火工作结束后，对现场进行恢复清理，对环境可能受到污染范围内的空气、水样、土壤进行取样监测，判定污染影响程度和采取必要的处理。</w:t>
      </w:r>
    </w:p>
    <w:p w14:paraId="35D80EF1">
      <w:pPr>
        <w:pStyle w:val="512"/>
        <w:bidi w:val="0"/>
      </w:pPr>
      <w:r>
        <w:rPr>
          <w:rFonts w:hint="default"/>
          <w:lang w:val="en-US" w:eastAsia="zh-CN"/>
        </w:rPr>
        <w:t>6</w:t>
      </w:r>
      <w:r>
        <w:rPr>
          <w:rFonts w:hint="eastAsia"/>
          <w:lang w:val="en-US" w:eastAsia="zh-CN"/>
        </w:rPr>
        <w:t>）调查和鉴定事故原因，提出事故评估报告，补充和修改事故防范措施和应急方案。</w:t>
      </w:r>
    </w:p>
    <w:p w14:paraId="0A44D77D">
      <w:pPr>
        <w:pStyle w:val="512"/>
        <w:bidi w:val="0"/>
      </w:pPr>
      <w:r>
        <w:rPr>
          <w:rFonts w:hint="eastAsia"/>
          <w:lang w:val="en-US" w:eastAsia="zh-CN"/>
        </w:rPr>
        <w:t>（</w:t>
      </w:r>
      <w:r>
        <w:rPr>
          <w:rFonts w:hint="default"/>
          <w:lang w:val="en-US" w:eastAsia="zh-CN"/>
        </w:rPr>
        <w:t>3</w:t>
      </w:r>
      <w:r>
        <w:rPr>
          <w:rFonts w:hint="eastAsia"/>
          <w:lang w:val="en-US" w:eastAsia="zh-CN"/>
        </w:rPr>
        <w:t>）风险应急监测</w:t>
      </w:r>
    </w:p>
    <w:p w14:paraId="7F7C4D08">
      <w:pPr>
        <w:pStyle w:val="512"/>
        <w:bidi w:val="0"/>
        <w:rPr>
          <w:rFonts w:hint="eastAsia"/>
          <w:lang w:eastAsia="zh-CN"/>
        </w:rPr>
      </w:pPr>
      <w:r>
        <w:rPr>
          <w:rFonts w:hint="eastAsia"/>
          <w:lang w:val="en-US" w:eastAsia="zh-CN"/>
        </w:rPr>
        <w:t>发生突发环境事件时，由企业根据事件性质、涉及的物料等组织调度附近具有监测能力的监测队伍，立即赶赴现场，在企业（或事业）单位环境应急监测小组配合下根据实际情况，迅速确定监测方案（包括监测布点、频次、项目和方法等），及时开展针对突发环境事件的应急监测工作，在尽可能短的时间内，用小型、便携、简易的仪器对污染物质种类、浓度和污染的范围及其可能的危害做出判断，根据监测结果，综合分析突发环境事件污染变化趋势，并通过专家咨询和讨论的方式，预测并报告突发环境事件的发展情况和污染物的变化情况，作为突发环境事件应急决策的依据。</w:t>
      </w:r>
    </w:p>
    <w:p w14:paraId="3253695F">
      <w:pPr>
        <w:pStyle w:val="515"/>
        <w:bidi w:val="0"/>
      </w:pPr>
      <w:r>
        <w:rPr>
          <w:rFonts w:hint="eastAsia"/>
          <w:lang w:val="en-US" w:eastAsia="zh-CN"/>
        </w:rPr>
        <w:t>8.3</w:t>
      </w:r>
      <w:r>
        <w:rPr>
          <w:rFonts w:hint="eastAsia"/>
        </w:rPr>
        <w:t>事故池容积计算和事故废水收集管网</w:t>
      </w:r>
    </w:p>
    <w:p w14:paraId="08A3384F">
      <w:pPr>
        <w:pStyle w:val="512"/>
        <w:bidi w:val="0"/>
        <w:rPr>
          <w:rFonts w:hint="eastAsia" w:eastAsia="宋体"/>
          <w:lang w:eastAsia="zh-CN"/>
        </w:rPr>
      </w:pPr>
      <w:r>
        <w:rPr>
          <w:rFonts w:hint="eastAsia"/>
          <w:lang w:eastAsia="zh-CN"/>
        </w:rPr>
        <w:t>本项目事故废水依托中华药港</w:t>
      </w:r>
      <w:r>
        <w:t>园区已建设</w:t>
      </w:r>
      <w:r>
        <w:rPr>
          <w:rFonts w:hint="eastAsia"/>
          <w:lang w:eastAsia="zh-CN"/>
        </w:rPr>
        <w:t>的</w:t>
      </w:r>
      <w:r>
        <w:t>事故应急</w:t>
      </w:r>
      <w:r>
        <w:rPr>
          <w:rFonts w:hint="eastAsia"/>
          <w:lang w:eastAsia="zh-CN"/>
        </w:rPr>
        <w:t>水</w:t>
      </w:r>
      <w:r>
        <w:t>池</w:t>
      </w:r>
      <w:r>
        <w:rPr>
          <w:rFonts w:hint="eastAsia"/>
          <w:lang w:eastAsia="zh-CN"/>
        </w:rPr>
        <w:t>进行收集暂存。</w:t>
      </w:r>
    </w:p>
    <w:p w14:paraId="22BC951C">
      <w:pPr>
        <w:pStyle w:val="512"/>
        <w:bidi w:val="0"/>
      </w:pPr>
      <w:r>
        <w:t>参照《化工建设项目环境保护设计规范》</w:t>
      </w:r>
      <w:r>
        <w:rPr>
          <w:rFonts w:hint="eastAsia"/>
          <w:lang w:eastAsia="zh-CN"/>
        </w:rPr>
        <w:t>（</w:t>
      </w:r>
      <w:r>
        <w:t>GB50483-2009</w:t>
      </w:r>
      <w:r>
        <w:rPr>
          <w:rFonts w:hint="eastAsia"/>
          <w:lang w:eastAsia="zh-CN"/>
        </w:rPr>
        <w:t>）</w:t>
      </w:r>
      <w:r>
        <w:t>和中石化集团以中国石化建标[2006]43号文印发的《水体污染防控紧急措施设计导则》要求。明确事故存储设施总有效容积的计算公式如下：</w:t>
      </w:r>
    </w:p>
    <w:p w14:paraId="2E4998CF">
      <w:pPr>
        <w:pStyle w:val="512"/>
        <w:bidi w:val="0"/>
        <w:ind w:left="0" w:leftChars="0" w:firstLine="0" w:firstLineChars="0"/>
        <w:jc w:val="center"/>
      </w:pPr>
      <w:r>
        <w:rPr>
          <w:rFonts w:hint="eastAsia"/>
        </w:rPr>
        <w:t>V总=（V</w:t>
      </w:r>
      <w:r>
        <w:rPr>
          <w:rFonts w:hint="eastAsia"/>
          <w:vertAlign w:val="subscript"/>
        </w:rPr>
        <w:t>1</w:t>
      </w:r>
      <w:r>
        <w:rPr>
          <w:rFonts w:hint="eastAsia"/>
        </w:rPr>
        <w:t>+V</w:t>
      </w:r>
      <w:r>
        <w:rPr>
          <w:rFonts w:hint="eastAsia"/>
          <w:vertAlign w:val="subscript"/>
        </w:rPr>
        <w:t>2</w:t>
      </w:r>
      <w:r>
        <w:rPr>
          <w:rFonts w:hint="eastAsia"/>
        </w:rPr>
        <w:t>-V</w:t>
      </w:r>
      <w:r>
        <w:rPr>
          <w:rFonts w:hint="eastAsia"/>
          <w:vertAlign w:val="subscript"/>
        </w:rPr>
        <w:t>3</w:t>
      </w:r>
      <w:r>
        <w:rPr>
          <w:rFonts w:hint="eastAsia"/>
        </w:rPr>
        <w:t>）</w:t>
      </w:r>
      <w:r>
        <w:rPr>
          <w:rFonts w:hint="eastAsia"/>
          <w:vertAlign w:val="subscript"/>
        </w:rPr>
        <w:t>max</w:t>
      </w:r>
      <w:r>
        <w:rPr>
          <w:rFonts w:hint="eastAsia"/>
        </w:rPr>
        <w:t>+V</w:t>
      </w:r>
      <w:r>
        <w:rPr>
          <w:rFonts w:hint="eastAsia"/>
          <w:vertAlign w:val="subscript"/>
        </w:rPr>
        <w:t>4</w:t>
      </w:r>
      <w:r>
        <w:rPr>
          <w:rFonts w:hint="eastAsia"/>
        </w:rPr>
        <w:t>+V</w:t>
      </w:r>
      <w:r>
        <w:rPr>
          <w:rFonts w:hint="eastAsia"/>
          <w:vertAlign w:val="subscript"/>
        </w:rPr>
        <w:t>5</w:t>
      </w:r>
    </w:p>
    <w:p w14:paraId="7F317CCA">
      <w:pPr>
        <w:pStyle w:val="512"/>
        <w:bidi w:val="0"/>
      </w:pPr>
      <w:r>
        <w:t>式中：V</w:t>
      </w:r>
      <w:r>
        <w:rPr>
          <w:vertAlign w:val="subscript"/>
        </w:rPr>
        <w:t>1</w:t>
      </w:r>
      <w:r>
        <w:t>—收集系统范围内发生事故的一个罐组或一套装置的物料量，储存相同物料的罐组按一个最大储罐计，装置物料量按存留最大物料量的一台反应器或中间储罐计）；</w:t>
      </w:r>
      <w:r>
        <w:rPr>
          <w:rFonts w:hint="eastAsia"/>
          <w:lang w:eastAsia="zh-CN"/>
        </w:rPr>
        <w:t>本项目依托已建的应急收集井，泄漏的危废不会排入园区事故应急池</w:t>
      </w:r>
      <w:r>
        <w:t>。</w:t>
      </w:r>
    </w:p>
    <w:p w14:paraId="01624722">
      <w:pPr>
        <w:pStyle w:val="512"/>
        <w:bidi w:val="0"/>
      </w:pPr>
      <w:r>
        <w:t>V</w:t>
      </w:r>
      <w:r>
        <w:rPr>
          <w:vertAlign w:val="subscript"/>
        </w:rPr>
        <w:t>2</w:t>
      </w:r>
      <w:r>
        <w:t>—发生事故的储罐或装置的消防水量，m</w:t>
      </w:r>
      <w:r>
        <w:rPr>
          <w:vertAlign w:val="superscript"/>
        </w:rPr>
        <w:t>3</w:t>
      </w:r>
      <w:r>
        <w:t>；根据《建筑设计防火规范》（GB50016-2014）（2018年版）、《消防给水及消火栓系统技术规范》（GB50974-2014），</w:t>
      </w:r>
      <w:r>
        <w:rPr>
          <w:rFonts w:hint="eastAsia"/>
          <w:lang w:eastAsia="zh-CN"/>
        </w:rPr>
        <w:t>甲类仓库建筑体积</w:t>
      </w:r>
      <w:r>
        <w:rPr>
          <w:rFonts w:hint="default"/>
        </w:rPr>
        <w:t>≤</w:t>
      </w:r>
      <w:r>
        <w:rPr>
          <w:rFonts w:hint="eastAsia"/>
          <w:lang w:val="en-US" w:eastAsia="zh-CN"/>
        </w:rPr>
        <w:t>1500</w:t>
      </w:r>
      <w:r>
        <w:rPr>
          <w:rFonts w:hint="eastAsia"/>
        </w:rPr>
        <w:t>须至少设置室外消火栓</w:t>
      </w:r>
      <w:r>
        <w:rPr>
          <w:rFonts w:hint="eastAsia"/>
          <w:lang w:val="en-US" w:eastAsia="zh-CN"/>
        </w:rPr>
        <w:t>15</w:t>
      </w:r>
      <w:r>
        <w:rPr>
          <w:rFonts w:hint="eastAsia"/>
        </w:rPr>
        <w:t>L/s</w:t>
      </w:r>
      <w:r>
        <w:rPr>
          <w:rFonts w:hint="eastAsia"/>
          <w:lang w:eastAsia="zh-CN"/>
        </w:rPr>
        <w:t>、</w:t>
      </w:r>
      <w:r>
        <w:rPr>
          <w:rFonts w:hint="eastAsia"/>
        </w:rPr>
        <w:t>室内消防用水设计规模10L/s</w:t>
      </w:r>
      <w:r>
        <w:rPr>
          <w:rFonts w:hint="eastAsia"/>
          <w:lang w:eastAsia="zh-CN"/>
        </w:rPr>
        <w:t>。</w:t>
      </w:r>
      <w:r>
        <w:rPr>
          <w:rFonts w:hint="eastAsia"/>
        </w:rPr>
        <w:t>本项目室内消防用水设计规模10L/s，室外消火栓用水设计规模</w:t>
      </w:r>
      <w:r>
        <w:rPr>
          <w:rFonts w:hint="eastAsia"/>
          <w:lang w:val="en-US" w:eastAsia="zh-CN"/>
        </w:rPr>
        <w:t>15</w:t>
      </w:r>
      <w:r>
        <w:rPr>
          <w:rFonts w:hint="eastAsia"/>
        </w:rPr>
        <w:t>L/s</w:t>
      </w:r>
      <w:r>
        <w:rPr>
          <w:rFonts w:hint="eastAsia"/>
          <w:lang w:eastAsia="zh-CN"/>
        </w:rPr>
        <w:t>，</w:t>
      </w:r>
      <w:r>
        <w:rPr>
          <w:rFonts w:hint="eastAsia"/>
        </w:rPr>
        <w:t>消防灭火时间</w:t>
      </w:r>
      <w:r>
        <w:rPr>
          <w:rFonts w:hint="eastAsia"/>
          <w:lang w:eastAsia="zh-CN"/>
        </w:rPr>
        <w:t>按照</w:t>
      </w:r>
      <w:r>
        <w:rPr>
          <w:rFonts w:hint="eastAsia"/>
          <w:lang w:val="en-US" w:eastAsia="zh-CN"/>
        </w:rPr>
        <w:t>6</w:t>
      </w:r>
      <w:r>
        <w:t>h</w:t>
      </w:r>
      <w:r>
        <w:rPr>
          <w:rFonts w:hint="eastAsia"/>
        </w:rPr>
        <w:t>计，本项目消防废水量约为</w:t>
      </w:r>
      <w:r>
        <w:rPr>
          <w:rFonts w:hint="eastAsia"/>
          <w:lang w:val="en-US" w:eastAsia="zh-CN"/>
        </w:rPr>
        <w:t>540</w:t>
      </w:r>
      <w:r>
        <w:rPr>
          <w:rFonts w:hint="eastAsia"/>
        </w:rPr>
        <w:t>m</w:t>
      </w:r>
      <w:r>
        <w:rPr>
          <w:rFonts w:hint="eastAsia"/>
          <w:vertAlign w:val="superscript"/>
        </w:rPr>
        <w:t>3</w:t>
      </w:r>
      <w:r>
        <w:t>。</w:t>
      </w:r>
    </w:p>
    <w:p w14:paraId="79699C3E">
      <w:pPr>
        <w:pStyle w:val="512"/>
        <w:bidi w:val="0"/>
      </w:pPr>
      <w:r>
        <w:t>V</w:t>
      </w:r>
      <w:r>
        <w:rPr>
          <w:vertAlign w:val="subscript"/>
        </w:rPr>
        <w:t>3</w:t>
      </w:r>
      <w:r>
        <w:t>—发生事故时可以转输到其他设施的物料量，m</w:t>
      </w:r>
      <w:r>
        <w:rPr>
          <w:vertAlign w:val="superscript"/>
        </w:rPr>
        <w:t>3</w:t>
      </w:r>
      <w:r>
        <w:t>；V</w:t>
      </w:r>
      <w:r>
        <w:rPr>
          <w:vertAlign w:val="subscript"/>
        </w:rPr>
        <w:t>3</w:t>
      </w:r>
      <w:r>
        <w:t>=0m</w:t>
      </w:r>
      <w:r>
        <w:rPr>
          <w:vertAlign w:val="superscript"/>
        </w:rPr>
        <w:t>3</w:t>
      </w:r>
    </w:p>
    <w:p w14:paraId="122C659A">
      <w:pPr>
        <w:pStyle w:val="512"/>
        <w:bidi w:val="0"/>
      </w:pPr>
      <w:r>
        <w:t>V</w:t>
      </w:r>
      <w:r>
        <w:rPr>
          <w:vertAlign w:val="subscript"/>
        </w:rPr>
        <w:t>4</w:t>
      </w:r>
      <w:r>
        <w:t>—发生事故时仍必须进入该收集系统的生产废水量，m</w:t>
      </w:r>
      <w:r>
        <w:rPr>
          <w:vertAlign w:val="superscript"/>
        </w:rPr>
        <w:t>3</w:t>
      </w:r>
      <w:r>
        <w:t>；</w:t>
      </w:r>
      <w:r>
        <w:rPr>
          <w:rFonts w:hint="eastAsia"/>
          <w:lang w:eastAsia="zh-CN"/>
        </w:rPr>
        <w:t>本项目发生事故时无</w:t>
      </w:r>
      <w:r>
        <w:t>必须进入</w:t>
      </w:r>
      <w:r>
        <w:rPr>
          <w:rFonts w:hint="eastAsia"/>
          <w:lang w:eastAsia="zh-CN"/>
        </w:rPr>
        <w:t>系统的</w:t>
      </w:r>
      <w:r>
        <w:t>生产废水，V</w:t>
      </w:r>
      <w:r>
        <w:rPr>
          <w:vertAlign w:val="subscript"/>
        </w:rPr>
        <w:t>4</w:t>
      </w:r>
      <w:r>
        <w:t>=0m</w:t>
      </w:r>
      <w:r>
        <w:rPr>
          <w:vertAlign w:val="superscript"/>
        </w:rPr>
        <w:t>3</w:t>
      </w:r>
    </w:p>
    <w:p w14:paraId="7FC78588">
      <w:pPr>
        <w:pStyle w:val="512"/>
        <w:bidi w:val="0"/>
      </w:pPr>
      <w:r>
        <w:t>V</w:t>
      </w:r>
      <w:r>
        <w:rPr>
          <w:vertAlign w:val="subscript"/>
        </w:rPr>
        <w:t>5</w:t>
      </w:r>
      <w:r>
        <w:t>—发生事故时可能进入该收集系统的降雨量，m</w:t>
      </w:r>
      <w:r>
        <w:rPr>
          <w:vertAlign w:val="superscript"/>
        </w:rPr>
        <w:t>3</w:t>
      </w:r>
      <w:r>
        <w:t>；本项目危废库房设置门坡，无雨水进入事故水系统。V</w:t>
      </w:r>
      <w:r>
        <w:rPr>
          <w:vertAlign w:val="subscript"/>
        </w:rPr>
        <w:t>5</w:t>
      </w:r>
      <w:r>
        <w:t>=0m</w:t>
      </w:r>
      <w:r>
        <w:rPr>
          <w:vertAlign w:val="superscript"/>
        </w:rPr>
        <w:t>3</w:t>
      </w:r>
    </w:p>
    <w:p w14:paraId="5A60F44E">
      <w:pPr>
        <w:pStyle w:val="512"/>
        <w:bidi w:val="0"/>
        <w:rPr>
          <w:rFonts w:hint="eastAsia"/>
        </w:rPr>
      </w:pPr>
      <w:r>
        <w:rPr>
          <w:rFonts w:hint="eastAsia"/>
        </w:rPr>
        <w:t>事故废水通过园区雨水管网收集进入园区事故应急池。园区在事故池和雨水排放口设置切换截止阀，一旦事故状态下消防废水或受污染的雨水产生，立即关闭雨水排放口，将消防废水和受污染的雨水通过雨水管网引入事故池，将事故污水截流在园区内部，截断事故状态下雨水系统排入地表水的途径。</w:t>
      </w:r>
    </w:p>
    <w:p w14:paraId="5C170A07">
      <w:pPr>
        <w:pStyle w:val="512"/>
        <w:bidi w:val="0"/>
        <w:rPr>
          <w:rFonts w:hint="eastAsia"/>
        </w:rPr>
      </w:pPr>
      <w:r>
        <w:t>在事故状态下</w:t>
      </w:r>
      <w:r>
        <w:rPr>
          <w:rFonts w:hint="eastAsia"/>
          <w:lang w:eastAsia="zh-CN"/>
        </w:rPr>
        <w:t>事故废水</w:t>
      </w:r>
      <w:r>
        <w:t>通过</w:t>
      </w:r>
      <w:r>
        <w:rPr>
          <w:rFonts w:hint="eastAsia"/>
        </w:rPr>
        <w:t>雨水管网引入</w:t>
      </w:r>
      <w:r>
        <w:rPr>
          <w:rFonts w:hint="eastAsia"/>
          <w:lang w:eastAsia="zh-CN"/>
        </w:rPr>
        <w:t>园区</w:t>
      </w:r>
      <w:r>
        <w:t>事故应急池，</w:t>
      </w:r>
      <w:r>
        <w:rPr>
          <w:rFonts w:hint="eastAsia"/>
          <w:lang w:eastAsia="zh-CN"/>
        </w:rPr>
        <w:t>事故废水总量为</w:t>
      </w:r>
      <w:r>
        <w:rPr>
          <w:rFonts w:hint="eastAsia"/>
          <w:lang w:val="en-US" w:eastAsia="zh-CN"/>
        </w:rPr>
        <w:t>540</w:t>
      </w:r>
      <w:r>
        <w:t>m</w:t>
      </w:r>
      <w:r>
        <w:rPr>
          <w:vertAlign w:val="superscript"/>
        </w:rPr>
        <w:t>3</w:t>
      </w:r>
      <w:r>
        <w:rPr>
          <w:rFonts w:hint="eastAsia"/>
        </w:rPr>
        <w:t>。</w:t>
      </w:r>
      <w:r>
        <w:rPr>
          <w:rFonts w:hint="eastAsia"/>
          <w:lang w:eastAsia="zh-CN"/>
        </w:rPr>
        <w:t>中华药港事故应急池容积为</w:t>
      </w:r>
      <w:r>
        <w:rPr>
          <w:rFonts w:hint="eastAsia"/>
          <w:lang w:val="en-US" w:eastAsia="zh-CN"/>
        </w:rPr>
        <w:t>1993.6</w:t>
      </w:r>
      <w:r>
        <w:t>m</w:t>
      </w:r>
      <w:r>
        <w:rPr>
          <w:vertAlign w:val="superscript"/>
        </w:rPr>
        <w:t>3</w:t>
      </w:r>
      <w:r>
        <w:rPr>
          <w:rFonts w:hint="eastAsia"/>
          <w:lang w:eastAsia="zh-CN"/>
        </w:rPr>
        <w:t>，能</w:t>
      </w:r>
      <w:r>
        <w:rPr>
          <w:rFonts w:hint="eastAsia"/>
        </w:rPr>
        <w:t>满足</w:t>
      </w:r>
      <w:r>
        <w:t>本项目</w:t>
      </w:r>
      <w:r>
        <w:rPr>
          <w:rFonts w:hint="eastAsia"/>
        </w:rPr>
        <w:t>消防</w:t>
      </w:r>
      <w:r>
        <w:t>事故废水</w:t>
      </w:r>
      <w:r>
        <w:rPr>
          <w:rFonts w:hint="eastAsia"/>
        </w:rPr>
        <w:t>需求</w:t>
      </w:r>
      <w:r>
        <w:rPr>
          <w:rFonts w:hint="eastAsia"/>
          <w:lang w:eastAsia="zh-CN"/>
        </w:rPr>
        <w:t>，因此，本项目依托园区应急设施是可行的</w:t>
      </w:r>
      <w:r>
        <w:rPr>
          <w:rFonts w:hint="eastAsia"/>
        </w:rPr>
        <w:t>。</w:t>
      </w:r>
    </w:p>
    <w:p w14:paraId="1ABF1906">
      <w:pPr>
        <w:pStyle w:val="515"/>
        <w:bidi w:val="0"/>
      </w:pPr>
      <w:bookmarkStart w:id="35" w:name="_Toc146013796"/>
      <w:r>
        <w:rPr>
          <w:rFonts w:hint="eastAsia"/>
          <w:lang w:val="en-US" w:eastAsia="zh-CN"/>
        </w:rPr>
        <w:t>8</w:t>
      </w:r>
      <w:r>
        <w:t>.</w:t>
      </w:r>
      <w:r>
        <w:rPr>
          <w:rFonts w:hint="eastAsia"/>
          <w:lang w:val="en-US" w:eastAsia="zh-CN"/>
        </w:rPr>
        <w:t>4</w:t>
      </w:r>
      <w:r>
        <w:t>环境风险管理要求</w:t>
      </w:r>
      <w:bookmarkEnd w:id="35"/>
    </w:p>
    <w:p w14:paraId="07E36280">
      <w:pPr>
        <w:pStyle w:val="512"/>
        <w:bidi w:val="0"/>
      </w:pPr>
      <w:r>
        <w:rPr>
          <w:rFonts w:hint="eastAsia"/>
          <w:lang w:eastAsia="zh-CN"/>
        </w:rPr>
        <w:t>（</w:t>
      </w:r>
      <w:r>
        <w:rPr>
          <w:rFonts w:hint="eastAsia"/>
          <w:lang w:val="en-US" w:eastAsia="zh-CN"/>
        </w:rPr>
        <w:t>1</w:t>
      </w:r>
      <w:r>
        <w:rPr>
          <w:rFonts w:hint="eastAsia"/>
          <w:lang w:eastAsia="zh-CN"/>
        </w:rPr>
        <w:t>）企业</w:t>
      </w:r>
      <w:r>
        <w:t>应当建立完善的安全管理制度和安全操作规程，并采取有效措施保证其得到执行。</w:t>
      </w:r>
    </w:p>
    <w:p w14:paraId="6808F9EA">
      <w:pPr>
        <w:pStyle w:val="512"/>
        <w:bidi w:val="0"/>
      </w:pPr>
      <w:r>
        <w:rPr>
          <w:rFonts w:hint="eastAsia"/>
          <w:lang w:eastAsia="zh-CN"/>
        </w:rPr>
        <w:t>（</w:t>
      </w:r>
      <w:r>
        <w:rPr>
          <w:rFonts w:hint="eastAsia"/>
          <w:lang w:val="en-US" w:eastAsia="zh-CN"/>
        </w:rPr>
        <w:t>2</w:t>
      </w:r>
      <w:r>
        <w:rPr>
          <w:rFonts w:hint="eastAsia"/>
          <w:lang w:eastAsia="zh-CN"/>
        </w:rPr>
        <w:t>）</w:t>
      </w:r>
      <w:r>
        <w:rPr>
          <w:rFonts w:hint="eastAsia"/>
        </w:rPr>
        <w:t>企业应制定环境应急管理制度，内容应包括：突发环境事件应急预案的编制、修订和备案要求；事故状态下的特征污染因子和应急监测能力；环境应急物资装备配备要求；建立突发环境事件隐患排查治理制度要求，明确隐患排查内容、方式和频次；环境应急培训和演练内容、方式、频次和台账记录要求；设置环境风险防范设施及环境应急处置卡标识标牌等相关要求。</w:t>
      </w:r>
    </w:p>
    <w:p w14:paraId="2BB17FB4">
      <w:pPr>
        <w:pStyle w:val="512"/>
        <w:bidi w:val="0"/>
      </w:pPr>
      <w:r>
        <w:rPr>
          <w:rFonts w:hint="eastAsia"/>
          <w:lang w:eastAsia="zh-CN"/>
        </w:rPr>
        <w:t>（</w:t>
      </w:r>
      <w:r>
        <w:rPr>
          <w:rFonts w:hint="eastAsia"/>
          <w:lang w:val="en-US" w:eastAsia="zh-CN"/>
        </w:rPr>
        <w:t>3</w:t>
      </w:r>
      <w:r>
        <w:rPr>
          <w:rFonts w:hint="eastAsia"/>
          <w:lang w:eastAsia="zh-CN"/>
        </w:rPr>
        <w:t>）企业</w:t>
      </w:r>
      <w:r>
        <w:t>应当根据</w:t>
      </w:r>
      <w:r>
        <w:rPr>
          <w:rFonts w:hint="eastAsia"/>
        </w:rPr>
        <w:t>暂存</w:t>
      </w:r>
      <w:r>
        <w:t>的危险</w:t>
      </w:r>
      <w:r>
        <w:rPr>
          <w:rFonts w:hint="eastAsia"/>
        </w:rPr>
        <w:t>废物</w:t>
      </w:r>
      <w:r>
        <w:t>种类、数量、储存方式或者相关设备、设施等实际情况，</w:t>
      </w:r>
      <w:r>
        <w:rPr>
          <w:rFonts w:hint="eastAsia"/>
        </w:rPr>
        <w:t>加强危险废物收集、贮存、转运</w:t>
      </w:r>
      <w:r>
        <w:t>安全操作规程，要求操作人员严格按照操作规程作业；</w:t>
      </w:r>
      <w:r>
        <w:rPr>
          <w:rFonts w:hint="eastAsia"/>
        </w:rPr>
        <w:t>定期对</w:t>
      </w:r>
      <w:r>
        <w:t>作业人员定期进行安全培训教育；经常性对</w:t>
      </w:r>
      <w:r>
        <w:rPr>
          <w:rFonts w:hint="eastAsia"/>
        </w:rPr>
        <w:t>危废库</w:t>
      </w:r>
      <w:r>
        <w:t>进行安全检查。</w:t>
      </w:r>
    </w:p>
    <w:p w14:paraId="107D39EC">
      <w:pPr>
        <w:pStyle w:val="512"/>
        <w:bidi w:val="0"/>
      </w:pPr>
      <w:r>
        <w:rPr>
          <w:rFonts w:hint="eastAsia"/>
          <w:lang w:eastAsia="zh-CN"/>
        </w:rPr>
        <w:t>（</w:t>
      </w:r>
      <w:r>
        <w:rPr>
          <w:rFonts w:hint="eastAsia"/>
          <w:lang w:val="en-US" w:eastAsia="zh-CN"/>
        </w:rPr>
        <w:t>4</w:t>
      </w:r>
      <w:r>
        <w:rPr>
          <w:rFonts w:hint="eastAsia"/>
          <w:lang w:eastAsia="zh-CN"/>
        </w:rPr>
        <w:t>）企业</w:t>
      </w:r>
      <w:r>
        <w:t>应当将可能发生的事故后果和应急措施等信息，以适当方式告知可能受影响的单位、区域和人员。</w:t>
      </w:r>
    </w:p>
    <w:p w14:paraId="54A08810">
      <w:pPr>
        <w:pStyle w:val="512"/>
        <w:bidi w:val="0"/>
      </w:pPr>
      <w:r>
        <w:rPr>
          <w:rFonts w:hint="eastAsia"/>
          <w:lang w:eastAsia="zh-CN"/>
        </w:rPr>
        <w:t>（</w:t>
      </w:r>
      <w:r>
        <w:rPr>
          <w:rFonts w:hint="eastAsia"/>
          <w:lang w:val="en-US" w:eastAsia="zh-CN"/>
        </w:rPr>
        <w:t>5</w:t>
      </w:r>
      <w:r>
        <w:rPr>
          <w:rFonts w:hint="eastAsia"/>
          <w:lang w:eastAsia="zh-CN"/>
        </w:rPr>
        <w:t>）企业</w:t>
      </w:r>
      <w:r>
        <w:t>应当依法制定事故应急预案，建立应急救援组织或者配备应急救援人员，配备必要的防护装备及应急救援器材、设备、物资，并保障其完好和方便使用；配合地方人民政府安全生产监督管理部门制定所在地区设计本单位的危险化学品事故应急预案。</w:t>
      </w:r>
    </w:p>
    <w:p w14:paraId="58E053DE">
      <w:pPr>
        <w:pStyle w:val="512"/>
        <w:bidi w:val="0"/>
      </w:pPr>
      <w:r>
        <w:rPr>
          <w:rFonts w:hint="eastAsia"/>
          <w:lang w:eastAsia="zh-CN"/>
        </w:rPr>
        <w:t>（</w:t>
      </w:r>
      <w:r>
        <w:rPr>
          <w:rFonts w:hint="eastAsia"/>
          <w:lang w:val="en-US" w:eastAsia="zh-CN"/>
        </w:rPr>
        <w:t>6</w:t>
      </w:r>
      <w:r>
        <w:rPr>
          <w:rFonts w:hint="eastAsia"/>
          <w:lang w:eastAsia="zh-CN"/>
        </w:rPr>
        <w:t>）企业</w:t>
      </w:r>
      <w:r>
        <w:t>应当制定事故应急演练计划。应急演练结束后，</w:t>
      </w:r>
      <w:r>
        <w:rPr>
          <w:rFonts w:hint="eastAsia"/>
          <w:lang w:eastAsia="zh-CN"/>
        </w:rPr>
        <w:t>企业</w:t>
      </w:r>
      <w:r>
        <w:t>应当对应急预案演练效果进行评估，编写应急预案演练评估报告，分析存在的问题，对应急预案提出修订意见，并及时修订完善。</w:t>
      </w:r>
    </w:p>
    <w:p w14:paraId="0418464E">
      <w:pPr>
        <w:pStyle w:val="512"/>
        <w:bidi w:val="0"/>
      </w:pPr>
      <w:r>
        <w:rPr>
          <w:rFonts w:hint="eastAsia"/>
          <w:lang w:eastAsia="zh-CN"/>
        </w:rPr>
        <w:t>（</w:t>
      </w:r>
      <w:r>
        <w:rPr>
          <w:rFonts w:hint="eastAsia"/>
          <w:lang w:val="en-US" w:eastAsia="zh-CN"/>
        </w:rPr>
        <w:t>7</w:t>
      </w:r>
      <w:r>
        <w:rPr>
          <w:rFonts w:hint="eastAsia"/>
          <w:lang w:eastAsia="zh-CN"/>
        </w:rPr>
        <w:t>）企业</w:t>
      </w:r>
      <w:r>
        <w:t>应当对辨识的危险源及时、逐项进行登记建档。</w:t>
      </w:r>
    </w:p>
    <w:p w14:paraId="5352A46B">
      <w:pPr>
        <w:pStyle w:val="515"/>
        <w:bidi w:val="0"/>
      </w:pPr>
      <w:bookmarkStart w:id="36" w:name="_Toc146013797"/>
      <w:r>
        <w:rPr>
          <w:rFonts w:hint="eastAsia"/>
          <w:lang w:val="en-US" w:eastAsia="zh-CN"/>
        </w:rPr>
        <w:t>8</w:t>
      </w:r>
      <w:r>
        <w:t>.</w:t>
      </w:r>
      <w:r>
        <w:rPr>
          <w:rFonts w:hint="eastAsia"/>
          <w:lang w:val="en-US" w:eastAsia="zh-CN"/>
        </w:rPr>
        <w:t>5</w:t>
      </w:r>
      <w:r>
        <w:t>风险应急预案</w:t>
      </w:r>
      <w:bookmarkEnd w:id="36"/>
    </w:p>
    <w:p w14:paraId="5975A788">
      <w:pPr>
        <w:pStyle w:val="512"/>
        <w:bidi w:val="0"/>
      </w:pPr>
      <w:r>
        <w:t>本项目建成后，应依据《突发环境事件应急预案管理暂行办法》、《江苏省突发环境事件应急预案编制导则》等文件要求，制定公司应急预案进行补充修订。应急预案内容需包括泄漏应急处置措施，火灾爆炸事故应急措施，大气环境污染事件环保目标的应急措施，水污染事件环保目标的应急措施，事故现场隔离及疏散方案，应急人员进入、撤离现场的条件，应急救援物资调度措施，人员的救援方式及安全保障措施，应急监测，应急终止等，并在当地环保管理部门进行备案。企业应定期组织学习事故应急预案和演练，根据演习情况结合实际对预案进行适当修改。应急队伍要进行专业培训，并要有培训记录和档案，同时加强各应急救援专业队伍的建设，配合相应器材并确保设备性能完好。</w:t>
      </w:r>
    </w:p>
    <w:p w14:paraId="2856F705">
      <w:pPr>
        <w:pStyle w:val="512"/>
        <w:bidi w:val="0"/>
      </w:pPr>
      <w:r>
        <w:t>公司预案需建立上下对应、相互衔接的应急预案体系，并做好与地方政府预案的有效衔接。本项目风险事故应急预案需与</w:t>
      </w:r>
      <w:r>
        <w:rPr>
          <w:rFonts w:hint="eastAsia"/>
          <w:lang w:eastAsia="zh-CN"/>
        </w:rPr>
        <w:t>连云港经济技术开发区</w:t>
      </w:r>
      <w:r>
        <w:t>的风险管理体系联动，如产生非正常排放、火灾、爆炸等事故时，公司风险管理员必须立刻将风险事故详情报告</w:t>
      </w:r>
      <w:r>
        <w:rPr>
          <w:rFonts w:hint="eastAsia"/>
          <w:lang w:eastAsia="zh-CN"/>
        </w:rPr>
        <w:t>连云港经济技术开发区</w:t>
      </w:r>
      <w:r>
        <w:t>管委会，取得管委会及</w:t>
      </w:r>
      <w:r>
        <w:rPr>
          <w:rFonts w:hint="eastAsia"/>
          <w:lang w:eastAsia="zh-CN"/>
        </w:rPr>
        <w:t>连云港经济技术开发区</w:t>
      </w:r>
      <w:r>
        <w:t>生态环境局的支持，将风险事故对周围环境的影响降至最低。</w:t>
      </w:r>
    </w:p>
    <w:p w14:paraId="77A4BB42">
      <w:pPr>
        <w:pStyle w:val="515"/>
        <w:bidi w:val="0"/>
      </w:pPr>
      <w:bookmarkStart w:id="37" w:name="_Toc146013798"/>
      <w:r>
        <w:rPr>
          <w:rFonts w:hint="eastAsia"/>
          <w:lang w:val="en-US" w:eastAsia="zh-CN"/>
        </w:rPr>
        <w:t>8</w:t>
      </w:r>
      <w:r>
        <w:t>.</w:t>
      </w:r>
      <w:r>
        <w:rPr>
          <w:rFonts w:hint="eastAsia"/>
          <w:lang w:val="en-US" w:eastAsia="zh-CN"/>
        </w:rPr>
        <w:t>6</w:t>
      </w:r>
      <w:r>
        <w:rPr>
          <w:rFonts w:hint="eastAsia"/>
        </w:rPr>
        <w:t>和</w:t>
      </w:r>
      <w:r>
        <w:t>园区应急体系的衔接</w:t>
      </w:r>
      <w:bookmarkEnd w:id="37"/>
    </w:p>
    <w:p w14:paraId="07F4919C">
      <w:pPr>
        <w:pStyle w:val="512"/>
        <w:bidi w:val="0"/>
        <w:rPr>
          <w:rFonts w:hint="eastAsia"/>
        </w:rPr>
      </w:pPr>
      <w:r>
        <w:rPr>
          <w:rFonts w:hint="eastAsia"/>
        </w:rPr>
        <w:t>连云港经济技术开发区管委会已制定与海州区、赣榆区生态环境、应急管理、公安消防、交通、水利等多部门间的环境应急联动工作机制，管委会设置有环保分局等部门，承担开发区环保、安全的日常工作，事故状态下，由管委会生态环境、应急管理部门开展先期处置工作，若管委会自身已无法应对，则指挥权限转交连云港市相关部门，主导应急处置工作。</w:t>
      </w:r>
    </w:p>
    <w:p w14:paraId="3C7FB703">
      <w:pPr>
        <w:pStyle w:val="512"/>
        <w:bidi w:val="0"/>
      </w:pPr>
      <w:r>
        <w:rPr>
          <w:rFonts w:hint="eastAsia"/>
        </w:rPr>
        <w:t>根据园区要求，本企业应完成以下与园区应急体系的衔接工作：</w:t>
      </w:r>
    </w:p>
    <w:p w14:paraId="0B7663B7">
      <w:pPr>
        <w:pStyle w:val="512"/>
        <w:bidi w:val="0"/>
        <w:rPr>
          <w:lang w:val="en-US"/>
        </w:rPr>
      </w:pPr>
      <w:r>
        <w:rPr>
          <w:lang w:val="en-US"/>
        </w:rPr>
        <w:t>（1）强化风险意识、加强安全管理</w:t>
      </w:r>
    </w:p>
    <w:p w14:paraId="644A38AE">
      <w:pPr>
        <w:pStyle w:val="512"/>
        <w:bidi w:val="0"/>
        <w:rPr>
          <w:lang w:val="en-US"/>
        </w:rPr>
      </w:pPr>
      <w:r>
        <w:rPr>
          <w:lang w:val="en-US"/>
        </w:rPr>
        <w:t>安全生产是企业立厂之本，园区内企业要强化风险意识、加强安全管理，具体建议如下：</w:t>
      </w:r>
    </w:p>
    <w:p w14:paraId="20455166">
      <w:pPr>
        <w:pStyle w:val="512"/>
        <w:bidi w:val="0"/>
        <w:rPr>
          <w:lang w:val="en-US"/>
        </w:rPr>
      </w:pPr>
      <w:r>
        <w:rPr>
          <w:rFonts w:hint="eastAsia"/>
          <w:lang w:val="en-US" w:eastAsia="zh-CN"/>
        </w:rPr>
        <w:t>1）</w:t>
      </w:r>
      <w:r>
        <w:rPr>
          <w:lang w:val="en-US"/>
        </w:rPr>
        <w:t>将“安全第一，以防为主</w:t>
      </w:r>
      <w:r>
        <w:rPr>
          <w:rFonts w:hint="eastAsia"/>
          <w:lang w:val="en-US" w:eastAsia="zh-CN"/>
        </w:rPr>
        <w:t>”</w:t>
      </w:r>
      <w:r>
        <w:rPr>
          <w:lang w:val="en-US"/>
        </w:rPr>
        <w:t>作为公司经营的基本原则；</w:t>
      </w:r>
    </w:p>
    <w:p w14:paraId="5F632C18">
      <w:pPr>
        <w:pStyle w:val="512"/>
        <w:bidi w:val="0"/>
        <w:rPr>
          <w:lang w:val="en-US"/>
        </w:rPr>
      </w:pPr>
      <w:r>
        <w:rPr>
          <w:rFonts w:hint="eastAsia"/>
          <w:lang w:val="en-US" w:eastAsia="zh-CN"/>
        </w:rPr>
        <w:t>2）危废库</w:t>
      </w:r>
      <w:r>
        <w:rPr>
          <w:lang w:val="en-US"/>
        </w:rPr>
        <w:t>应设置相应的风险防范措施；</w:t>
      </w:r>
    </w:p>
    <w:p w14:paraId="0F694FEC">
      <w:pPr>
        <w:pStyle w:val="512"/>
        <w:bidi w:val="0"/>
        <w:rPr>
          <w:lang w:val="en-US"/>
        </w:rPr>
      </w:pPr>
      <w:r>
        <w:rPr>
          <w:rFonts w:hint="eastAsia"/>
          <w:lang w:val="en-US" w:eastAsia="zh-CN"/>
        </w:rPr>
        <w:t>3）</w:t>
      </w:r>
      <w:r>
        <w:rPr>
          <w:lang w:val="en-US"/>
        </w:rPr>
        <w:t>进行广泛系统的培训，使所有操作人员熟悉自己的岗位，树立严谨规范的操作作风，并且在任何紧急状况下都能随时对工艺装置进行控制，并及时、独立、正确地实施相关应急措施。</w:t>
      </w:r>
    </w:p>
    <w:p w14:paraId="75BF7AC9">
      <w:pPr>
        <w:pStyle w:val="512"/>
        <w:bidi w:val="0"/>
        <w:rPr>
          <w:lang w:val="en-US"/>
        </w:rPr>
      </w:pPr>
      <w:r>
        <w:rPr>
          <w:rFonts w:hint="eastAsia"/>
          <w:lang w:val="en-US" w:eastAsia="zh-CN"/>
        </w:rPr>
        <w:t>5）</w:t>
      </w:r>
      <w:r>
        <w:rPr>
          <w:lang w:val="en-US"/>
        </w:rPr>
        <w:t>设立安全环保科，负责全厂的安全管理，应聘请具有丰富经验的人才担当负责人，每个车间和主要装置设置专职或兼职安全员，兼职安全员原则上由工艺员担任。</w:t>
      </w:r>
    </w:p>
    <w:p w14:paraId="4C6899AD">
      <w:pPr>
        <w:pStyle w:val="512"/>
        <w:bidi w:val="0"/>
        <w:rPr>
          <w:lang w:val="en-US"/>
        </w:rPr>
      </w:pPr>
      <w:r>
        <w:rPr>
          <w:rFonts w:hint="eastAsia"/>
          <w:lang w:val="en-US" w:eastAsia="zh-CN"/>
        </w:rPr>
        <w:t>6）</w:t>
      </w:r>
      <w:r>
        <w:rPr>
          <w:lang w:val="en-US"/>
        </w:rPr>
        <w:t>成立事故应急救援“指挥领导小组</w:t>
      </w:r>
      <w:r>
        <w:rPr>
          <w:rFonts w:hint="eastAsia"/>
          <w:lang w:val="en-US" w:eastAsia="zh-CN"/>
        </w:rPr>
        <w:t>”</w:t>
      </w:r>
      <w:r>
        <w:rPr>
          <w:lang w:val="en-US"/>
        </w:rPr>
        <w:t>，由厂长、有关副厂长及部门领导组成，下设应急救援办公室</w:t>
      </w:r>
      <w:r>
        <w:rPr>
          <w:rFonts w:hint="eastAsia"/>
          <w:lang w:val="en-US" w:eastAsia="zh-CN"/>
        </w:rPr>
        <w:t>（</w:t>
      </w:r>
      <w:r>
        <w:rPr>
          <w:lang w:val="en-US"/>
        </w:rPr>
        <w:t>设在安环科</w:t>
      </w:r>
      <w:r>
        <w:rPr>
          <w:rFonts w:hint="eastAsia"/>
          <w:lang w:val="en-US" w:eastAsia="zh-CN"/>
        </w:rPr>
        <w:t>）</w:t>
      </w:r>
      <w:r>
        <w:rPr>
          <w:lang w:val="en-US"/>
        </w:rPr>
        <w:t>，日常工作由安环科兼管。发生重大事故时，以指挥领导小组为基础，即事故应急救援指挥部，厂长任总指挥，有关副厂长任副总指挥，负责全厂应急救援工作的组织和指挥，指挥部设在生产调度室。</w:t>
      </w:r>
    </w:p>
    <w:p w14:paraId="03CEB658">
      <w:pPr>
        <w:pStyle w:val="512"/>
        <w:bidi w:val="0"/>
        <w:rPr>
          <w:lang w:val="en-US"/>
        </w:rPr>
      </w:pPr>
      <w:r>
        <w:rPr>
          <w:rFonts w:hint="eastAsia"/>
          <w:lang w:val="en-US" w:eastAsia="zh-CN"/>
        </w:rPr>
        <w:t>7）</w:t>
      </w:r>
      <w:r>
        <w:rPr>
          <w:lang w:val="en-US"/>
        </w:rPr>
        <w:t>按《劳动法》有关规定，为职工提供劳动安全卫生条件和劳动防护用品，厂区医院配备足够的医疗药品和其他救助品，便于事故应急处置和救援。同时配备必要的消防设备。</w:t>
      </w:r>
    </w:p>
    <w:p w14:paraId="6FDC2AA0">
      <w:pPr>
        <w:pStyle w:val="512"/>
        <w:bidi w:val="0"/>
        <w:rPr>
          <w:lang w:val="en-US"/>
        </w:rPr>
      </w:pPr>
      <w:r>
        <w:rPr>
          <w:rFonts w:hint="eastAsia"/>
          <w:lang w:val="en-US" w:eastAsia="zh-CN"/>
        </w:rPr>
        <w:t>8）</w:t>
      </w:r>
      <w:r>
        <w:rPr>
          <w:lang w:val="en-US"/>
        </w:rPr>
        <w:t>在开展ISO14001认证的基础上，积极开展ESH审计和OHSAS18001认证，全面提高安全管理水平。</w:t>
      </w:r>
    </w:p>
    <w:p w14:paraId="38FE0C1E">
      <w:pPr>
        <w:pStyle w:val="512"/>
        <w:bidi w:val="0"/>
        <w:rPr>
          <w:lang w:val="en-US"/>
        </w:rPr>
      </w:pPr>
      <w:r>
        <w:rPr>
          <w:rFonts w:hint="eastAsia"/>
          <w:lang w:val="en-US"/>
        </w:rPr>
        <w:t>（2）</w:t>
      </w:r>
      <w:r>
        <w:rPr>
          <w:lang w:val="en-US"/>
        </w:rPr>
        <w:t>应急预案编制与演练</w:t>
      </w:r>
    </w:p>
    <w:p w14:paraId="0DD8E28E">
      <w:pPr>
        <w:pStyle w:val="512"/>
        <w:bidi w:val="0"/>
        <w:rPr>
          <w:lang w:val="en-US"/>
        </w:rPr>
      </w:pPr>
      <w:r>
        <w:rPr>
          <w:lang w:val="en-US"/>
        </w:rPr>
        <w:t>开发区所有入驻企业应开展应急预案的编制、评估、发布、备案、演练工作，配备相应的应急设施与物资。</w:t>
      </w:r>
    </w:p>
    <w:p w14:paraId="71965244">
      <w:pPr>
        <w:pStyle w:val="512"/>
        <w:bidi w:val="0"/>
        <w:rPr>
          <w:rFonts w:hint="eastAsia"/>
        </w:rPr>
      </w:pPr>
      <w:r>
        <w:t>本项目按要求履行环评手续</w:t>
      </w:r>
      <w:r>
        <w:rPr>
          <w:rFonts w:hint="eastAsia"/>
        </w:rPr>
        <w:t>，</w:t>
      </w:r>
      <w:r>
        <w:t>建成后完成环境应急预案和风险评价工作</w:t>
      </w:r>
      <w:r>
        <w:rPr>
          <w:rFonts w:hint="eastAsia"/>
        </w:rPr>
        <w:t>，</w:t>
      </w:r>
      <w:r>
        <w:t>制定严格的风险防范措施</w:t>
      </w:r>
      <w:r>
        <w:rPr>
          <w:rFonts w:hint="eastAsia"/>
        </w:rPr>
        <w:t>，</w:t>
      </w:r>
      <w:r>
        <w:t>做好和园区应急体系的衔接工作</w:t>
      </w:r>
      <w:r>
        <w:rPr>
          <w:rFonts w:hint="eastAsia"/>
        </w:rPr>
        <w:t>。</w:t>
      </w:r>
    </w:p>
    <w:p w14:paraId="3D8EBDC9">
      <w:pPr>
        <w:pStyle w:val="515"/>
        <w:bidi w:val="0"/>
      </w:pPr>
      <w:bookmarkStart w:id="38" w:name="_Toc146013799"/>
      <w:r>
        <w:rPr>
          <w:rFonts w:hint="eastAsia"/>
          <w:lang w:val="en-US" w:eastAsia="zh-CN"/>
        </w:rPr>
        <w:t>9</w:t>
      </w:r>
      <w:r>
        <w:t>结论与建议</w:t>
      </w:r>
      <w:bookmarkEnd w:id="38"/>
    </w:p>
    <w:p w14:paraId="4E04C121">
      <w:pPr>
        <w:pStyle w:val="512"/>
        <w:bidi w:val="0"/>
      </w:pPr>
      <w:r>
        <w:t>本项目环境风险评价结论与建议如下：</w:t>
      </w:r>
    </w:p>
    <w:p w14:paraId="3EBE64CE">
      <w:pPr>
        <w:pStyle w:val="512"/>
        <w:bidi w:val="0"/>
      </w:pPr>
      <w:r>
        <w:t>（1）根据项目涉及</w:t>
      </w:r>
      <w:r>
        <w:rPr>
          <w:rFonts w:hint="eastAsia"/>
          <w:lang w:eastAsia="zh-CN"/>
        </w:rPr>
        <w:t>危险废物</w:t>
      </w:r>
      <w:r>
        <w:t>物质理化性质及《建设项目环境风险评价技术导则HJ169-2018》附录B，建设项目危险物质主要</w:t>
      </w:r>
      <w:r>
        <w:rPr>
          <w:rFonts w:hint="eastAsia"/>
        </w:rPr>
        <w:t>为各类危险废物</w:t>
      </w:r>
      <w:r>
        <w:t>。建议企业健全环境风险管理，落实各项风险方法措施，降低项目的危险性。</w:t>
      </w:r>
    </w:p>
    <w:p w14:paraId="26467AAE">
      <w:pPr>
        <w:pStyle w:val="512"/>
        <w:bidi w:val="0"/>
      </w:pPr>
      <w:r>
        <w:t>（2）项目所在地为</w:t>
      </w:r>
      <w:r>
        <w:rPr>
          <w:rFonts w:hint="eastAsia"/>
          <w:lang w:eastAsia="zh-CN"/>
        </w:rPr>
        <w:t>连云港经济技术开发区</w:t>
      </w:r>
      <w:r>
        <w:t>，大气环境敏感程度为E1，地表水环境敏感程度为E</w:t>
      </w:r>
      <w:r>
        <w:rPr>
          <w:rFonts w:hint="eastAsia"/>
          <w:lang w:val="en-US" w:eastAsia="zh-CN"/>
        </w:rPr>
        <w:t>1</w:t>
      </w:r>
      <w:r>
        <w:t>，地下水环境敏感程度为E3，对照环境风险评价导则，确定建设项目环境风险评价工作级别大气环境为二级，地表水为</w:t>
      </w:r>
      <w:r>
        <w:rPr>
          <w:rFonts w:hint="eastAsia"/>
          <w:lang w:eastAsia="zh-CN"/>
        </w:rPr>
        <w:t>二</w:t>
      </w:r>
      <w:r>
        <w:t>级，地下水为简单分析，总体评价为二级。通过对建设项目各类事故的发生概率及其源项分析，确定建设项目大气环境风险最大可信事故为：火灾爆炸事故。</w:t>
      </w:r>
    </w:p>
    <w:p w14:paraId="5646C865">
      <w:pPr>
        <w:pStyle w:val="512"/>
        <w:bidi w:val="0"/>
      </w:pPr>
      <w:r>
        <w:t>（3）为了防范事故和减少危害，本项目厂区总平面布置应严格执行《工业企业总平面设计规范》等国家有关法规及技术标准要求进行。加强厂区消防设施的日常管理，确保事故时消防设施能够正常使用，针对厂房等可能出现的火灾事故按相关规定进行消防演练。贮存设备、贮存方式要符合国家标准。应配置足量泄漏、火灾、爆炸事故时的应急物质，如沙袋、粘土、备用容器、必须的医药应急药品等。</w:t>
      </w:r>
      <w:r>
        <w:rPr>
          <w:rFonts w:hint="eastAsia"/>
        </w:rPr>
        <w:t>生产区域</w:t>
      </w:r>
      <w:r>
        <w:t>应</w:t>
      </w:r>
      <w:r>
        <w:rPr>
          <w:rFonts w:hint="eastAsia"/>
        </w:rPr>
        <w:t>设置</w:t>
      </w:r>
      <w:r>
        <w:t>废液收集设施，以防止物质泄漏时不至于扩散到</w:t>
      </w:r>
      <w:r>
        <w:rPr>
          <w:rFonts w:hint="eastAsia"/>
        </w:rPr>
        <w:t>厂区外</w:t>
      </w:r>
      <w:r>
        <w:t>。危险物的最大储存量是影响风险程度的首要因素之一，</w:t>
      </w:r>
      <w:r>
        <w:rPr>
          <w:rFonts w:hint="eastAsia"/>
          <w:lang w:eastAsia="zh-CN"/>
        </w:rPr>
        <w:t>企业</w:t>
      </w:r>
      <w:r>
        <w:t>可通过有效途径减少危险废物的贮存量，使危害减到尽可能小的程度。企业应成立环境风险事故应急救援指挥领导小组，由企业</w:t>
      </w:r>
      <w:r>
        <w:rPr>
          <w:rFonts w:hint="eastAsia"/>
        </w:rPr>
        <w:t>负责人</w:t>
      </w:r>
      <w:r>
        <w:t>及生产、安全环保、设备、保卫、卫生等部门负责人组成，负责一旦发生事故时的全厂应急救援的组织和指挥，企业法人代表任总指挥。</w:t>
      </w:r>
    </w:p>
    <w:p w14:paraId="59DF78E7">
      <w:pPr>
        <w:pStyle w:val="512"/>
        <w:bidi w:val="0"/>
      </w:pPr>
      <w:r>
        <w:t>综上所述，</w:t>
      </w:r>
      <w:r>
        <w:rPr>
          <w:rFonts w:hint="eastAsia"/>
          <w:lang w:eastAsia="zh-CN"/>
        </w:rPr>
        <w:t>企业</w:t>
      </w:r>
      <w:r>
        <w:t>发生事故对周边环境有一定影响，但环境风险可防控。</w:t>
      </w:r>
      <w:r>
        <w:rPr>
          <w:rFonts w:hint="eastAsia"/>
          <w:lang w:eastAsia="zh-CN"/>
        </w:rPr>
        <w:t>企业</w:t>
      </w:r>
      <w:r>
        <w:t>应该认真做好各项风险防范措施，完善管理制度，储运过程应该严格操作，杜绝风险事故。严格履行风险应急预案，一旦发生突发事故，</w:t>
      </w:r>
      <w:r>
        <w:rPr>
          <w:rFonts w:hint="eastAsia"/>
          <w:lang w:eastAsia="zh-CN"/>
        </w:rPr>
        <w:t>企业</w:t>
      </w:r>
      <w:r>
        <w:t>除了根据内部制定和履行最快最有效的应急预案自救外，应立即报告当地环境主管部门</w:t>
      </w:r>
      <w:r>
        <w:rPr>
          <w:rFonts w:hint="eastAsia"/>
        </w:rPr>
        <w:t>，</w:t>
      </w:r>
      <w:r>
        <w:t>按统一部署将污染事故降低到最小。</w:t>
      </w:r>
    </w:p>
    <w:p w14:paraId="38AD163F">
      <w:pPr>
        <w:pStyle w:val="512"/>
        <w:rPr>
          <w:rFonts w:hint="eastAsia"/>
        </w:rPr>
      </w:pPr>
    </w:p>
    <w:p w14:paraId="04A0229E">
      <w:pPr>
        <w:pStyle w:val="512"/>
        <w:rPr>
          <w:rFonts w:hint="eastAsia"/>
        </w:rPr>
      </w:pPr>
    </w:p>
    <w:p w14:paraId="3F494D5D">
      <w:pPr>
        <w:pStyle w:val="512"/>
        <w:rPr>
          <w:rFonts w:hint="eastAsia"/>
        </w:rPr>
        <w:sectPr>
          <w:footerReference r:id="rId9" w:type="default"/>
          <w:pgSz w:w="11906" w:h="16838"/>
          <w:pgMar w:top="1701" w:right="1531" w:bottom="1701" w:left="1531" w:header="851" w:footer="851" w:gutter="0"/>
          <w:pgBorders>
            <w:top w:val="none" w:sz="0" w:space="0"/>
            <w:left w:val="none" w:sz="0" w:space="0"/>
            <w:bottom w:val="none" w:sz="0" w:space="0"/>
            <w:right w:val="none" w:sz="0" w:space="0"/>
          </w:pgBorders>
          <w:pgNumType w:fmt="decimal" w:start="1"/>
          <w:cols w:space="720" w:num="1"/>
          <w:docGrid w:linePitch="312" w:charSpace="0"/>
        </w:sectPr>
      </w:pPr>
    </w:p>
    <w:p w14:paraId="50C40428">
      <w:pPr>
        <w:pStyle w:val="512"/>
        <w:spacing w:line="240" w:lineRule="auto"/>
        <w:rPr>
          <w:rFonts w:hint="eastAsia"/>
        </w:rPr>
      </w:pPr>
      <w:r>
        <w:rPr>
          <w:rFonts w:hint="eastAsia"/>
        </w:rPr>
        <w:t>附图</w:t>
      </w:r>
      <w:r>
        <w:rPr>
          <w:rFonts w:hint="eastAsia"/>
          <w:lang w:eastAsia="zh-CN"/>
        </w:rPr>
        <w:t>一</w:t>
      </w:r>
      <w:r>
        <w:rPr>
          <w:rFonts w:hint="eastAsia"/>
        </w:rPr>
        <w:t>：项目</w:t>
      </w:r>
      <w:r>
        <w:rPr>
          <w:rFonts w:hint="eastAsia"/>
          <w:lang w:val="en-US" w:eastAsia="zh-CN"/>
        </w:rPr>
        <w:t>5km范围内</w:t>
      </w:r>
      <w:r>
        <w:rPr>
          <w:rFonts w:hint="eastAsia"/>
          <w:lang w:eastAsia="zh-CN"/>
        </w:rPr>
        <w:t>敏感目标</w:t>
      </w:r>
      <w:r>
        <w:rPr>
          <w:rFonts w:hint="eastAsia"/>
        </w:rPr>
        <w:t>布置图</w:t>
      </w:r>
    </w:p>
    <w:p w14:paraId="10FA783B">
      <w:pPr>
        <w:pStyle w:val="1111"/>
        <w:rPr>
          <w:rFonts w:hint="eastAsia" w:eastAsia="宋体"/>
          <w:lang w:eastAsia="zh-CN"/>
        </w:rPr>
      </w:pPr>
      <w:r>
        <w:rPr>
          <w:rFonts w:hint="eastAsia" w:eastAsia="宋体"/>
          <w:lang w:eastAsia="zh-CN"/>
        </w:rPr>
        <w:drawing>
          <wp:inline distT="0" distB="0" distL="114300" distR="114300">
            <wp:extent cx="7646670" cy="5393690"/>
            <wp:effectExtent l="0" t="0" r="11430" b="16510"/>
            <wp:docPr id="9" name="图片 9" descr="风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风险"/>
                    <pic:cNvPicPr>
                      <a:picLocks noChangeAspect="1"/>
                    </pic:cNvPicPr>
                  </pic:nvPicPr>
                  <pic:blipFill>
                    <a:blip r:embed="rId59"/>
                    <a:stretch>
                      <a:fillRect/>
                    </a:stretch>
                  </pic:blipFill>
                  <pic:spPr>
                    <a:xfrm>
                      <a:off x="0" y="0"/>
                      <a:ext cx="7646670" cy="5393690"/>
                    </a:xfrm>
                    <a:prstGeom prst="rect">
                      <a:avLst/>
                    </a:prstGeom>
                  </pic:spPr>
                </pic:pic>
              </a:graphicData>
            </a:graphic>
          </wp:inline>
        </w:drawing>
      </w:r>
    </w:p>
    <w:p w14:paraId="143C8293">
      <w:pPr>
        <w:pStyle w:val="512"/>
        <w:spacing w:line="240" w:lineRule="auto"/>
        <w:rPr>
          <w:rFonts w:hint="eastAsia" w:eastAsia="宋体"/>
          <w:lang w:eastAsia="zh-CN"/>
        </w:rPr>
      </w:pPr>
      <w:r>
        <w:rPr>
          <w:rFonts w:hint="eastAsia"/>
        </w:rPr>
        <w:t>附图</w:t>
      </w:r>
      <w:r>
        <w:rPr>
          <w:rFonts w:hint="eastAsia"/>
          <w:lang w:eastAsia="zh-CN"/>
        </w:rPr>
        <w:t>二</w:t>
      </w:r>
      <w:r>
        <w:rPr>
          <w:rFonts w:hint="eastAsia"/>
        </w:rPr>
        <w:t>：</w:t>
      </w:r>
      <w:r>
        <w:rPr>
          <w:rFonts w:hint="eastAsia"/>
          <w:lang w:eastAsia="zh-CN"/>
        </w:rPr>
        <w:t>环境应急设施分布图</w:t>
      </w:r>
    </w:p>
    <w:p w14:paraId="6C058FC5">
      <w:pPr>
        <w:pStyle w:val="512"/>
        <w:spacing w:line="240" w:lineRule="auto"/>
      </w:pPr>
      <w:r>
        <w:drawing>
          <wp:inline distT="0" distB="0" distL="114300" distR="114300">
            <wp:extent cx="7198995" cy="5307965"/>
            <wp:effectExtent l="0" t="0" r="1905" b="6985"/>
            <wp:docPr id="4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
                    <pic:cNvPicPr>
                      <a:picLocks noChangeAspect="1"/>
                    </pic:cNvPicPr>
                  </pic:nvPicPr>
                  <pic:blipFill>
                    <a:blip r:embed="rId60"/>
                    <a:stretch>
                      <a:fillRect/>
                    </a:stretch>
                  </pic:blipFill>
                  <pic:spPr>
                    <a:xfrm>
                      <a:off x="0" y="0"/>
                      <a:ext cx="7198995" cy="5307965"/>
                    </a:xfrm>
                    <a:prstGeom prst="rect">
                      <a:avLst/>
                    </a:prstGeom>
                    <a:noFill/>
                    <a:ln>
                      <a:noFill/>
                    </a:ln>
                  </pic:spPr>
                </pic:pic>
              </a:graphicData>
            </a:graphic>
          </wp:inline>
        </w:drawing>
      </w:r>
    </w:p>
    <w:p w14:paraId="28F44829">
      <w:pPr>
        <w:pStyle w:val="512"/>
        <w:spacing w:line="240" w:lineRule="auto"/>
        <w:rPr>
          <w:rFonts w:hint="eastAsia"/>
          <w:lang w:val="en-US" w:eastAsia="zh-CN"/>
        </w:rPr>
      </w:pPr>
      <w:r>
        <w:rPr>
          <w:rFonts w:hint="eastAsia"/>
          <w:lang w:eastAsia="zh-CN"/>
        </w:rPr>
        <w:t>附图三</w:t>
      </w:r>
      <w:r>
        <w:rPr>
          <w:rFonts w:hint="eastAsia"/>
          <w:lang w:val="en-US" w:eastAsia="zh-CN"/>
        </w:rPr>
        <w:t>：雨污水、事故水收集排放管网示意图</w:t>
      </w:r>
    </w:p>
    <w:p w14:paraId="75C01C6F">
      <w:pPr>
        <w:pStyle w:val="51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lang w:val="en-US" w:eastAsia="zh-CN"/>
        </w:rPr>
      </w:pPr>
      <w:r>
        <w:drawing>
          <wp:inline distT="0" distB="0" distL="114300" distR="114300">
            <wp:extent cx="7040880" cy="5389245"/>
            <wp:effectExtent l="0" t="0" r="7620" b="1905"/>
            <wp:docPr id="4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5"/>
                    <pic:cNvPicPr>
                      <a:picLocks noChangeAspect="1"/>
                    </pic:cNvPicPr>
                  </pic:nvPicPr>
                  <pic:blipFill>
                    <a:blip r:embed="rId61"/>
                    <a:stretch>
                      <a:fillRect/>
                    </a:stretch>
                  </pic:blipFill>
                  <pic:spPr>
                    <a:xfrm>
                      <a:off x="0" y="0"/>
                      <a:ext cx="7040880" cy="5389245"/>
                    </a:xfrm>
                    <a:prstGeom prst="rect">
                      <a:avLst/>
                    </a:prstGeom>
                    <a:noFill/>
                    <a:ln>
                      <a:noFill/>
                    </a:ln>
                  </pic:spPr>
                </pic:pic>
              </a:graphicData>
            </a:graphic>
          </wp:inline>
        </w:drawing>
      </w:r>
      <w:bookmarkStart w:id="39" w:name="_GoBack"/>
      <w:bookmarkEnd w:id="39"/>
    </w:p>
    <w:p w14:paraId="31A4DC87">
      <w:pPr>
        <w:pStyle w:val="512"/>
        <w:spacing w:line="240" w:lineRule="auto"/>
        <w:rPr>
          <w:rFonts w:hint="eastAsia"/>
        </w:rPr>
      </w:pPr>
      <w:r>
        <w:rPr>
          <w:rFonts w:hint="eastAsia"/>
        </w:rPr>
        <w:t>附图</w:t>
      </w:r>
      <w:r>
        <w:rPr>
          <w:rFonts w:hint="eastAsia"/>
          <w:lang w:eastAsia="zh-CN"/>
        </w:rPr>
        <w:t>四</w:t>
      </w:r>
      <w:r>
        <w:rPr>
          <w:rFonts w:hint="eastAsia"/>
        </w:rPr>
        <w:t>：</w:t>
      </w:r>
      <w:r>
        <w:rPr>
          <w:rFonts w:hint="eastAsia"/>
          <w:lang w:eastAsia="zh-CN"/>
        </w:rPr>
        <w:t>应急疏散</w:t>
      </w:r>
      <w:r>
        <w:rPr>
          <w:rFonts w:hint="eastAsia"/>
        </w:rPr>
        <w:t>图</w:t>
      </w:r>
    </w:p>
    <w:p w14:paraId="39528EC7">
      <w:pPr>
        <w:pStyle w:val="1111"/>
        <w:rPr>
          <w:rFonts w:hint="eastAsia"/>
          <w:lang w:eastAsia="zh-CN"/>
        </w:rPr>
      </w:pPr>
      <w:r>
        <w:drawing>
          <wp:inline distT="0" distB="0" distL="114300" distR="114300">
            <wp:extent cx="6423660" cy="5388610"/>
            <wp:effectExtent l="0" t="0" r="15240" b="2540"/>
            <wp:docPr id="4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
                    <pic:cNvPicPr>
                      <a:picLocks noChangeAspect="1"/>
                    </pic:cNvPicPr>
                  </pic:nvPicPr>
                  <pic:blipFill>
                    <a:blip r:embed="rId62"/>
                    <a:stretch>
                      <a:fillRect/>
                    </a:stretch>
                  </pic:blipFill>
                  <pic:spPr>
                    <a:xfrm>
                      <a:off x="0" y="0"/>
                      <a:ext cx="6423660" cy="5388610"/>
                    </a:xfrm>
                    <a:prstGeom prst="rect">
                      <a:avLst/>
                    </a:prstGeom>
                    <a:noFill/>
                    <a:ln>
                      <a:noFill/>
                    </a:ln>
                  </pic:spPr>
                </pic:pic>
              </a:graphicData>
            </a:graphic>
          </wp:inline>
        </w:drawing>
      </w:r>
    </w:p>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0"/>
    <w:family w:val="roma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altName w:val="宋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libri Light">
    <w:panose1 w:val="020F0302020204030204"/>
    <w:charset w:val="00"/>
    <w:family w:val="swiss"/>
    <w:pitch w:val="default"/>
    <w:sig w:usb0="A00002EF" w:usb1="4000207B" w:usb2="00000000" w:usb3="00000000" w:csb0="2000019F" w:csb1="00000000"/>
  </w:font>
  <w:font w:name="仿宋_GB2312">
    <w:altName w:val="仿宋"/>
    <w:panose1 w:val="02010609030101010101"/>
    <w:charset w:val="86"/>
    <w:family w:val="auto"/>
    <w:pitch w:val="default"/>
    <w:sig w:usb0="00000000" w:usb1="00000000" w:usb2="00000000" w:usb3="00000000" w:csb0="00040000" w:csb1="00000000"/>
  </w:font>
  <w:font w:name="Cambria">
    <w:panose1 w:val="02040503050406030204"/>
    <w:charset w:val="00"/>
    <w:family w:val="roman"/>
    <w:pitch w:val="default"/>
    <w:sig w:usb0="E00002FF" w:usb1="400004FF" w:usb2="00000000" w:usb3="00000000" w:csb0="2000019F" w:csb1="00000000"/>
  </w:font>
  <w:font w:name="楷体_GB2312">
    <w:altName w:val="楷体"/>
    <w:panose1 w:val="02010609030101010101"/>
    <w:charset w:val="86"/>
    <w:family w:val="modern"/>
    <w:pitch w:val="default"/>
    <w:sig w:usb0="00000000" w:usb1="00000000" w:usb2="00000000" w:usb3="00000000" w:csb0="00040000" w:csb1="00000000"/>
  </w:font>
  <w:font w:name="TimesNewRoman">
    <w:altName w:val="Times New Roman"/>
    <w:panose1 w:val="00000000000000000000"/>
    <w:charset w:val="00"/>
    <w:family w:val="roman"/>
    <w:pitch w:val="default"/>
    <w:sig w:usb0="00000000" w:usb1="00000000" w:usb2="00000000" w:usb3="00000000" w:csb0="00000001" w:csb1="00000000"/>
  </w:font>
  <w:font w:name="方正楷体_GBK">
    <w:altName w:val="微软雅黑"/>
    <w:panose1 w:val="00000000000000000000"/>
    <w:charset w:val="7A"/>
    <w:family w:val="script"/>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文鼎CS中宋">
    <w:altName w:val="宋体"/>
    <w:panose1 w:val="00000000000000000000"/>
    <w:charset w:val="86"/>
    <w:family w:val="modern"/>
    <w:pitch w:val="default"/>
    <w:sig w:usb0="00000000" w:usb1="00000000" w:usb2="00000010" w:usb3="00000000" w:csb0="00040000" w:csb1="00000000"/>
  </w:font>
  <w:font w:name="TimesNewRomanPSMT">
    <w:altName w:val="Meiryo"/>
    <w:panose1 w:val="00000000000000000000"/>
    <w:charset w:val="00"/>
    <w:family w:val="roman"/>
    <w:pitch w:val="default"/>
    <w:sig w:usb0="00000000" w:usb1="00000000" w:usb2="00000010" w:usb3="00000000" w:csb0="00040001" w:csb1="00000000"/>
  </w:font>
  <w:font w:name="Arial Unicode MS">
    <w:panose1 w:val="020B0604020202020204"/>
    <w:charset w:val="86"/>
    <w:family w:val="swiss"/>
    <w:pitch w:val="default"/>
    <w:sig w:usb0="FFFFFFFF" w:usb1="E9FFFFFF" w:usb2="0000003F" w:usb3="00000000" w:csb0="603F01FF" w:csb1="FFFF0000"/>
  </w:font>
  <w:font w:name="Verdana">
    <w:panose1 w:val="020B0604030504040204"/>
    <w:charset w:val="00"/>
    <w:family w:val="swiss"/>
    <w:pitch w:val="default"/>
    <w:sig w:usb0="A10006FF" w:usb1="4000205B" w:usb2="00000010" w:usb3="00000000" w:csb0="2000019F" w:csb1="00000000"/>
  </w:font>
  <w:font w:name="等线 Light">
    <w:altName w:val="宋体"/>
    <w:panose1 w:val="02010600030101010101"/>
    <w:charset w:val="86"/>
    <w:family w:val="auto"/>
    <w:pitch w:val="default"/>
    <w:sig w:usb0="00000000" w:usb1="00000000" w:usb2="00000016" w:usb3="00000000" w:csb0="0004000F" w:csb1="00000000"/>
  </w:font>
  <w:font w:name="华文中宋">
    <w:panose1 w:val="02010600040101010101"/>
    <w:charset w:val="86"/>
    <w:family w:val="auto"/>
    <w:pitch w:val="default"/>
    <w:sig w:usb0="00000287" w:usb1="080F0000" w:usb2="00000000" w:usb3="00000000" w:csb0="0004009F" w:csb1="DFD70000"/>
  </w:font>
  <w:font w:name="仿宋体">
    <w:altName w:val="宋体"/>
    <w:panose1 w:val="00000000000000000000"/>
    <w:charset w:val="86"/>
    <w:family w:val="roman"/>
    <w:pitch w:val="default"/>
    <w:sig w:usb0="00000000" w:usb1="00000000" w:usb2="00000010" w:usb3="00000000" w:csb0="00040000" w:csb1="00000000"/>
  </w:font>
  <w:font w:name="Bookman Old Style">
    <w:altName w:val="Segoe Print"/>
    <w:panose1 w:val="02050604050505020204"/>
    <w:charset w:val="00"/>
    <w:family w:val="roman"/>
    <w:pitch w:val="default"/>
    <w:sig w:usb0="00000000" w:usb1="00000000" w:usb2="00000000" w:usb3="00000000" w:csb0="2000009F" w:csb1="DFD70000"/>
  </w:font>
  <w:font w:name="ˎ̥">
    <w:altName w:val="Times New Roman"/>
    <w:panose1 w:val="00000000000000000000"/>
    <w:charset w:val="00"/>
    <w:family w:val="roman"/>
    <w:pitch w:val="default"/>
    <w:sig w:usb0="00000000" w:usb1="00000000" w:usb2="00000000" w:usb3="00000000" w:csb0="00040001" w:csb1="00000000"/>
  </w:font>
  <w:font w:name="Arial Black">
    <w:panose1 w:val="020B0A04020102020204"/>
    <w:charset w:val="00"/>
    <w:family w:val="swiss"/>
    <w:pitch w:val="default"/>
    <w:sig w:usb0="00000287" w:usb1="00000000" w:usb2="00000000" w:usb3="00000000" w:csb0="2000009F" w:csb1="DFD70000"/>
  </w:font>
  <w:font w:name="楷体">
    <w:panose1 w:val="02010609060101010101"/>
    <w:charset w:val="86"/>
    <w:family w:val="modern"/>
    <w:pitch w:val="default"/>
    <w:sig w:usb0="800002BF" w:usb1="38CF7CFA" w:usb2="00000016" w:usb3="00000000" w:csb0="00040001" w:csb1="00000000"/>
  </w:font>
  <w:font w:name="华文楷体">
    <w:panose1 w:val="02010600040101010101"/>
    <w:charset w:val="86"/>
    <w:family w:val="auto"/>
    <w:pitch w:val="default"/>
    <w:sig w:usb0="00000287" w:usb1="080F0000" w:usb2="00000000" w:usb3="00000000" w:csb0="0004009F" w:csb1="DFD70000"/>
  </w:font>
  <w:font w:name="华文细黑">
    <w:panose1 w:val="02010600040101010101"/>
    <w:charset w:val="86"/>
    <w:family w:val="auto"/>
    <w:pitch w:val="default"/>
    <w:sig w:usb0="00000287" w:usb1="080F0000" w:usb2="00000000" w:usb3="00000000" w:csb0="0004009F" w:csb1="DFD70000"/>
  </w:font>
  <w:font w:name="Garamond">
    <w:altName w:val="Adobe Garamond Pro"/>
    <w:panose1 w:val="02020404030301010803"/>
    <w:charset w:val="00"/>
    <w:family w:val="roman"/>
    <w:pitch w:val="default"/>
    <w:sig w:usb0="00000000" w:usb1="00000000" w:usb2="00000000" w:usb3="00000000" w:csb0="0000009F" w:csb1="DFD70000"/>
  </w:font>
  <w:font w:name="Tahoma">
    <w:panose1 w:val="020B0604030504040204"/>
    <w:charset w:val="00"/>
    <w:family w:val="swiss"/>
    <w:pitch w:val="default"/>
    <w:sig w:usb0="E1002EFF" w:usb1="C000605B" w:usb2="00000029" w:usb3="00000000" w:csb0="200101FF" w:csb1="20280000"/>
  </w:font>
  <w:font w:name="文鼎大标宋简">
    <w:altName w:val="宋体"/>
    <w:panose1 w:val="00000000000000000000"/>
    <w:charset w:val="86"/>
    <w:family w:val="modern"/>
    <w:pitch w:val="default"/>
    <w:sig w:usb0="00000000" w:usb1="00000000" w:usb2="00000010" w:usb3="00000000" w:csb0="00040000" w:csb1="00000000"/>
  </w:font>
  <w:font w:name="Sim Sun+ 2">
    <w:altName w:val="宋体"/>
    <w:panose1 w:val="00000000000000000000"/>
    <w:charset w:val="86"/>
    <w:family w:val="swiss"/>
    <w:pitch w:val="default"/>
    <w:sig w:usb0="00000000" w:usb1="00000000" w:usb2="00000010" w:usb3="00000000" w:csb0="00040000" w:csb1="00000000"/>
  </w:font>
  <w:font w:name="文鼎CS中黑">
    <w:altName w:val="宋体"/>
    <w:panose1 w:val="00000000000000000000"/>
    <w:charset w:val="86"/>
    <w:family w:val="auto"/>
    <w:pitch w:val="default"/>
    <w:sig w:usb0="00000000" w:usb1="00000000" w:usb2="00000010" w:usb3="00000000" w:csb0="00040000" w:csb1="00000000"/>
  </w:font>
  <w:font w:name="汉鼎简特宋">
    <w:altName w:val="宋体"/>
    <w:panose1 w:val="00000000000000000000"/>
    <w:charset w:val="86"/>
    <w:family w:val="modern"/>
    <w:pitch w:val="default"/>
    <w:sig w:usb0="00000000" w:usb1="00000000" w:usb2="00000010" w:usb3="00000000" w:csb0="00040000" w:csb1="00000000"/>
  </w:font>
  <w:font w:name="Courier">
    <w:altName w:val="Courier New"/>
    <w:panose1 w:val="02060409020205020404"/>
    <w:charset w:val="00"/>
    <w:family w:val="modern"/>
    <w:pitch w:val="default"/>
    <w:sig w:usb0="00000000" w:usb1="00000000" w:usb2="00000000" w:usb3="00000000" w:csb0="00000000" w:csb1="00000000"/>
  </w:font>
  <w:font w:name="幼圆">
    <w:panose1 w:val="02010509060101010101"/>
    <w:charset w:val="86"/>
    <w:family w:val="modern"/>
    <w:pitch w:val="default"/>
    <w:sig w:usb0="00000001" w:usb1="080E0000" w:usb2="00000000" w:usb3="00000000" w:csb0="00040000" w:csb1="00000000"/>
  </w:font>
  <w:font w:name="”“Times New Roman”“">
    <w:altName w:val="宋体"/>
    <w:panose1 w:val="00000000000000000000"/>
    <w:charset w:val="86"/>
    <w:family w:val="roman"/>
    <w:pitch w:val="default"/>
    <w:sig w:usb0="00000000" w:usb1="00000000" w:usb2="00000010" w:usb3="00000000" w:csb0="00040000" w:csb1="00000000"/>
  </w:font>
  <w:font w:name="Tms Rmn">
    <w:altName w:val="Segoe Print"/>
    <w:panose1 w:val="02020603040505020304"/>
    <w:charset w:val="00"/>
    <w:family w:val="roman"/>
    <w:pitch w:val="default"/>
    <w:sig w:usb0="00000000" w:usb1="00000000" w:usb2="00000000" w:usb3="00000000" w:csb0="00000001" w:csb1="00000000"/>
  </w:font>
  <w:font w:name="新宋体">
    <w:panose1 w:val="02010609030101010101"/>
    <w:charset w:val="86"/>
    <w:family w:val="modern"/>
    <w:pitch w:val="default"/>
    <w:sig w:usb0="00000003" w:usb1="288F0000" w:usb2="00000006" w:usb3="00000000" w:csb0="00040001" w:csb1="00000000"/>
  </w:font>
  <w:font w:name="汉鼎简书宋">
    <w:altName w:val="宋体"/>
    <w:panose1 w:val="00000000000000000000"/>
    <w:charset w:val="86"/>
    <w:family w:val="modern"/>
    <w:pitch w:val="default"/>
    <w:sig w:usb0="00000000" w:usb1="00000000" w:usb2="00000010" w:usb3="00000000" w:csb0="00040000" w:csb1="00000000"/>
  </w:font>
  <w:font w:name="PMingLiU">
    <w:altName w:val="Adobe 明體 Std L"/>
    <w:panose1 w:val="02020500000000000000"/>
    <w:charset w:val="88"/>
    <w:family w:val="roman"/>
    <w:pitch w:val="default"/>
    <w:sig w:usb0="00000000" w:usb1="00000000" w:usb2="00000016" w:usb3="00000000" w:csb0="00100001" w:csb1="00000000"/>
  </w:font>
  <w:font w:name="Alaska">
    <w:altName w:val="Tahoma"/>
    <w:panose1 w:val="00000000000000000000"/>
    <w:charset w:val="00"/>
    <w:family w:val="swiss"/>
    <w:pitch w:val="default"/>
    <w:sig w:usb0="00000000" w:usb1="00000000" w:usb2="00000000" w:usb3="00000000" w:csb0="00000011" w:csb1="00000000"/>
  </w:font>
  <w:font w:name="隶书">
    <w:panose1 w:val="02010509060101010101"/>
    <w:charset w:val="86"/>
    <w:family w:val="modern"/>
    <w:pitch w:val="default"/>
    <w:sig w:usb0="00000001" w:usb1="080E0000" w:usb2="00000000" w:usb3="00000000" w:csb0="00040000" w:csb1="00000000"/>
  </w:font>
  <w:font w:name="Angsana New">
    <w:panose1 w:val="02020603050405020304"/>
    <w:charset w:val="00"/>
    <w:family w:val="roman"/>
    <w:pitch w:val="default"/>
    <w:sig w:usb0="81000003" w:usb1="00000000" w:usb2="00000000" w:usb3="00000000" w:csb0="00010001" w:csb1="00000000"/>
  </w:font>
  <w:font w:name="方正小标宋_GBK">
    <w:altName w:val="微软雅黑"/>
    <w:panose1 w:val="00000000000000000000"/>
    <w:charset w:val="86"/>
    <w:family w:val="script"/>
    <w:pitch w:val="default"/>
    <w:sig w:usb0="00000000" w:usb1="00000000" w:usb2="00000010" w:usb3="00000000" w:csb0="00040000" w:csb1="00000000"/>
  </w:font>
  <w:font w:name="方正宋三简体">
    <w:altName w:val="宋体"/>
    <w:panose1 w:val="00000000000000000000"/>
    <w:charset w:val="86"/>
    <w:family w:val="auto"/>
    <w:pitch w:val="default"/>
    <w:sig w:usb0="00000000" w:usb1="00000000" w:usb2="00000010" w:usb3="00000000" w:csb0="00040000" w:csb1="00000000"/>
  </w:font>
  <w:font w:name="文鼎CS大宋">
    <w:altName w:val="宋体"/>
    <w:panose1 w:val="00000000000000000000"/>
    <w:charset w:val="86"/>
    <w:family w:val="modern"/>
    <w:pitch w:val="default"/>
    <w:sig w:usb0="00000000" w:usb1="00000000" w:usb2="00000010" w:usb3="00000000" w:csb0="00040000" w:csb1="00000000"/>
  </w:font>
  <w:font w:name="DF Kai Shu">
    <w:altName w:val="宋体"/>
    <w:panose1 w:val="00000000000000000000"/>
    <w:charset w:val="86"/>
    <w:family w:val="script"/>
    <w:pitch w:val="default"/>
    <w:sig w:usb0="00000000" w:usb1="00000000" w:usb2="00000010" w:usb3="00000000" w:csb0="00040000" w:csb1="00000000"/>
  </w:font>
  <w:font w:name="华文行楷">
    <w:panose1 w:val="02010800040101010101"/>
    <w:charset w:val="86"/>
    <w:family w:val="auto"/>
    <w:pitch w:val="default"/>
    <w:sig w:usb0="00000001" w:usb1="080F0000" w:usb2="00000000" w:usb3="00000000" w:csb0="00040000" w:csb1="00000000"/>
  </w:font>
  <w:font w:name="方正仿宋_GBK">
    <w:altName w:val="微软雅黑"/>
    <w:panose1 w:val="00000000000000000000"/>
    <w:charset w:val="86"/>
    <w:family w:val="script"/>
    <w:pitch w:val="default"/>
    <w:sig w:usb0="00000000" w:usb1="00000000" w:usb2="00000010" w:usb3="00000000" w:csb0="003C0041" w:csb1="00000000"/>
  </w:font>
  <w:font w:name="Arial Rounded MT Bold">
    <w:altName w:val="Arial"/>
    <w:panose1 w:val="020F0704030504030204"/>
    <w:charset w:val="00"/>
    <w:family w:val="swiss"/>
    <w:pitch w:val="default"/>
    <w:sig w:usb0="00000000" w:usb1="00000000" w:usb2="00000000" w:usb3="00000000" w:csb0="20000001" w:csb1="00000000"/>
  </w:font>
  <w:font w:name="MS Mincho">
    <w:altName w:val="Kozuka Mincho Pro M"/>
    <w:panose1 w:val="02020609040205080304"/>
    <w:charset w:val="80"/>
    <w:family w:val="modern"/>
    <w:pitch w:val="default"/>
    <w:sig w:usb0="00000000" w:usb1="00000000" w:usb2="00000012" w:usb3="00000000" w:csb0="4002009F" w:csb1="DFD70000"/>
  </w:font>
  <w:font w:name="五">
    <w:altName w:val="宋体"/>
    <w:panose1 w:val="00000000000000000000"/>
    <w:charset w:val="86"/>
    <w:family w:val="auto"/>
    <w:pitch w:val="default"/>
    <w:sig w:usb0="00000000" w:usb1="00000000" w:usb2="00000010" w:usb3="00000000" w:csb0="00040000" w:csb1="00000000"/>
  </w:font>
  <w:font w:name="MingLiU">
    <w:altName w:val="Adobe 明體 Std L"/>
    <w:panose1 w:val="02020509000000000000"/>
    <w:charset w:val="88"/>
    <w:family w:val="modern"/>
    <w:pitch w:val="default"/>
    <w:sig w:usb0="00000000" w:usb1="00000000" w:usb2="00000016" w:usb3="00000000" w:csb0="00100001" w:csb1="00000000"/>
  </w:font>
  <w:font w:name="Abadi MT Condensed">
    <w:altName w:val="Swis721 Cn BT"/>
    <w:panose1 w:val="00000000000000000000"/>
    <w:charset w:val="00"/>
    <w:family w:val="swiss"/>
    <w:pitch w:val="default"/>
    <w:sig w:usb0="00000000" w:usb1="00000000" w:usb2="00000000" w:usb3="00000000" w:csb0="00000001" w:csb1="00000000"/>
  </w:font>
  <w:font w:name="DFKai-SB">
    <w:altName w:val="Arial Unicode MS"/>
    <w:panose1 w:val="03000509000000000000"/>
    <w:charset w:val="88"/>
    <w:family w:val="script"/>
    <w:pitch w:val="default"/>
    <w:sig w:usb0="00000000" w:usb1="00000000" w:usb2="00000016" w:usb3="00000000" w:csb0="00100001" w:csb1="00000000"/>
  </w:font>
  <w:font w:name="方正姚体">
    <w:panose1 w:val="02010601030101010101"/>
    <w:charset w:val="86"/>
    <w:family w:val="auto"/>
    <w:pitch w:val="default"/>
    <w:sig w:usb0="00000003" w:usb1="080E0000" w:usb2="00000000" w:usb3="00000000" w:csb0="00040000" w:csb1="00000000"/>
  </w:font>
  <w:font w:name="Sim Hei">
    <w:altName w:val="微软雅黑"/>
    <w:panose1 w:val="00000000000000000000"/>
    <w:charset w:val="86"/>
    <w:family w:val="auto"/>
    <w:pitch w:val="default"/>
    <w:sig w:usb0="00000000" w:usb1="00000000" w:usb2="00000010" w:usb3="00000000" w:csb0="00040000" w:csb1="00000000"/>
  </w:font>
  <w:font w:name="Arial Gras">
    <w:altName w:val="Arial"/>
    <w:panose1 w:val="00000000000000000000"/>
    <w:charset w:val="00"/>
    <w:family w:val="swiss"/>
    <w:pitch w:val="default"/>
    <w:sig w:usb0="00000000" w:usb1="00000000" w:usb2="00000000" w:usb3="00000000" w:csb0="00000001" w:csb1="00000000"/>
  </w:font>
  <w:font w:name="PFAMNC+Arial">
    <w:altName w:val="宋体"/>
    <w:panose1 w:val="00000000000000000000"/>
    <w:charset w:val="86"/>
    <w:family w:val="swiss"/>
    <w:pitch w:val="default"/>
    <w:sig w:usb0="00000000" w:usb1="00000000" w:usb2="00000010" w:usb3="00000000" w:csb0="00040000" w:csb1="00000000"/>
  </w:font>
  <w:font w:name="等线">
    <w:altName w:val="Arial Unicode MS"/>
    <w:panose1 w:val="02010600030101010101"/>
    <w:charset w:val="86"/>
    <w:family w:val="auto"/>
    <w:pitch w:val="default"/>
    <w:sig w:usb0="00000000" w:usb1="00000000" w:usb2="00000016" w:usb3="00000000" w:csb0="0004000F" w:csb1="00000000"/>
  </w:font>
  <w:font w:name="微软雅黑">
    <w:panose1 w:val="020B0503020204020204"/>
    <w:charset w:val="86"/>
    <w:family w:val="swiss"/>
    <w:pitch w:val="default"/>
    <w:sig w:usb0="80000287" w:usb1="280F3C52" w:usb2="00000016" w:usb3="00000000" w:csb0="0004001F" w:csb1="00000000"/>
  </w:font>
  <w:font w:name="Segoe UI Symbol">
    <w:panose1 w:val="020B0502040204020203"/>
    <w:charset w:val="00"/>
    <w:family w:val="swiss"/>
    <w:pitch w:val="default"/>
    <w:sig w:usb0="8000006F" w:usb1="1200FBEF" w:usb2="0064C000" w:usb3="00000002" w:csb0="00000001" w:csb1="4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516127399"/>
      <w:docPartObj>
        <w:docPartGallery w:val="autotext"/>
      </w:docPartObj>
    </w:sdtPr>
    <w:sdtContent>
      <w:p w14:paraId="5EBA8847">
        <w:pPr>
          <w:pStyle w:val="51"/>
          <w:jc w:val="center"/>
        </w:pPr>
        <w:r>
          <w:fldChar w:fldCharType="begin"/>
        </w:r>
        <w:r>
          <w:instrText xml:space="preserve">PAGE   \* MERGEFORMAT</w:instrText>
        </w:r>
        <w:r>
          <w:fldChar w:fldCharType="separate"/>
        </w:r>
        <w:r>
          <w:rPr>
            <w:lang w:val="zh-CN"/>
          </w:rPr>
          <w:t>2</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9426DE">
    <w:pPr>
      <w:pStyle w:val="51"/>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7468279"/>
      <w:docPartObj>
        <w:docPartGallery w:val="autotext"/>
      </w:docPartObj>
    </w:sdtPr>
    <w:sdtContent>
      <w:p w14:paraId="47C02FCD">
        <w:pPr>
          <w:pStyle w:val="51"/>
          <w:jc w:val="center"/>
        </w:pPr>
        <w:r>
          <w:fldChar w:fldCharType="begin"/>
        </w:r>
        <w:r>
          <w:instrText xml:space="preserve">PAGE   \* MERGEFORMAT</w:instrText>
        </w:r>
        <w:r>
          <w:fldChar w:fldCharType="separate"/>
        </w:r>
        <w:r>
          <w:rPr>
            <w:lang w:val="zh-CN"/>
          </w:rPr>
          <w:t>2</w:t>
        </w:r>
        <w: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0F1438">
    <w:pPr>
      <w:pStyle w:val="51"/>
      <w:spacing w:line="480" w:lineRule="auto"/>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94ACED">
    <w:pPr>
      <w:pStyle w:val="51"/>
      <w:spacing w:line="480" w:lineRule="auto"/>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6" name="文本框 4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F087CEF">
                          <w:pPr>
                            <w:pStyle w:val="51"/>
                          </w:pPr>
                          <w:r>
                            <w:fldChar w:fldCharType="begin"/>
                          </w:r>
                          <w:r>
                            <w:instrText xml:space="preserve"> PAGE  \* MERGEFORMAT </w:instrText>
                          </w:r>
                          <w:r>
                            <w:fldChar w:fldCharType="separate"/>
                          </w:r>
                          <w:r>
                            <w:t>94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EyFQwzAgAAYwQAAA4AAABkcnMvZTJvRG9jLnhtbK1UzY7TMBC+I/EO&#10;lu80aYGqqp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EyFQwzAgAAYwQAAA4AAAAAAAAAAQAgAAAAHwEAAGRycy9lMm9Eb2MueG1sUEsF&#10;BgAAAAAGAAYAWQEAAMQFAAAAAA==&#10;">
              <v:fill on="f" focussize="0,0"/>
              <v:stroke on="f" weight="0.5pt"/>
              <v:imagedata o:title=""/>
              <o:lock v:ext="edit" aspectratio="f"/>
              <v:textbox inset="0mm,0mm,0mm,0mm" style="mso-fit-shape-to-text:t;">
                <w:txbxContent>
                  <w:p w14:paraId="6F087CEF">
                    <w:pPr>
                      <w:pStyle w:val="51"/>
                    </w:pPr>
                    <w:r>
                      <w:fldChar w:fldCharType="begin"/>
                    </w:r>
                    <w:r>
                      <w:instrText xml:space="preserve"> PAGE  \* MERGEFORMAT </w:instrText>
                    </w:r>
                    <w:r>
                      <w:fldChar w:fldCharType="separate"/>
                    </w:r>
                    <w:r>
                      <w:t>94</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9D904A">
    <w:pPr>
      <w:pStyle w:val="53"/>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C096A5">
    <w:pPr>
      <w:pStyle w:val="53"/>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3CC02A0"/>
    <w:multiLevelType w:val="singleLevel"/>
    <w:tmpl w:val="83CC02A0"/>
    <w:lvl w:ilvl="0" w:tentative="0">
      <w:start w:val="4"/>
      <w:numFmt w:val="decimal"/>
      <w:suff w:val="nothing"/>
      <w:lvlText w:val="%1、"/>
      <w:lvlJc w:val="left"/>
    </w:lvl>
  </w:abstractNum>
  <w:abstractNum w:abstractNumId="1">
    <w:nsid w:val="A8FA4032"/>
    <w:multiLevelType w:val="singleLevel"/>
    <w:tmpl w:val="A8FA4032"/>
    <w:lvl w:ilvl="0" w:tentative="0">
      <w:start w:val="13"/>
      <w:numFmt w:val="decimal"/>
      <w:suff w:val="nothing"/>
      <w:lvlText w:val="%1、"/>
      <w:lvlJc w:val="left"/>
    </w:lvl>
  </w:abstractNum>
  <w:abstractNum w:abstractNumId="2">
    <w:nsid w:val="DE6A8B0A"/>
    <w:multiLevelType w:val="singleLevel"/>
    <w:tmpl w:val="DE6A8B0A"/>
    <w:lvl w:ilvl="0" w:tentative="0">
      <w:start w:val="3"/>
      <w:numFmt w:val="decimal"/>
      <w:suff w:val="nothing"/>
      <w:lvlText w:val="%1、"/>
      <w:lvlJc w:val="left"/>
    </w:lvl>
  </w:abstractNum>
  <w:abstractNum w:abstractNumId="3">
    <w:nsid w:val="E478E32D"/>
    <w:multiLevelType w:val="singleLevel"/>
    <w:tmpl w:val="E478E32D"/>
    <w:lvl w:ilvl="0" w:tentative="0">
      <w:start w:val="1"/>
      <w:numFmt w:val="decimal"/>
      <w:suff w:val="nothing"/>
      <w:lvlText w:val="%1）"/>
      <w:lvlJc w:val="left"/>
    </w:lvl>
  </w:abstractNum>
  <w:abstractNum w:abstractNumId="4">
    <w:nsid w:val="FFFFFF7C"/>
    <w:multiLevelType w:val="singleLevel"/>
    <w:tmpl w:val="FFFFFF7C"/>
    <w:lvl w:ilvl="0" w:tentative="0">
      <w:start w:val="1"/>
      <w:numFmt w:val="decimal"/>
      <w:pStyle w:val="58"/>
      <w:lvlText w:val="%1."/>
      <w:lvlJc w:val="left"/>
      <w:pPr>
        <w:tabs>
          <w:tab w:val="left" w:pos="1921"/>
        </w:tabs>
        <w:ind w:left="1921" w:hanging="360"/>
      </w:pPr>
    </w:lvl>
  </w:abstractNum>
  <w:abstractNum w:abstractNumId="5">
    <w:nsid w:val="FFFFFF7D"/>
    <w:multiLevelType w:val="singleLevel"/>
    <w:tmpl w:val="FFFFFF7D"/>
    <w:lvl w:ilvl="0" w:tentative="0">
      <w:start w:val="1"/>
      <w:numFmt w:val="decimal"/>
      <w:pStyle w:val="44"/>
      <w:lvlText w:val="%1."/>
      <w:lvlJc w:val="left"/>
      <w:pPr>
        <w:tabs>
          <w:tab w:val="left" w:pos="1620"/>
        </w:tabs>
        <w:ind w:left="1620" w:hanging="360"/>
      </w:pPr>
    </w:lvl>
  </w:abstractNum>
  <w:abstractNum w:abstractNumId="6">
    <w:nsid w:val="FFFFFF7E"/>
    <w:multiLevelType w:val="singleLevel"/>
    <w:tmpl w:val="FFFFFF7E"/>
    <w:lvl w:ilvl="0" w:tentative="0">
      <w:start w:val="1"/>
      <w:numFmt w:val="decimal"/>
      <w:pStyle w:val="35"/>
      <w:lvlText w:val="%1."/>
      <w:lvlJc w:val="left"/>
      <w:pPr>
        <w:tabs>
          <w:tab w:val="left" w:pos="1200"/>
        </w:tabs>
        <w:ind w:left="1200" w:hanging="360"/>
      </w:pPr>
    </w:lvl>
  </w:abstractNum>
  <w:abstractNum w:abstractNumId="7">
    <w:nsid w:val="FFFFFF80"/>
    <w:multiLevelType w:val="singleLevel"/>
    <w:tmpl w:val="FFFFFF80"/>
    <w:lvl w:ilvl="0" w:tentative="0">
      <w:start w:val="1"/>
      <w:numFmt w:val="bullet"/>
      <w:pStyle w:val="43"/>
      <w:lvlText w:val=""/>
      <w:lvlJc w:val="left"/>
      <w:pPr>
        <w:tabs>
          <w:tab w:val="left" w:pos="2040"/>
        </w:tabs>
        <w:ind w:left="2040" w:hanging="360"/>
      </w:pPr>
      <w:rPr>
        <w:rFonts w:hint="default" w:ascii="Wingdings" w:hAnsi="Wingdings"/>
      </w:rPr>
    </w:lvl>
  </w:abstractNum>
  <w:abstractNum w:abstractNumId="8">
    <w:nsid w:val="FFFFFF81"/>
    <w:multiLevelType w:val="singleLevel"/>
    <w:tmpl w:val="FFFFFF81"/>
    <w:lvl w:ilvl="0" w:tentative="0">
      <w:start w:val="1"/>
      <w:numFmt w:val="bullet"/>
      <w:pStyle w:val="17"/>
      <w:lvlText w:val=""/>
      <w:lvlJc w:val="left"/>
      <w:pPr>
        <w:tabs>
          <w:tab w:val="left" w:pos="1620"/>
        </w:tabs>
        <w:ind w:left="1620" w:hanging="360"/>
      </w:pPr>
      <w:rPr>
        <w:rFonts w:hint="default" w:ascii="Wingdings" w:hAnsi="Wingdings"/>
      </w:rPr>
    </w:lvl>
  </w:abstractNum>
  <w:abstractNum w:abstractNumId="9">
    <w:nsid w:val="05BE7B37"/>
    <w:multiLevelType w:val="singleLevel"/>
    <w:tmpl w:val="05BE7B37"/>
    <w:lvl w:ilvl="0" w:tentative="0">
      <w:start w:val="3"/>
      <w:numFmt w:val="decimal"/>
      <w:suff w:val="nothing"/>
      <w:lvlText w:val="%1、"/>
      <w:lvlJc w:val="left"/>
    </w:lvl>
  </w:abstractNum>
  <w:abstractNum w:abstractNumId="10">
    <w:nsid w:val="0E155D4A"/>
    <w:multiLevelType w:val="multilevel"/>
    <w:tmpl w:val="0E155D4A"/>
    <w:lvl w:ilvl="0" w:tentative="0">
      <w:start w:val="1"/>
      <w:numFmt w:val="decimal"/>
      <w:lvlText w:val="%1."/>
      <w:lvlJc w:val="left"/>
      <w:pPr>
        <w:tabs>
          <w:tab w:val="left" w:pos="425"/>
        </w:tabs>
        <w:ind w:left="425" w:hanging="425"/>
      </w:pPr>
      <w:rPr>
        <w:rFonts w:hint="eastAsia" w:cs="Times New Roman"/>
      </w:rPr>
    </w:lvl>
    <w:lvl w:ilvl="1" w:tentative="0">
      <w:start w:val="9"/>
      <w:numFmt w:val="decimal"/>
      <w:lvlText w:val="%1.%2"/>
      <w:lvlJc w:val="left"/>
      <w:pPr>
        <w:tabs>
          <w:tab w:val="left" w:pos="567"/>
        </w:tabs>
        <w:ind w:left="567" w:hanging="567"/>
      </w:pPr>
      <w:rPr>
        <w:rFonts w:hint="eastAsia" w:cs="Times New Roman"/>
      </w:rPr>
    </w:lvl>
    <w:lvl w:ilvl="2" w:tentative="0">
      <w:start w:val="1"/>
      <w:numFmt w:val="decimal"/>
      <w:isLgl/>
      <w:lvlText w:val="%1.%2.%3"/>
      <w:lvlJc w:val="left"/>
      <w:pPr>
        <w:tabs>
          <w:tab w:val="left" w:pos="720"/>
        </w:tabs>
        <w:ind w:left="794" w:hanging="794"/>
      </w:pPr>
      <w:rPr>
        <w:rFonts w:hint="eastAsia" w:cs="Times New Roman"/>
      </w:rPr>
    </w:lvl>
    <w:lvl w:ilvl="3" w:tentative="0">
      <w:start w:val="1"/>
      <w:numFmt w:val="decimal"/>
      <w:pStyle w:val="1665"/>
      <w:isLgl/>
      <w:lvlText w:val="%1.%2.%3.%4"/>
      <w:lvlJc w:val="left"/>
      <w:pPr>
        <w:tabs>
          <w:tab w:val="left" w:pos="1375"/>
        </w:tabs>
        <w:ind w:left="394"/>
      </w:pPr>
      <w:rPr>
        <w:rFonts w:hint="eastAsia" w:cs="Times New Roman"/>
      </w:rPr>
    </w:lvl>
    <w:lvl w:ilvl="4" w:tentative="0">
      <w:start w:val="1"/>
      <w:numFmt w:val="decimal"/>
      <w:lvlText w:val="%1.%2.%3.%4.%5."/>
      <w:lvlJc w:val="left"/>
      <w:pPr>
        <w:tabs>
          <w:tab w:val="left" w:pos="992"/>
        </w:tabs>
        <w:ind w:left="992" w:hanging="992"/>
      </w:pPr>
      <w:rPr>
        <w:rFonts w:hint="eastAsia" w:cs="Times New Roman"/>
      </w:rPr>
    </w:lvl>
    <w:lvl w:ilvl="5" w:tentative="0">
      <w:start w:val="1"/>
      <w:numFmt w:val="decimal"/>
      <w:lvlText w:val="%1.%2.%3.%4.%5.%6."/>
      <w:lvlJc w:val="left"/>
      <w:pPr>
        <w:tabs>
          <w:tab w:val="left" w:pos="1134"/>
        </w:tabs>
        <w:ind w:left="1134" w:hanging="1134"/>
      </w:pPr>
      <w:rPr>
        <w:rFonts w:hint="eastAsia" w:cs="Times New Roman"/>
      </w:rPr>
    </w:lvl>
    <w:lvl w:ilvl="6" w:tentative="0">
      <w:start w:val="1"/>
      <w:numFmt w:val="decimal"/>
      <w:lvlText w:val="%1.%2.%3.%4.%5.%6.%7."/>
      <w:lvlJc w:val="left"/>
      <w:pPr>
        <w:tabs>
          <w:tab w:val="left" w:pos="1276"/>
        </w:tabs>
        <w:ind w:left="1276" w:hanging="1276"/>
      </w:pPr>
      <w:rPr>
        <w:rFonts w:hint="eastAsia" w:cs="Times New Roman"/>
      </w:rPr>
    </w:lvl>
    <w:lvl w:ilvl="7" w:tentative="0">
      <w:start w:val="1"/>
      <w:numFmt w:val="decimal"/>
      <w:lvlText w:val="%1.%2.%3.%4.%5.%6.%7.%8."/>
      <w:lvlJc w:val="left"/>
      <w:pPr>
        <w:tabs>
          <w:tab w:val="left" w:pos="1418"/>
        </w:tabs>
        <w:ind w:left="1418" w:hanging="1418"/>
      </w:pPr>
      <w:rPr>
        <w:rFonts w:hint="eastAsia" w:cs="Times New Roman"/>
      </w:rPr>
    </w:lvl>
    <w:lvl w:ilvl="8" w:tentative="0">
      <w:start w:val="1"/>
      <w:numFmt w:val="decimal"/>
      <w:lvlText w:val="%1.%2.%3.%4.%5.%6.%7.%8.%9."/>
      <w:lvlJc w:val="left"/>
      <w:pPr>
        <w:tabs>
          <w:tab w:val="left" w:pos="1559"/>
        </w:tabs>
        <w:ind w:left="1559" w:hanging="1559"/>
      </w:pPr>
      <w:rPr>
        <w:rFonts w:hint="eastAsia" w:cs="Times New Roman"/>
      </w:rPr>
    </w:lvl>
  </w:abstractNum>
  <w:abstractNum w:abstractNumId="11">
    <w:nsid w:val="682B59FD"/>
    <w:multiLevelType w:val="singleLevel"/>
    <w:tmpl w:val="682B59FD"/>
    <w:lvl w:ilvl="0" w:tentative="0">
      <w:start w:val="2"/>
      <w:numFmt w:val="decimal"/>
      <w:suff w:val="nothing"/>
      <w:lvlText w:val="（%1）"/>
      <w:lvlJc w:val="left"/>
    </w:lvl>
  </w:abstractNum>
  <w:abstractNum w:abstractNumId="12">
    <w:nsid w:val="6FA0B635"/>
    <w:multiLevelType w:val="singleLevel"/>
    <w:tmpl w:val="6FA0B635"/>
    <w:lvl w:ilvl="0" w:tentative="0">
      <w:start w:val="1"/>
      <w:numFmt w:val="decimal"/>
      <w:suff w:val="nothing"/>
      <w:lvlText w:val="（%1）"/>
      <w:lvlJc w:val="left"/>
    </w:lvl>
  </w:abstractNum>
  <w:abstractNum w:abstractNumId="13">
    <w:nsid w:val="70CB3F89"/>
    <w:multiLevelType w:val="singleLevel"/>
    <w:tmpl w:val="70CB3F89"/>
    <w:lvl w:ilvl="0" w:tentative="0">
      <w:start w:val="1"/>
      <w:numFmt w:val="decimal"/>
      <w:suff w:val="nothing"/>
      <w:lvlText w:val="%1、"/>
      <w:lvlJc w:val="left"/>
    </w:lvl>
  </w:abstractNum>
  <w:num w:numId="1">
    <w:abstractNumId w:val="8"/>
  </w:num>
  <w:num w:numId="2">
    <w:abstractNumId w:val="6"/>
  </w:num>
  <w:num w:numId="3">
    <w:abstractNumId w:val="7"/>
  </w:num>
  <w:num w:numId="4">
    <w:abstractNumId w:val="5"/>
  </w:num>
  <w:num w:numId="5">
    <w:abstractNumId w:val="4"/>
  </w:num>
  <w:num w:numId="6">
    <w:abstractNumId w:val="10"/>
  </w:num>
  <w:num w:numId="7">
    <w:abstractNumId w:val="9"/>
  </w:num>
  <w:num w:numId="8">
    <w:abstractNumId w:val="0"/>
  </w:num>
  <w:num w:numId="9">
    <w:abstractNumId w:val="2"/>
  </w:num>
  <w:num w:numId="10">
    <w:abstractNumId w:val="1"/>
  </w:num>
  <w:num w:numId="11">
    <w:abstractNumId w:val="13"/>
  </w:num>
  <w:num w:numId="12">
    <w:abstractNumId w:val="11"/>
  </w:num>
  <w:num w:numId="13">
    <w:abstractNumId w:val="3"/>
  </w:num>
  <w:num w:numId="1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jdiMGZlMGI0ODcwOGQzOGUyNzk0ZDdiYmMzZTZhZWQifQ=="/>
  </w:docVars>
  <w:rsids>
    <w:rsidRoot w:val="00A14947"/>
    <w:rsid w:val="00000087"/>
    <w:rsid w:val="00000115"/>
    <w:rsid w:val="000006BE"/>
    <w:rsid w:val="00000C8F"/>
    <w:rsid w:val="00000D1B"/>
    <w:rsid w:val="00000DDF"/>
    <w:rsid w:val="00000F7F"/>
    <w:rsid w:val="00001304"/>
    <w:rsid w:val="00001493"/>
    <w:rsid w:val="00001A96"/>
    <w:rsid w:val="00001C2D"/>
    <w:rsid w:val="00001F0E"/>
    <w:rsid w:val="000023AF"/>
    <w:rsid w:val="00002521"/>
    <w:rsid w:val="00002636"/>
    <w:rsid w:val="00002937"/>
    <w:rsid w:val="00002BBA"/>
    <w:rsid w:val="00002C8A"/>
    <w:rsid w:val="000030EB"/>
    <w:rsid w:val="000030FE"/>
    <w:rsid w:val="000038DE"/>
    <w:rsid w:val="000039D9"/>
    <w:rsid w:val="00003E36"/>
    <w:rsid w:val="00003EE3"/>
    <w:rsid w:val="0000405D"/>
    <w:rsid w:val="00004620"/>
    <w:rsid w:val="00004870"/>
    <w:rsid w:val="0000488B"/>
    <w:rsid w:val="000049A4"/>
    <w:rsid w:val="000049F4"/>
    <w:rsid w:val="00004A48"/>
    <w:rsid w:val="00004D14"/>
    <w:rsid w:val="00004DCB"/>
    <w:rsid w:val="0000539C"/>
    <w:rsid w:val="000055BE"/>
    <w:rsid w:val="00005AC1"/>
    <w:rsid w:val="00005B66"/>
    <w:rsid w:val="00005C8F"/>
    <w:rsid w:val="000060B3"/>
    <w:rsid w:val="00006309"/>
    <w:rsid w:val="00007DDF"/>
    <w:rsid w:val="00010696"/>
    <w:rsid w:val="00010749"/>
    <w:rsid w:val="00010777"/>
    <w:rsid w:val="000113EF"/>
    <w:rsid w:val="00011693"/>
    <w:rsid w:val="00011C77"/>
    <w:rsid w:val="00011E9F"/>
    <w:rsid w:val="00012217"/>
    <w:rsid w:val="000124EE"/>
    <w:rsid w:val="000128B5"/>
    <w:rsid w:val="000131B3"/>
    <w:rsid w:val="00013FCE"/>
    <w:rsid w:val="000142EB"/>
    <w:rsid w:val="0001484D"/>
    <w:rsid w:val="0001486E"/>
    <w:rsid w:val="00014C1C"/>
    <w:rsid w:val="00014C6E"/>
    <w:rsid w:val="00014DC9"/>
    <w:rsid w:val="00015270"/>
    <w:rsid w:val="000152A0"/>
    <w:rsid w:val="00015613"/>
    <w:rsid w:val="0001561C"/>
    <w:rsid w:val="00015BEB"/>
    <w:rsid w:val="00015F2D"/>
    <w:rsid w:val="000160B8"/>
    <w:rsid w:val="000165A7"/>
    <w:rsid w:val="00016799"/>
    <w:rsid w:val="00016869"/>
    <w:rsid w:val="00016ACA"/>
    <w:rsid w:val="00016B36"/>
    <w:rsid w:val="00017290"/>
    <w:rsid w:val="000175AF"/>
    <w:rsid w:val="00017A3E"/>
    <w:rsid w:val="00017B30"/>
    <w:rsid w:val="00017C09"/>
    <w:rsid w:val="00020014"/>
    <w:rsid w:val="000200F5"/>
    <w:rsid w:val="000201A4"/>
    <w:rsid w:val="00020515"/>
    <w:rsid w:val="000209F3"/>
    <w:rsid w:val="00020AF5"/>
    <w:rsid w:val="0002123E"/>
    <w:rsid w:val="00021595"/>
    <w:rsid w:val="00021748"/>
    <w:rsid w:val="00021EA2"/>
    <w:rsid w:val="00022351"/>
    <w:rsid w:val="000223F9"/>
    <w:rsid w:val="000226AE"/>
    <w:rsid w:val="0002293C"/>
    <w:rsid w:val="00022B54"/>
    <w:rsid w:val="00023165"/>
    <w:rsid w:val="00023561"/>
    <w:rsid w:val="000236E6"/>
    <w:rsid w:val="00023AE4"/>
    <w:rsid w:val="00023AF8"/>
    <w:rsid w:val="00023C73"/>
    <w:rsid w:val="00023DE1"/>
    <w:rsid w:val="00023F1A"/>
    <w:rsid w:val="000242B4"/>
    <w:rsid w:val="00024326"/>
    <w:rsid w:val="000244F1"/>
    <w:rsid w:val="000246FD"/>
    <w:rsid w:val="00024A43"/>
    <w:rsid w:val="00024A87"/>
    <w:rsid w:val="00024B84"/>
    <w:rsid w:val="000257CE"/>
    <w:rsid w:val="0002588B"/>
    <w:rsid w:val="00026139"/>
    <w:rsid w:val="000267FE"/>
    <w:rsid w:val="00026988"/>
    <w:rsid w:val="00026D0E"/>
    <w:rsid w:val="00027393"/>
    <w:rsid w:val="00027490"/>
    <w:rsid w:val="000275BB"/>
    <w:rsid w:val="0002791F"/>
    <w:rsid w:val="00030561"/>
    <w:rsid w:val="00030B43"/>
    <w:rsid w:val="00030DBE"/>
    <w:rsid w:val="0003112A"/>
    <w:rsid w:val="00031482"/>
    <w:rsid w:val="0003182D"/>
    <w:rsid w:val="00031994"/>
    <w:rsid w:val="00031A9B"/>
    <w:rsid w:val="00031AE0"/>
    <w:rsid w:val="00031B8B"/>
    <w:rsid w:val="0003210F"/>
    <w:rsid w:val="00032173"/>
    <w:rsid w:val="00033B36"/>
    <w:rsid w:val="00033DD5"/>
    <w:rsid w:val="00033E6B"/>
    <w:rsid w:val="00033FA2"/>
    <w:rsid w:val="00034364"/>
    <w:rsid w:val="00034404"/>
    <w:rsid w:val="00034697"/>
    <w:rsid w:val="0003494C"/>
    <w:rsid w:val="00034B67"/>
    <w:rsid w:val="00034E80"/>
    <w:rsid w:val="0003505E"/>
    <w:rsid w:val="000358A6"/>
    <w:rsid w:val="00035B61"/>
    <w:rsid w:val="00035EBB"/>
    <w:rsid w:val="0003612B"/>
    <w:rsid w:val="000366CE"/>
    <w:rsid w:val="00036803"/>
    <w:rsid w:val="00036D44"/>
    <w:rsid w:val="00037323"/>
    <w:rsid w:val="0003756C"/>
    <w:rsid w:val="0003761E"/>
    <w:rsid w:val="000376EF"/>
    <w:rsid w:val="00037733"/>
    <w:rsid w:val="00040331"/>
    <w:rsid w:val="000407BD"/>
    <w:rsid w:val="00040C02"/>
    <w:rsid w:val="00040EBB"/>
    <w:rsid w:val="00040FDA"/>
    <w:rsid w:val="00041259"/>
    <w:rsid w:val="000416A6"/>
    <w:rsid w:val="00041B4F"/>
    <w:rsid w:val="00041C84"/>
    <w:rsid w:val="00042000"/>
    <w:rsid w:val="0004239D"/>
    <w:rsid w:val="000425B1"/>
    <w:rsid w:val="000425EC"/>
    <w:rsid w:val="00042980"/>
    <w:rsid w:val="00042D5F"/>
    <w:rsid w:val="00042DB1"/>
    <w:rsid w:val="000430B1"/>
    <w:rsid w:val="000430E7"/>
    <w:rsid w:val="00043168"/>
    <w:rsid w:val="000433E5"/>
    <w:rsid w:val="0004364B"/>
    <w:rsid w:val="000436BD"/>
    <w:rsid w:val="00043B55"/>
    <w:rsid w:val="00043E36"/>
    <w:rsid w:val="0004408E"/>
    <w:rsid w:val="00044187"/>
    <w:rsid w:val="000441B4"/>
    <w:rsid w:val="00044361"/>
    <w:rsid w:val="00044518"/>
    <w:rsid w:val="00044B3E"/>
    <w:rsid w:val="00044C31"/>
    <w:rsid w:val="000453BA"/>
    <w:rsid w:val="000455EB"/>
    <w:rsid w:val="000456D2"/>
    <w:rsid w:val="00045732"/>
    <w:rsid w:val="00045836"/>
    <w:rsid w:val="00045856"/>
    <w:rsid w:val="00045968"/>
    <w:rsid w:val="00045F42"/>
    <w:rsid w:val="00045F6B"/>
    <w:rsid w:val="0004619A"/>
    <w:rsid w:val="00046623"/>
    <w:rsid w:val="00046B9B"/>
    <w:rsid w:val="00046E39"/>
    <w:rsid w:val="00046F7A"/>
    <w:rsid w:val="000472E0"/>
    <w:rsid w:val="00047C29"/>
    <w:rsid w:val="000503CB"/>
    <w:rsid w:val="00050BCF"/>
    <w:rsid w:val="00050CB3"/>
    <w:rsid w:val="00050D1B"/>
    <w:rsid w:val="00051DBC"/>
    <w:rsid w:val="00051E21"/>
    <w:rsid w:val="000520C2"/>
    <w:rsid w:val="000521CA"/>
    <w:rsid w:val="000521DA"/>
    <w:rsid w:val="00052319"/>
    <w:rsid w:val="00052326"/>
    <w:rsid w:val="0005251E"/>
    <w:rsid w:val="00052536"/>
    <w:rsid w:val="00053202"/>
    <w:rsid w:val="0005382C"/>
    <w:rsid w:val="00053A5A"/>
    <w:rsid w:val="00053AB9"/>
    <w:rsid w:val="00053B4E"/>
    <w:rsid w:val="00053C01"/>
    <w:rsid w:val="00054021"/>
    <w:rsid w:val="000543E8"/>
    <w:rsid w:val="00054561"/>
    <w:rsid w:val="000548AC"/>
    <w:rsid w:val="000549FE"/>
    <w:rsid w:val="00054DB1"/>
    <w:rsid w:val="00054E4F"/>
    <w:rsid w:val="00055138"/>
    <w:rsid w:val="000552F7"/>
    <w:rsid w:val="00055FB8"/>
    <w:rsid w:val="00056021"/>
    <w:rsid w:val="00056210"/>
    <w:rsid w:val="000563EB"/>
    <w:rsid w:val="00056714"/>
    <w:rsid w:val="00056C3B"/>
    <w:rsid w:val="0005707C"/>
    <w:rsid w:val="00057899"/>
    <w:rsid w:val="00057A79"/>
    <w:rsid w:val="00057A8A"/>
    <w:rsid w:val="00060245"/>
    <w:rsid w:val="000605A9"/>
    <w:rsid w:val="00060AFC"/>
    <w:rsid w:val="00060B72"/>
    <w:rsid w:val="00060D1A"/>
    <w:rsid w:val="00060E76"/>
    <w:rsid w:val="00061836"/>
    <w:rsid w:val="00061B1F"/>
    <w:rsid w:val="00061ED3"/>
    <w:rsid w:val="000622A9"/>
    <w:rsid w:val="000631F0"/>
    <w:rsid w:val="00064089"/>
    <w:rsid w:val="000643DD"/>
    <w:rsid w:val="000647EB"/>
    <w:rsid w:val="00064A98"/>
    <w:rsid w:val="0006527E"/>
    <w:rsid w:val="000656D3"/>
    <w:rsid w:val="00065E1C"/>
    <w:rsid w:val="000661FC"/>
    <w:rsid w:val="00066447"/>
    <w:rsid w:val="0006657F"/>
    <w:rsid w:val="00066665"/>
    <w:rsid w:val="00066C60"/>
    <w:rsid w:val="0006721F"/>
    <w:rsid w:val="0006767D"/>
    <w:rsid w:val="000676D2"/>
    <w:rsid w:val="00067F75"/>
    <w:rsid w:val="00070886"/>
    <w:rsid w:val="00070AC5"/>
    <w:rsid w:val="00070B10"/>
    <w:rsid w:val="00071269"/>
    <w:rsid w:val="000715F9"/>
    <w:rsid w:val="000719CC"/>
    <w:rsid w:val="0007265B"/>
    <w:rsid w:val="00072A5D"/>
    <w:rsid w:val="000733C4"/>
    <w:rsid w:val="000737D4"/>
    <w:rsid w:val="00073926"/>
    <w:rsid w:val="0007474E"/>
    <w:rsid w:val="00074783"/>
    <w:rsid w:val="00074A4E"/>
    <w:rsid w:val="00074D37"/>
    <w:rsid w:val="00075276"/>
    <w:rsid w:val="00075D21"/>
    <w:rsid w:val="00076114"/>
    <w:rsid w:val="00076474"/>
    <w:rsid w:val="000764CD"/>
    <w:rsid w:val="00076540"/>
    <w:rsid w:val="00076ACE"/>
    <w:rsid w:val="00076C40"/>
    <w:rsid w:val="00076E60"/>
    <w:rsid w:val="000773C5"/>
    <w:rsid w:val="0007749B"/>
    <w:rsid w:val="0007753F"/>
    <w:rsid w:val="0007758E"/>
    <w:rsid w:val="00077A78"/>
    <w:rsid w:val="00077A8F"/>
    <w:rsid w:val="00077FD9"/>
    <w:rsid w:val="0008006F"/>
    <w:rsid w:val="0008011E"/>
    <w:rsid w:val="0008029F"/>
    <w:rsid w:val="00080339"/>
    <w:rsid w:val="00080436"/>
    <w:rsid w:val="0008070B"/>
    <w:rsid w:val="00080B1E"/>
    <w:rsid w:val="000810AC"/>
    <w:rsid w:val="00081387"/>
    <w:rsid w:val="0008194E"/>
    <w:rsid w:val="00081A02"/>
    <w:rsid w:val="00081D12"/>
    <w:rsid w:val="00082135"/>
    <w:rsid w:val="00082231"/>
    <w:rsid w:val="000825C5"/>
    <w:rsid w:val="0008265B"/>
    <w:rsid w:val="00082714"/>
    <w:rsid w:val="00082C5D"/>
    <w:rsid w:val="000831D9"/>
    <w:rsid w:val="00083642"/>
    <w:rsid w:val="00083ACA"/>
    <w:rsid w:val="00083BDF"/>
    <w:rsid w:val="00083E62"/>
    <w:rsid w:val="00084086"/>
    <w:rsid w:val="0008435B"/>
    <w:rsid w:val="000844CB"/>
    <w:rsid w:val="00084888"/>
    <w:rsid w:val="00084ADA"/>
    <w:rsid w:val="00085082"/>
    <w:rsid w:val="000853C3"/>
    <w:rsid w:val="00085503"/>
    <w:rsid w:val="000855D3"/>
    <w:rsid w:val="000858AD"/>
    <w:rsid w:val="00085962"/>
    <w:rsid w:val="00085C0F"/>
    <w:rsid w:val="00085E2D"/>
    <w:rsid w:val="00086046"/>
    <w:rsid w:val="000860A2"/>
    <w:rsid w:val="000861E4"/>
    <w:rsid w:val="00086961"/>
    <w:rsid w:val="00087439"/>
    <w:rsid w:val="000876DD"/>
    <w:rsid w:val="00087CBA"/>
    <w:rsid w:val="000907C7"/>
    <w:rsid w:val="00090836"/>
    <w:rsid w:val="00090877"/>
    <w:rsid w:val="00090ED1"/>
    <w:rsid w:val="00090FF3"/>
    <w:rsid w:val="00091179"/>
    <w:rsid w:val="000911FE"/>
    <w:rsid w:val="000915D2"/>
    <w:rsid w:val="0009169D"/>
    <w:rsid w:val="000918E5"/>
    <w:rsid w:val="00091C5F"/>
    <w:rsid w:val="00091D77"/>
    <w:rsid w:val="000922B3"/>
    <w:rsid w:val="000923F8"/>
    <w:rsid w:val="00092D38"/>
    <w:rsid w:val="00092FEF"/>
    <w:rsid w:val="0009306C"/>
    <w:rsid w:val="000930EF"/>
    <w:rsid w:val="0009352F"/>
    <w:rsid w:val="00093723"/>
    <w:rsid w:val="0009377B"/>
    <w:rsid w:val="000939AD"/>
    <w:rsid w:val="00093A9E"/>
    <w:rsid w:val="00094BBD"/>
    <w:rsid w:val="00094D91"/>
    <w:rsid w:val="00094F55"/>
    <w:rsid w:val="0009548C"/>
    <w:rsid w:val="000954B5"/>
    <w:rsid w:val="00095DFB"/>
    <w:rsid w:val="00096258"/>
    <w:rsid w:val="0009692D"/>
    <w:rsid w:val="00096FAD"/>
    <w:rsid w:val="0009739A"/>
    <w:rsid w:val="00097B62"/>
    <w:rsid w:val="00097B64"/>
    <w:rsid w:val="00097E37"/>
    <w:rsid w:val="00097EA9"/>
    <w:rsid w:val="000A00F1"/>
    <w:rsid w:val="000A05EB"/>
    <w:rsid w:val="000A08FD"/>
    <w:rsid w:val="000A097A"/>
    <w:rsid w:val="000A0A25"/>
    <w:rsid w:val="000A0E30"/>
    <w:rsid w:val="000A1426"/>
    <w:rsid w:val="000A150A"/>
    <w:rsid w:val="000A19FE"/>
    <w:rsid w:val="000A1D1B"/>
    <w:rsid w:val="000A1F86"/>
    <w:rsid w:val="000A20C9"/>
    <w:rsid w:val="000A2418"/>
    <w:rsid w:val="000A2442"/>
    <w:rsid w:val="000A2813"/>
    <w:rsid w:val="000A2D98"/>
    <w:rsid w:val="000A3491"/>
    <w:rsid w:val="000A351C"/>
    <w:rsid w:val="000A37C9"/>
    <w:rsid w:val="000A3B83"/>
    <w:rsid w:val="000A40CF"/>
    <w:rsid w:val="000A417E"/>
    <w:rsid w:val="000A4300"/>
    <w:rsid w:val="000A4C9D"/>
    <w:rsid w:val="000A4F42"/>
    <w:rsid w:val="000A5249"/>
    <w:rsid w:val="000A54FA"/>
    <w:rsid w:val="000A57CE"/>
    <w:rsid w:val="000A5924"/>
    <w:rsid w:val="000A5EA7"/>
    <w:rsid w:val="000A5FE4"/>
    <w:rsid w:val="000A6029"/>
    <w:rsid w:val="000A616D"/>
    <w:rsid w:val="000A61D0"/>
    <w:rsid w:val="000A6362"/>
    <w:rsid w:val="000A642D"/>
    <w:rsid w:val="000A6E4D"/>
    <w:rsid w:val="000A70F2"/>
    <w:rsid w:val="000A750D"/>
    <w:rsid w:val="000A78CD"/>
    <w:rsid w:val="000A798D"/>
    <w:rsid w:val="000A7A71"/>
    <w:rsid w:val="000A7D3B"/>
    <w:rsid w:val="000B00CA"/>
    <w:rsid w:val="000B013C"/>
    <w:rsid w:val="000B01C6"/>
    <w:rsid w:val="000B058F"/>
    <w:rsid w:val="000B0933"/>
    <w:rsid w:val="000B0B34"/>
    <w:rsid w:val="000B0CEE"/>
    <w:rsid w:val="000B0D13"/>
    <w:rsid w:val="000B1462"/>
    <w:rsid w:val="000B1773"/>
    <w:rsid w:val="000B185A"/>
    <w:rsid w:val="000B1A8D"/>
    <w:rsid w:val="000B1AB7"/>
    <w:rsid w:val="000B2205"/>
    <w:rsid w:val="000B266B"/>
    <w:rsid w:val="000B27B8"/>
    <w:rsid w:val="000B2BCA"/>
    <w:rsid w:val="000B2D7A"/>
    <w:rsid w:val="000B2E73"/>
    <w:rsid w:val="000B30B3"/>
    <w:rsid w:val="000B340D"/>
    <w:rsid w:val="000B3D1D"/>
    <w:rsid w:val="000B4143"/>
    <w:rsid w:val="000B4467"/>
    <w:rsid w:val="000B4492"/>
    <w:rsid w:val="000B4671"/>
    <w:rsid w:val="000B46F7"/>
    <w:rsid w:val="000B4759"/>
    <w:rsid w:val="000B4912"/>
    <w:rsid w:val="000B4DB9"/>
    <w:rsid w:val="000B5228"/>
    <w:rsid w:val="000B53FB"/>
    <w:rsid w:val="000B54B9"/>
    <w:rsid w:val="000B6603"/>
    <w:rsid w:val="000B6637"/>
    <w:rsid w:val="000B682B"/>
    <w:rsid w:val="000B6A30"/>
    <w:rsid w:val="000B720E"/>
    <w:rsid w:val="000B7560"/>
    <w:rsid w:val="000B79B4"/>
    <w:rsid w:val="000B7BA1"/>
    <w:rsid w:val="000B7D49"/>
    <w:rsid w:val="000B7F4D"/>
    <w:rsid w:val="000C0565"/>
    <w:rsid w:val="000C074C"/>
    <w:rsid w:val="000C0836"/>
    <w:rsid w:val="000C09AC"/>
    <w:rsid w:val="000C0CFD"/>
    <w:rsid w:val="000C139F"/>
    <w:rsid w:val="000C1589"/>
    <w:rsid w:val="000C1E31"/>
    <w:rsid w:val="000C1F3F"/>
    <w:rsid w:val="000C2202"/>
    <w:rsid w:val="000C227D"/>
    <w:rsid w:val="000C22D5"/>
    <w:rsid w:val="000C2D62"/>
    <w:rsid w:val="000C32E7"/>
    <w:rsid w:val="000C3800"/>
    <w:rsid w:val="000C3843"/>
    <w:rsid w:val="000C3CDF"/>
    <w:rsid w:val="000C4241"/>
    <w:rsid w:val="000C42FB"/>
    <w:rsid w:val="000C4437"/>
    <w:rsid w:val="000C48A2"/>
    <w:rsid w:val="000C4CEE"/>
    <w:rsid w:val="000C4EB9"/>
    <w:rsid w:val="000C5327"/>
    <w:rsid w:val="000C57F9"/>
    <w:rsid w:val="000C63CF"/>
    <w:rsid w:val="000C645E"/>
    <w:rsid w:val="000C6C84"/>
    <w:rsid w:val="000C6D35"/>
    <w:rsid w:val="000C7159"/>
    <w:rsid w:val="000C716E"/>
    <w:rsid w:val="000C719C"/>
    <w:rsid w:val="000C743C"/>
    <w:rsid w:val="000C759E"/>
    <w:rsid w:val="000C767F"/>
    <w:rsid w:val="000C7767"/>
    <w:rsid w:val="000C7F66"/>
    <w:rsid w:val="000C7F68"/>
    <w:rsid w:val="000D0035"/>
    <w:rsid w:val="000D00DA"/>
    <w:rsid w:val="000D050C"/>
    <w:rsid w:val="000D0AF3"/>
    <w:rsid w:val="000D0E1B"/>
    <w:rsid w:val="000D1359"/>
    <w:rsid w:val="000D1F98"/>
    <w:rsid w:val="000D2163"/>
    <w:rsid w:val="000D2A0C"/>
    <w:rsid w:val="000D2C0C"/>
    <w:rsid w:val="000D2C1A"/>
    <w:rsid w:val="000D2D58"/>
    <w:rsid w:val="000D2E8D"/>
    <w:rsid w:val="000D36B8"/>
    <w:rsid w:val="000D401F"/>
    <w:rsid w:val="000D402F"/>
    <w:rsid w:val="000D433E"/>
    <w:rsid w:val="000D4609"/>
    <w:rsid w:val="000D4F3F"/>
    <w:rsid w:val="000D5660"/>
    <w:rsid w:val="000D5A44"/>
    <w:rsid w:val="000D5BAD"/>
    <w:rsid w:val="000D6466"/>
    <w:rsid w:val="000D6DEE"/>
    <w:rsid w:val="000D6F5C"/>
    <w:rsid w:val="000D7104"/>
    <w:rsid w:val="000D7225"/>
    <w:rsid w:val="000D7883"/>
    <w:rsid w:val="000D7D5B"/>
    <w:rsid w:val="000D7E23"/>
    <w:rsid w:val="000D7E72"/>
    <w:rsid w:val="000E0483"/>
    <w:rsid w:val="000E061D"/>
    <w:rsid w:val="000E0769"/>
    <w:rsid w:val="000E1E5E"/>
    <w:rsid w:val="000E1F01"/>
    <w:rsid w:val="000E267A"/>
    <w:rsid w:val="000E30D0"/>
    <w:rsid w:val="000E3539"/>
    <w:rsid w:val="000E3ED2"/>
    <w:rsid w:val="000E4222"/>
    <w:rsid w:val="000E4353"/>
    <w:rsid w:val="000E466E"/>
    <w:rsid w:val="000E4C48"/>
    <w:rsid w:val="000E4DBE"/>
    <w:rsid w:val="000E589E"/>
    <w:rsid w:val="000E5A39"/>
    <w:rsid w:val="000E60D5"/>
    <w:rsid w:val="000E665E"/>
    <w:rsid w:val="000E66E7"/>
    <w:rsid w:val="000E6924"/>
    <w:rsid w:val="000E6AE6"/>
    <w:rsid w:val="000E74ED"/>
    <w:rsid w:val="000E7885"/>
    <w:rsid w:val="000E78B9"/>
    <w:rsid w:val="000E7947"/>
    <w:rsid w:val="000E7B4D"/>
    <w:rsid w:val="000E7C5F"/>
    <w:rsid w:val="000E7D62"/>
    <w:rsid w:val="000E7F12"/>
    <w:rsid w:val="000E7FD9"/>
    <w:rsid w:val="000F0100"/>
    <w:rsid w:val="000F0261"/>
    <w:rsid w:val="000F0793"/>
    <w:rsid w:val="000F087F"/>
    <w:rsid w:val="000F0993"/>
    <w:rsid w:val="000F0AF5"/>
    <w:rsid w:val="000F15D2"/>
    <w:rsid w:val="000F1F41"/>
    <w:rsid w:val="000F2038"/>
    <w:rsid w:val="000F222F"/>
    <w:rsid w:val="000F2830"/>
    <w:rsid w:val="000F2A48"/>
    <w:rsid w:val="000F2AD0"/>
    <w:rsid w:val="000F2D6B"/>
    <w:rsid w:val="000F2DA1"/>
    <w:rsid w:val="000F3133"/>
    <w:rsid w:val="000F3150"/>
    <w:rsid w:val="000F3345"/>
    <w:rsid w:val="000F3690"/>
    <w:rsid w:val="000F36E6"/>
    <w:rsid w:val="000F3BBA"/>
    <w:rsid w:val="000F3F15"/>
    <w:rsid w:val="000F4032"/>
    <w:rsid w:val="000F43F4"/>
    <w:rsid w:val="000F487F"/>
    <w:rsid w:val="000F50B2"/>
    <w:rsid w:val="000F58D4"/>
    <w:rsid w:val="000F5ABA"/>
    <w:rsid w:val="000F60B2"/>
    <w:rsid w:val="000F646B"/>
    <w:rsid w:val="000F669B"/>
    <w:rsid w:val="000F73C6"/>
    <w:rsid w:val="000F74A6"/>
    <w:rsid w:val="000F7AFD"/>
    <w:rsid w:val="000F7EB9"/>
    <w:rsid w:val="000F7EBD"/>
    <w:rsid w:val="000F7F0F"/>
    <w:rsid w:val="00100523"/>
    <w:rsid w:val="00100775"/>
    <w:rsid w:val="00100796"/>
    <w:rsid w:val="00100E4A"/>
    <w:rsid w:val="00101279"/>
    <w:rsid w:val="00101623"/>
    <w:rsid w:val="0010166C"/>
    <w:rsid w:val="00101806"/>
    <w:rsid w:val="00101D87"/>
    <w:rsid w:val="00101E4D"/>
    <w:rsid w:val="001022AA"/>
    <w:rsid w:val="00102AA3"/>
    <w:rsid w:val="00102B74"/>
    <w:rsid w:val="00102DC9"/>
    <w:rsid w:val="00102ECF"/>
    <w:rsid w:val="00103A21"/>
    <w:rsid w:val="00103B63"/>
    <w:rsid w:val="0010408D"/>
    <w:rsid w:val="0010428D"/>
    <w:rsid w:val="001043CA"/>
    <w:rsid w:val="00104D07"/>
    <w:rsid w:val="00104D55"/>
    <w:rsid w:val="00105063"/>
    <w:rsid w:val="00105153"/>
    <w:rsid w:val="00105205"/>
    <w:rsid w:val="001058B8"/>
    <w:rsid w:val="0010599C"/>
    <w:rsid w:val="00106139"/>
    <w:rsid w:val="001063CE"/>
    <w:rsid w:val="00106487"/>
    <w:rsid w:val="00106A36"/>
    <w:rsid w:val="00106A89"/>
    <w:rsid w:val="00106A98"/>
    <w:rsid w:val="00106B65"/>
    <w:rsid w:val="00106DA4"/>
    <w:rsid w:val="0010738B"/>
    <w:rsid w:val="0010743E"/>
    <w:rsid w:val="001074AC"/>
    <w:rsid w:val="001074FD"/>
    <w:rsid w:val="00107FAE"/>
    <w:rsid w:val="00110016"/>
    <w:rsid w:val="00110A0A"/>
    <w:rsid w:val="00110B61"/>
    <w:rsid w:val="00110FF1"/>
    <w:rsid w:val="001112BF"/>
    <w:rsid w:val="001117A1"/>
    <w:rsid w:val="00111B61"/>
    <w:rsid w:val="00111DED"/>
    <w:rsid w:val="001125C3"/>
    <w:rsid w:val="0011291F"/>
    <w:rsid w:val="0011296C"/>
    <w:rsid w:val="00112A42"/>
    <w:rsid w:val="00112B75"/>
    <w:rsid w:val="001130BD"/>
    <w:rsid w:val="001132B6"/>
    <w:rsid w:val="00113411"/>
    <w:rsid w:val="00113811"/>
    <w:rsid w:val="00114148"/>
    <w:rsid w:val="00114918"/>
    <w:rsid w:val="00114DFB"/>
    <w:rsid w:val="001156B0"/>
    <w:rsid w:val="00115846"/>
    <w:rsid w:val="00115999"/>
    <w:rsid w:val="00115F31"/>
    <w:rsid w:val="00115F58"/>
    <w:rsid w:val="0011692C"/>
    <w:rsid w:val="00116A9A"/>
    <w:rsid w:val="00116C61"/>
    <w:rsid w:val="00116EE3"/>
    <w:rsid w:val="0011769D"/>
    <w:rsid w:val="00117E48"/>
    <w:rsid w:val="00117EB9"/>
    <w:rsid w:val="00120102"/>
    <w:rsid w:val="0012083A"/>
    <w:rsid w:val="00120A71"/>
    <w:rsid w:val="00120C5F"/>
    <w:rsid w:val="00120CEF"/>
    <w:rsid w:val="00120D01"/>
    <w:rsid w:val="00121053"/>
    <w:rsid w:val="001211F9"/>
    <w:rsid w:val="001214F9"/>
    <w:rsid w:val="00121576"/>
    <w:rsid w:val="00121C75"/>
    <w:rsid w:val="00121EAC"/>
    <w:rsid w:val="001220BB"/>
    <w:rsid w:val="001222F5"/>
    <w:rsid w:val="00122347"/>
    <w:rsid w:val="0012279E"/>
    <w:rsid w:val="00122D89"/>
    <w:rsid w:val="001234FA"/>
    <w:rsid w:val="001237A2"/>
    <w:rsid w:val="00123904"/>
    <w:rsid w:val="00123F42"/>
    <w:rsid w:val="00123F85"/>
    <w:rsid w:val="00123FB2"/>
    <w:rsid w:val="0012418A"/>
    <w:rsid w:val="001247E2"/>
    <w:rsid w:val="00124C7E"/>
    <w:rsid w:val="00124F36"/>
    <w:rsid w:val="00125173"/>
    <w:rsid w:val="0012542B"/>
    <w:rsid w:val="0012550A"/>
    <w:rsid w:val="00125539"/>
    <w:rsid w:val="00125692"/>
    <w:rsid w:val="00125F26"/>
    <w:rsid w:val="0012601B"/>
    <w:rsid w:val="001268F4"/>
    <w:rsid w:val="00126B66"/>
    <w:rsid w:val="00126EF5"/>
    <w:rsid w:val="0012730D"/>
    <w:rsid w:val="00127B3C"/>
    <w:rsid w:val="00127ECE"/>
    <w:rsid w:val="0013088E"/>
    <w:rsid w:val="00130941"/>
    <w:rsid w:val="00130A9D"/>
    <w:rsid w:val="00130C9D"/>
    <w:rsid w:val="00130CDC"/>
    <w:rsid w:val="00130CDF"/>
    <w:rsid w:val="001313CE"/>
    <w:rsid w:val="001313DB"/>
    <w:rsid w:val="0013156A"/>
    <w:rsid w:val="001316D0"/>
    <w:rsid w:val="00131A85"/>
    <w:rsid w:val="00131DED"/>
    <w:rsid w:val="00131F42"/>
    <w:rsid w:val="00132BAC"/>
    <w:rsid w:val="00132E70"/>
    <w:rsid w:val="00133451"/>
    <w:rsid w:val="001338A3"/>
    <w:rsid w:val="00133900"/>
    <w:rsid w:val="00133958"/>
    <w:rsid w:val="00133B5D"/>
    <w:rsid w:val="00134926"/>
    <w:rsid w:val="00134ED3"/>
    <w:rsid w:val="001356B7"/>
    <w:rsid w:val="001357F1"/>
    <w:rsid w:val="00135884"/>
    <w:rsid w:val="001358BA"/>
    <w:rsid w:val="00135E1C"/>
    <w:rsid w:val="00135EA8"/>
    <w:rsid w:val="001362C0"/>
    <w:rsid w:val="001364B4"/>
    <w:rsid w:val="00136D95"/>
    <w:rsid w:val="00136F59"/>
    <w:rsid w:val="001371B3"/>
    <w:rsid w:val="001372C5"/>
    <w:rsid w:val="00137444"/>
    <w:rsid w:val="00137580"/>
    <w:rsid w:val="001375D0"/>
    <w:rsid w:val="0013764E"/>
    <w:rsid w:val="00137656"/>
    <w:rsid w:val="001379D5"/>
    <w:rsid w:val="00140323"/>
    <w:rsid w:val="0014058E"/>
    <w:rsid w:val="00140813"/>
    <w:rsid w:val="0014084E"/>
    <w:rsid w:val="00140941"/>
    <w:rsid w:val="00140F7E"/>
    <w:rsid w:val="00140FA8"/>
    <w:rsid w:val="00141045"/>
    <w:rsid w:val="00141AD2"/>
    <w:rsid w:val="00141E24"/>
    <w:rsid w:val="001420DB"/>
    <w:rsid w:val="00142378"/>
    <w:rsid w:val="00142496"/>
    <w:rsid w:val="0014277D"/>
    <w:rsid w:val="00142FEB"/>
    <w:rsid w:val="001430E1"/>
    <w:rsid w:val="00143434"/>
    <w:rsid w:val="001434C4"/>
    <w:rsid w:val="001437DC"/>
    <w:rsid w:val="00143837"/>
    <w:rsid w:val="00143971"/>
    <w:rsid w:val="00143A2D"/>
    <w:rsid w:val="00143CB5"/>
    <w:rsid w:val="00144A8E"/>
    <w:rsid w:val="00144D0F"/>
    <w:rsid w:val="00145225"/>
    <w:rsid w:val="0014544C"/>
    <w:rsid w:val="001457B1"/>
    <w:rsid w:val="001457BC"/>
    <w:rsid w:val="0014580C"/>
    <w:rsid w:val="0014597B"/>
    <w:rsid w:val="00145A41"/>
    <w:rsid w:val="00145D15"/>
    <w:rsid w:val="00145D7C"/>
    <w:rsid w:val="00145ECA"/>
    <w:rsid w:val="00146A96"/>
    <w:rsid w:val="00146D12"/>
    <w:rsid w:val="00146D23"/>
    <w:rsid w:val="00146FE7"/>
    <w:rsid w:val="00147470"/>
    <w:rsid w:val="00147AA6"/>
    <w:rsid w:val="001503C3"/>
    <w:rsid w:val="001508C7"/>
    <w:rsid w:val="001509EB"/>
    <w:rsid w:val="00150A1A"/>
    <w:rsid w:val="00150FB0"/>
    <w:rsid w:val="001510C6"/>
    <w:rsid w:val="001511B4"/>
    <w:rsid w:val="0015127A"/>
    <w:rsid w:val="0015158C"/>
    <w:rsid w:val="00151675"/>
    <w:rsid w:val="001516F6"/>
    <w:rsid w:val="001518E9"/>
    <w:rsid w:val="00151D92"/>
    <w:rsid w:val="00151F21"/>
    <w:rsid w:val="001520B0"/>
    <w:rsid w:val="001521A5"/>
    <w:rsid w:val="00152536"/>
    <w:rsid w:val="00152694"/>
    <w:rsid w:val="0015269E"/>
    <w:rsid w:val="00152D7C"/>
    <w:rsid w:val="00153A49"/>
    <w:rsid w:val="00153DAC"/>
    <w:rsid w:val="0015444C"/>
    <w:rsid w:val="00154461"/>
    <w:rsid w:val="00154A47"/>
    <w:rsid w:val="00154E91"/>
    <w:rsid w:val="00155419"/>
    <w:rsid w:val="001555AB"/>
    <w:rsid w:val="0015596E"/>
    <w:rsid w:val="00155B1F"/>
    <w:rsid w:val="00155C98"/>
    <w:rsid w:val="00155D3B"/>
    <w:rsid w:val="0015631A"/>
    <w:rsid w:val="00156427"/>
    <w:rsid w:val="001564EC"/>
    <w:rsid w:val="00156D9D"/>
    <w:rsid w:val="0015732A"/>
    <w:rsid w:val="00157435"/>
    <w:rsid w:val="0015780D"/>
    <w:rsid w:val="00157D18"/>
    <w:rsid w:val="00157E3C"/>
    <w:rsid w:val="00160310"/>
    <w:rsid w:val="001608FB"/>
    <w:rsid w:val="00160DF9"/>
    <w:rsid w:val="0016121F"/>
    <w:rsid w:val="0016127D"/>
    <w:rsid w:val="001612D0"/>
    <w:rsid w:val="001613C6"/>
    <w:rsid w:val="001616ED"/>
    <w:rsid w:val="00161EE4"/>
    <w:rsid w:val="0016202D"/>
    <w:rsid w:val="001622EA"/>
    <w:rsid w:val="0016241E"/>
    <w:rsid w:val="0016253E"/>
    <w:rsid w:val="0016286E"/>
    <w:rsid w:val="00162DA4"/>
    <w:rsid w:val="00162DA6"/>
    <w:rsid w:val="00163FBE"/>
    <w:rsid w:val="001640F3"/>
    <w:rsid w:val="00164622"/>
    <w:rsid w:val="001646E4"/>
    <w:rsid w:val="00164AA1"/>
    <w:rsid w:val="00164F8B"/>
    <w:rsid w:val="00165314"/>
    <w:rsid w:val="00166250"/>
    <w:rsid w:val="00166477"/>
    <w:rsid w:val="0016704E"/>
    <w:rsid w:val="0016729F"/>
    <w:rsid w:val="00167765"/>
    <w:rsid w:val="00167B3A"/>
    <w:rsid w:val="00167D44"/>
    <w:rsid w:val="001702DF"/>
    <w:rsid w:val="00170344"/>
    <w:rsid w:val="00170488"/>
    <w:rsid w:val="001704C7"/>
    <w:rsid w:val="001705B5"/>
    <w:rsid w:val="001709C2"/>
    <w:rsid w:val="00170B67"/>
    <w:rsid w:val="00171075"/>
    <w:rsid w:val="0017174A"/>
    <w:rsid w:val="001717FC"/>
    <w:rsid w:val="00171C33"/>
    <w:rsid w:val="00171D38"/>
    <w:rsid w:val="00172273"/>
    <w:rsid w:val="0017243B"/>
    <w:rsid w:val="00172669"/>
    <w:rsid w:val="0017272B"/>
    <w:rsid w:val="0017277B"/>
    <w:rsid w:val="001727D3"/>
    <w:rsid w:val="00172E1D"/>
    <w:rsid w:val="00172E8C"/>
    <w:rsid w:val="0017342F"/>
    <w:rsid w:val="00173AE0"/>
    <w:rsid w:val="00173EF2"/>
    <w:rsid w:val="00173FE6"/>
    <w:rsid w:val="00174135"/>
    <w:rsid w:val="00174191"/>
    <w:rsid w:val="001743E7"/>
    <w:rsid w:val="00174443"/>
    <w:rsid w:val="0017492C"/>
    <w:rsid w:val="00174ED7"/>
    <w:rsid w:val="0017504D"/>
    <w:rsid w:val="0017548E"/>
    <w:rsid w:val="001757C3"/>
    <w:rsid w:val="001760C7"/>
    <w:rsid w:val="00176287"/>
    <w:rsid w:val="001766B3"/>
    <w:rsid w:val="0017671A"/>
    <w:rsid w:val="00176DF4"/>
    <w:rsid w:val="00176EF0"/>
    <w:rsid w:val="00177422"/>
    <w:rsid w:val="00177478"/>
    <w:rsid w:val="00177BF2"/>
    <w:rsid w:val="0018025A"/>
    <w:rsid w:val="0018051A"/>
    <w:rsid w:val="00180C3C"/>
    <w:rsid w:val="00180E94"/>
    <w:rsid w:val="001821C0"/>
    <w:rsid w:val="00182275"/>
    <w:rsid w:val="001825DB"/>
    <w:rsid w:val="00182B17"/>
    <w:rsid w:val="00182CCD"/>
    <w:rsid w:val="00182FF7"/>
    <w:rsid w:val="00183183"/>
    <w:rsid w:val="001834A8"/>
    <w:rsid w:val="001835C2"/>
    <w:rsid w:val="00183A42"/>
    <w:rsid w:val="00183AF7"/>
    <w:rsid w:val="00183E13"/>
    <w:rsid w:val="00184123"/>
    <w:rsid w:val="001841FB"/>
    <w:rsid w:val="0018430A"/>
    <w:rsid w:val="00184590"/>
    <w:rsid w:val="001848BD"/>
    <w:rsid w:val="00184BD5"/>
    <w:rsid w:val="00184DB4"/>
    <w:rsid w:val="00184F43"/>
    <w:rsid w:val="0018595A"/>
    <w:rsid w:val="00185D3A"/>
    <w:rsid w:val="0018621E"/>
    <w:rsid w:val="001865C7"/>
    <w:rsid w:val="00186603"/>
    <w:rsid w:val="001866DE"/>
    <w:rsid w:val="0018673A"/>
    <w:rsid w:val="00186A83"/>
    <w:rsid w:val="00186BE4"/>
    <w:rsid w:val="00186FBA"/>
    <w:rsid w:val="001870D1"/>
    <w:rsid w:val="001872D0"/>
    <w:rsid w:val="001876F0"/>
    <w:rsid w:val="0018781E"/>
    <w:rsid w:val="0018785A"/>
    <w:rsid w:val="00190441"/>
    <w:rsid w:val="001906CC"/>
    <w:rsid w:val="00190857"/>
    <w:rsid w:val="00190959"/>
    <w:rsid w:val="00190AAC"/>
    <w:rsid w:val="00190B81"/>
    <w:rsid w:val="00190DFA"/>
    <w:rsid w:val="00191270"/>
    <w:rsid w:val="00191628"/>
    <w:rsid w:val="001918F6"/>
    <w:rsid w:val="00191B01"/>
    <w:rsid w:val="00191C5B"/>
    <w:rsid w:val="001922A8"/>
    <w:rsid w:val="00192351"/>
    <w:rsid w:val="0019262D"/>
    <w:rsid w:val="00192DD9"/>
    <w:rsid w:val="00193176"/>
    <w:rsid w:val="00193261"/>
    <w:rsid w:val="00193473"/>
    <w:rsid w:val="00193ADD"/>
    <w:rsid w:val="00193DB1"/>
    <w:rsid w:val="00193EB4"/>
    <w:rsid w:val="00193F25"/>
    <w:rsid w:val="00193F3A"/>
    <w:rsid w:val="001944CC"/>
    <w:rsid w:val="00194D06"/>
    <w:rsid w:val="00194D0A"/>
    <w:rsid w:val="00194EE3"/>
    <w:rsid w:val="00195866"/>
    <w:rsid w:val="00195F8D"/>
    <w:rsid w:val="00195FE8"/>
    <w:rsid w:val="0019643E"/>
    <w:rsid w:val="001969DD"/>
    <w:rsid w:val="00196AD4"/>
    <w:rsid w:val="00196BAE"/>
    <w:rsid w:val="00196E8B"/>
    <w:rsid w:val="00196F4E"/>
    <w:rsid w:val="00197092"/>
    <w:rsid w:val="001970BA"/>
    <w:rsid w:val="0019710B"/>
    <w:rsid w:val="00197123"/>
    <w:rsid w:val="001978F7"/>
    <w:rsid w:val="00197FC5"/>
    <w:rsid w:val="001A0AA5"/>
    <w:rsid w:val="001A0D57"/>
    <w:rsid w:val="001A0EB0"/>
    <w:rsid w:val="001A188C"/>
    <w:rsid w:val="001A18A1"/>
    <w:rsid w:val="001A1B35"/>
    <w:rsid w:val="001A21F5"/>
    <w:rsid w:val="001A2305"/>
    <w:rsid w:val="001A2E1D"/>
    <w:rsid w:val="001A336F"/>
    <w:rsid w:val="001A3580"/>
    <w:rsid w:val="001A3689"/>
    <w:rsid w:val="001A397E"/>
    <w:rsid w:val="001A4387"/>
    <w:rsid w:val="001A446B"/>
    <w:rsid w:val="001A4478"/>
    <w:rsid w:val="001A4562"/>
    <w:rsid w:val="001A48A2"/>
    <w:rsid w:val="001A503F"/>
    <w:rsid w:val="001A5480"/>
    <w:rsid w:val="001A54B1"/>
    <w:rsid w:val="001A5858"/>
    <w:rsid w:val="001A5D59"/>
    <w:rsid w:val="001A6196"/>
    <w:rsid w:val="001A6815"/>
    <w:rsid w:val="001A6B1E"/>
    <w:rsid w:val="001A6F61"/>
    <w:rsid w:val="001A745A"/>
    <w:rsid w:val="001A763B"/>
    <w:rsid w:val="001A7EB2"/>
    <w:rsid w:val="001A7F6A"/>
    <w:rsid w:val="001B072D"/>
    <w:rsid w:val="001B0AEA"/>
    <w:rsid w:val="001B0C71"/>
    <w:rsid w:val="001B1051"/>
    <w:rsid w:val="001B13E3"/>
    <w:rsid w:val="001B1582"/>
    <w:rsid w:val="001B1607"/>
    <w:rsid w:val="001B17D6"/>
    <w:rsid w:val="001B1B77"/>
    <w:rsid w:val="001B24AA"/>
    <w:rsid w:val="001B2E2D"/>
    <w:rsid w:val="001B42FC"/>
    <w:rsid w:val="001B43B0"/>
    <w:rsid w:val="001B47AA"/>
    <w:rsid w:val="001B5173"/>
    <w:rsid w:val="001B5261"/>
    <w:rsid w:val="001B5467"/>
    <w:rsid w:val="001B55B0"/>
    <w:rsid w:val="001B5676"/>
    <w:rsid w:val="001B600A"/>
    <w:rsid w:val="001B62B1"/>
    <w:rsid w:val="001B6E06"/>
    <w:rsid w:val="001B6EA1"/>
    <w:rsid w:val="001B72B8"/>
    <w:rsid w:val="001B788D"/>
    <w:rsid w:val="001B78AA"/>
    <w:rsid w:val="001B799C"/>
    <w:rsid w:val="001B7DAC"/>
    <w:rsid w:val="001B7E6D"/>
    <w:rsid w:val="001C09DF"/>
    <w:rsid w:val="001C0D65"/>
    <w:rsid w:val="001C0F37"/>
    <w:rsid w:val="001C0FA8"/>
    <w:rsid w:val="001C0FAE"/>
    <w:rsid w:val="001C117D"/>
    <w:rsid w:val="001C168E"/>
    <w:rsid w:val="001C1FE2"/>
    <w:rsid w:val="001C2983"/>
    <w:rsid w:val="001C2E54"/>
    <w:rsid w:val="001C2F86"/>
    <w:rsid w:val="001C35E5"/>
    <w:rsid w:val="001C3A44"/>
    <w:rsid w:val="001C3DFD"/>
    <w:rsid w:val="001C4C94"/>
    <w:rsid w:val="001C4E0A"/>
    <w:rsid w:val="001C506D"/>
    <w:rsid w:val="001C54DA"/>
    <w:rsid w:val="001C5783"/>
    <w:rsid w:val="001C5823"/>
    <w:rsid w:val="001C590E"/>
    <w:rsid w:val="001C593B"/>
    <w:rsid w:val="001C5B00"/>
    <w:rsid w:val="001C5C28"/>
    <w:rsid w:val="001C6272"/>
    <w:rsid w:val="001C62E0"/>
    <w:rsid w:val="001C65CA"/>
    <w:rsid w:val="001C69B3"/>
    <w:rsid w:val="001C6A81"/>
    <w:rsid w:val="001C7109"/>
    <w:rsid w:val="001C7580"/>
    <w:rsid w:val="001C7643"/>
    <w:rsid w:val="001C78DD"/>
    <w:rsid w:val="001C7B59"/>
    <w:rsid w:val="001C7C04"/>
    <w:rsid w:val="001C7C78"/>
    <w:rsid w:val="001D0385"/>
    <w:rsid w:val="001D0648"/>
    <w:rsid w:val="001D1380"/>
    <w:rsid w:val="001D1492"/>
    <w:rsid w:val="001D1912"/>
    <w:rsid w:val="001D1922"/>
    <w:rsid w:val="001D2147"/>
    <w:rsid w:val="001D229D"/>
    <w:rsid w:val="001D25FB"/>
    <w:rsid w:val="001D2852"/>
    <w:rsid w:val="001D28B7"/>
    <w:rsid w:val="001D2CE3"/>
    <w:rsid w:val="001D30C4"/>
    <w:rsid w:val="001D3788"/>
    <w:rsid w:val="001D3AEB"/>
    <w:rsid w:val="001D48D1"/>
    <w:rsid w:val="001D4CF2"/>
    <w:rsid w:val="001D515D"/>
    <w:rsid w:val="001D52CB"/>
    <w:rsid w:val="001D5595"/>
    <w:rsid w:val="001D58BD"/>
    <w:rsid w:val="001D593E"/>
    <w:rsid w:val="001D5A19"/>
    <w:rsid w:val="001D5D66"/>
    <w:rsid w:val="001D5F34"/>
    <w:rsid w:val="001D632D"/>
    <w:rsid w:val="001D6357"/>
    <w:rsid w:val="001D7144"/>
    <w:rsid w:val="001D73A7"/>
    <w:rsid w:val="001D769A"/>
    <w:rsid w:val="001D782F"/>
    <w:rsid w:val="001D7874"/>
    <w:rsid w:val="001D7CB9"/>
    <w:rsid w:val="001D7F22"/>
    <w:rsid w:val="001E0390"/>
    <w:rsid w:val="001E06FF"/>
    <w:rsid w:val="001E0DEF"/>
    <w:rsid w:val="001E0E67"/>
    <w:rsid w:val="001E1120"/>
    <w:rsid w:val="001E1404"/>
    <w:rsid w:val="001E140A"/>
    <w:rsid w:val="001E1B60"/>
    <w:rsid w:val="001E1EBB"/>
    <w:rsid w:val="001E32D5"/>
    <w:rsid w:val="001E3789"/>
    <w:rsid w:val="001E3AAB"/>
    <w:rsid w:val="001E47B9"/>
    <w:rsid w:val="001E491A"/>
    <w:rsid w:val="001E4B57"/>
    <w:rsid w:val="001E4D06"/>
    <w:rsid w:val="001E50B7"/>
    <w:rsid w:val="001E538A"/>
    <w:rsid w:val="001E54D4"/>
    <w:rsid w:val="001E57BC"/>
    <w:rsid w:val="001E5809"/>
    <w:rsid w:val="001E5D8B"/>
    <w:rsid w:val="001E5DF5"/>
    <w:rsid w:val="001E60C9"/>
    <w:rsid w:val="001E60D4"/>
    <w:rsid w:val="001E6676"/>
    <w:rsid w:val="001E69ED"/>
    <w:rsid w:val="001E6D54"/>
    <w:rsid w:val="001E6FE9"/>
    <w:rsid w:val="001E72E7"/>
    <w:rsid w:val="001E7488"/>
    <w:rsid w:val="001E7522"/>
    <w:rsid w:val="001E75E9"/>
    <w:rsid w:val="001E7A0C"/>
    <w:rsid w:val="001E7D61"/>
    <w:rsid w:val="001E7F9C"/>
    <w:rsid w:val="001F063B"/>
    <w:rsid w:val="001F06AE"/>
    <w:rsid w:val="001F06E5"/>
    <w:rsid w:val="001F0850"/>
    <w:rsid w:val="001F0F17"/>
    <w:rsid w:val="001F11E0"/>
    <w:rsid w:val="001F14C9"/>
    <w:rsid w:val="001F1F19"/>
    <w:rsid w:val="001F1FEE"/>
    <w:rsid w:val="001F26B2"/>
    <w:rsid w:val="001F2C07"/>
    <w:rsid w:val="001F2C81"/>
    <w:rsid w:val="001F30D0"/>
    <w:rsid w:val="001F3104"/>
    <w:rsid w:val="001F32A6"/>
    <w:rsid w:val="001F3347"/>
    <w:rsid w:val="001F3523"/>
    <w:rsid w:val="001F3CA6"/>
    <w:rsid w:val="001F3D27"/>
    <w:rsid w:val="001F3E9F"/>
    <w:rsid w:val="001F4118"/>
    <w:rsid w:val="001F49E4"/>
    <w:rsid w:val="001F4FB8"/>
    <w:rsid w:val="001F5111"/>
    <w:rsid w:val="001F5226"/>
    <w:rsid w:val="001F5564"/>
    <w:rsid w:val="001F5BB0"/>
    <w:rsid w:val="001F5D14"/>
    <w:rsid w:val="001F5D89"/>
    <w:rsid w:val="001F5E4C"/>
    <w:rsid w:val="001F6516"/>
    <w:rsid w:val="001F65F3"/>
    <w:rsid w:val="001F69E4"/>
    <w:rsid w:val="001F6A53"/>
    <w:rsid w:val="001F6DE5"/>
    <w:rsid w:val="001F7808"/>
    <w:rsid w:val="001F7C30"/>
    <w:rsid w:val="0020008C"/>
    <w:rsid w:val="00201269"/>
    <w:rsid w:val="00201713"/>
    <w:rsid w:val="00202A34"/>
    <w:rsid w:val="00202A77"/>
    <w:rsid w:val="00202A7E"/>
    <w:rsid w:val="00202B5F"/>
    <w:rsid w:val="00202E7F"/>
    <w:rsid w:val="002037C5"/>
    <w:rsid w:val="002038DA"/>
    <w:rsid w:val="00204639"/>
    <w:rsid w:val="002049BF"/>
    <w:rsid w:val="00204B3B"/>
    <w:rsid w:val="00204D1F"/>
    <w:rsid w:val="00205034"/>
    <w:rsid w:val="002052FC"/>
    <w:rsid w:val="002053C4"/>
    <w:rsid w:val="0020622C"/>
    <w:rsid w:val="002064C7"/>
    <w:rsid w:val="00207809"/>
    <w:rsid w:val="0020788B"/>
    <w:rsid w:val="00207BA3"/>
    <w:rsid w:val="00207C09"/>
    <w:rsid w:val="002103D2"/>
    <w:rsid w:val="002104DA"/>
    <w:rsid w:val="0021064B"/>
    <w:rsid w:val="0021072B"/>
    <w:rsid w:val="00210D03"/>
    <w:rsid w:val="002114B4"/>
    <w:rsid w:val="00211620"/>
    <w:rsid w:val="0021209A"/>
    <w:rsid w:val="002125B4"/>
    <w:rsid w:val="002127A6"/>
    <w:rsid w:val="002128F1"/>
    <w:rsid w:val="00212BC1"/>
    <w:rsid w:val="00212C0E"/>
    <w:rsid w:val="0021300F"/>
    <w:rsid w:val="0021309F"/>
    <w:rsid w:val="00213354"/>
    <w:rsid w:val="00213381"/>
    <w:rsid w:val="002133F8"/>
    <w:rsid w:val="0021461F"/>
    <w:rsid w:val="00214700"/>
    <w:rsid w:val="0021497C"/>
    <w:rsid w:val="00214D41"/>
    <w:rsid w:val="00214D4A"/>
    <w:rsid w:val="0021536D"/>
    <w:rsid w:val="00215380"/>
    <w:rsid w:val="002153EC"/>
    <w:rsid w:val="002155B8"/>
    <w:rsid w:val="002159AA"/>
    <w:rsid w:val="00216110"/>
    <w:rsid w:val="00216303"/>
    <w:rsid w:val="002163C0"/>
    <w:rsid w:val="00216426"/>
    <w:rsid w:val="00216672"/>
    <w:rsid w:val="002172A1"/>
    <w:rsid w:val="00217404"/>
    <w:rsid w:val="002177F3"/>
    <w:rsid w:val="00217FBD"/>
    <w:rsid w:val="0022039B"/>
    <w:rsid w:val="002203E4"/>
    <w:rsid w:val="0022083A"/>
    <w:rsid w:val="00220F4D"/>
    <w:rsid w:val="0022115C"/>
    <w:rsid w:val="00221267"/>
    <w:rsid w:val="00221395"/>
    <w:rsid w:val="00221688"/>
    <w:rsid w:val="00221758"/>
    <w:rsid w:val="00222303"/>
    <w:rsid w:val="00222B15"/>
    <w:rsid w:val="00222BA7"/>
    <w:rsid w:val="00222D0E"/>
    <w:rsid w:val="00222F09"/>
    <w:rsid w:val="0022312D"/>
    <w:rsid w:val="0022328C"/>
    <w:rsid w:val="002233CB"/>
    <w:rsid w:val="00223744"/>
    <w:rsid w:val="00223D82"/>
    <w:rsid w:val="002247B2"/>
    <w:rsid w:val="00224839"/>
    <w:rsid w:val="002249B2"/>
    <w:rsid w:val="00224A51"/>
    <w:rsid w:val="00224EE0"/>
    <w:rsid w:val="002252AE"/>
    <w:rsid w:val="002253FA"/>
    <w:rsid w:val="00225A0D"/>
    <w:rsid w:val="00225CA8"/>
    <w:rsid w:val="0022625A"/>
    <w:rsid w:val="0022654A"/>
    <w:rsid w:val="00226574"/>
    <w:rsid w:val="00227030"/>
    <w:rsid w:val="002278EC"/>
    <w:rsid w:val="00227B73"/>
    <w:rsid w:val="00227C68"/>
    <w:rsid w:val="00230164"/>
    <w:rsid w:val="0023021D"/>
    <w:rsid w:val="0023029C"/>
    <w:rsid w:val="00230A56"/>
    <w:rsid w:val="00230AD0"/>
    <w:rsid w:val="00230E17"/>
    <w:rsid w:val="00231150"/>
    <w:rsid w:val="002311ED"/>
    <w:rsid w:val="00232217"/>
    <w:rsid w:val="00232341"/>
    <w:rsid w:val="0023248D"/>
    <w:rsid w:val="002324C6"/>
    <w:rsid w:val="002324F2"/>
    <w:rsid w:val="00232546"/>
    <w:rsid w:val="0023280E"/>
    <w:rsid w:val="00233141"/>
    <w:rsid w:val="00233FE2"/>
    <w:rsid w:val="0023415C"/>
    <w:rsid w:val="002344FD"/>
    <w:rsid w:val="00234654"/>
    <w:rsid w:val="00234D9D"/>
    <w:rsid w:val="0023513C"/>
    <w:rsid w:val="00235158"/>
    <w:rsid w:val="002353D0"/>
    <w:rsid w:val="00235890"/>
    <w:rsid w:val="00235B5D"/>
    <w:rsid w:val="00235E4D"/>
    <w:rsid w:val="00235EFF"/>
    <w:rsid w:val="00236037"/>
    <w:rsid w:val="00236A76"/>
    <w:rsid w:val="00236B7B"/>
    <w:rsid w:val="00236DD4"/>
    <w:rsid w:val="00237099"/>
    <w:rsid w:val="002373C9"/>
    <w:rsid w:val="002377D1"/>
    <w:rsid w:val="002378B8"/>
    <w:rsid w:val="00237B88"/>
    <w:rsid w:val="0024009B"/>
    <w:rsid w:val="00240A5D"/>
    <w:rsid w:val="00240E0A"/>
    <w:rsid w:val="002414B9"/>
    <w:rsid w:val="00241B5A"/>
    <w:rsid w:val="0024219E"/>
    <w:rsid w:val="00242970"/>
    <w:rsid w:val="00242D27"/>
    <w:rsid w:val="00242D4F"/>
    <w:rsid w:val="00242ECA"/>
    <w:rsid w:val="002435AD"/>
    <w:rsid w:val="002438C9"/>
    <w:rsid w:val="00243938"/>
    <w:rsid w:val="00243C5E"/>
    <w:rsid w:val="00243DB1"/>
    <w:rsid w:val="0024433C"/>
    <w:rsid w:val="00244703"/>
    <w:rsid w:val="00244960"/>
    <w:rsid w:val="00244DCA"/>
    <w:rsid w:val="002454CA"/>
    <w:rsid w:val="002455DF"/>
    <w:rsid w:val="002458EA"/>
    <w:rsid w:val="00245E90"/>
    <w:rsid w:val="002460A4"/>
    <w:rsid w:val="00246F04"/>
    <w:rsid w:val="00247F7D"/>
    <w:rsid w:val="00250032"/>
    <w:rsid w:val="0025053C"/>
    <w:rsid w:val="00250630"/>
    <w:rsid w:val="002506BC"/>
    <w:rsid w:val="00250774"/>
    <w:rsid w:val="00250ECF"/>
    <w:rsid w:val="00251056"/>
    <w:rsid w:val="00251773"/>
    <w:rsid w:val="00251F28"/>
    <w:rsid w:val="00251F55"/>
    <w:rsid w:val="00251F5D"/>
    <w:rsid w:val="0025217E"/>
    <w:rsid w:val="00252612"/>
    <w:rsid w:val="002527CE"/>
    <w:rsid w:val="00252B70"/>
    <w:rsid w:val="00252C35"/>
    <w:rsid w:val="00252E58"/>
    <w:rsid w:val="0025314D"/>
    <w:rsid w:val="00253518"/>
    <w:rsid w:val="00253A1E"/>
    <w:rsid w:val="00253CB9"/>
    <w:rsid w:val="00254345"/>
    <w:rsid w:val="0025470F"/>
    <w:rsid w:val="00254C72"/>
    <w:rsid w:val="0025500C"/>
    <w:rsid w:val="00255088"/>
    <w:rsid w:val="0025520B"/>
    <w:rsid w:val="00255736"/>
    <w:rsid w:val="002566E3"/>
    <w:rsid w:val="002567FE"/>
    <w:rsid w:val="00256B42"/>
    <w:rsid w:val="002573E1"/>
    <w:rsid w:val="00257B7E"/>
    <w:rsid w:val="00257CB1"/>
    <w:rsid w:val="00257CC2"/>
    <w:rsid w:val="00257ED7"/>
    <w:rsid w:val="00260044"/>
    <w:rsid w:val="0026020E"/>
    <w:rsid w:val="0026044F"/>
    <w:rsid w:val="002605F6"/>
    <w:rsid w:val="00260710"/>
    <w:rsid w:val="002608D3"/>
    <w:rsid w:val="00260D40"/>
    <w:rsid w:val="0026130F"/>
    <w:rsid w:val="0026139E"/>
    <w:rsid w:val="002617B7"/>
    <w:rsid w:val="00261BBF"/>
    <w:rsid w:val="00261DC2"/>
    <w:rsid w:val="002620D1"/>
    <w:rsid w:val="002622AA"/>
    <w:rsid w:val="0026260F"/>
    <w:rsid w:val="00262E14"/>
    <w:rsid w:val="002631D4"/>
    <w:rsid w:val="00263B04"/>
    <w:rsid w:val="00263B6C"/>
    <w:rsid w:val="00263C78"/>
    <w:rsid w:val="00264057"/>
    <w:rsid w:val="00264384"/>
    <w:rsid w:val="00264557"/>
    <w:rsid w:val="00264A75"/>
    <w:rsid w:val="00264CB3"/>
    <w:rsid w:val="00265598"/>
    <w:rsid w:val="00265751"/>
    <w:rsid w:val="00265EFB"/>
    <w:rsid w:val="00265FD8"/>
    <w:rsid w:val="00266259"/>
    <w:rsid w:val="002662A8"/>
    <w:rsid w:val="00266460"/>
    <w:rsid w:val="002668F5"/>
    <w:rsid w:val="00266B04"/>
    <w:rsid w:val="00266E0B"/>
    <w:rsid w:val="00266E96"/>
    <w:rsid w:val="00267476"/>
    <w:rsid w:val="00267573"/>
    <w:rsid w:val="00267751"/>
    <w:rsid w:val="00267A92"/>
    <w:rsid w:val="00267D65"/>
    <w:rsid w:val="00267D7D"/>
    <w:rsid w:val="0027026C"/>
    <w:rsid w:val="002704DD"/>
    <w:rsid w:val="002709E4"/>
    <w:rsid w:val="002712CF"/>
    <w:rsid w:val="00271808"/>
    <w:rsid w:val="002719B0"/>
    <w:rsid w:val="00272BA5"/>
    <w:rsid w:val="00272C39"/>
    <w:rsid w:val="00272C58"/>
    <w:rsid w:val="00272D97"/>
    <w:rsid w:val="002735F2"/>
    <w:rsid w:val="002737D8"/>
    <w:rsid w:val="00273887"/>
    <w:rsid w:val="002738E7"/>
    <w:rsid w:val="00273B3C"/>
    <w:rsid w:val="00273E2B"/>
    <w:rsid w:val="00273EB8"/>
    <w:rsid w:val="00273EFB"/>
    <w:rsid w:val="00274474"/>
    <w:rsid w:val="00275262"/>
    <w:rsid w:val="00275351"/>
    <w:rsid w:val="002753C3"/>
    <w:rsid w:val="00275433"/>
    <w:rsid w:val="002756B6"/>
    <w:rsid w:val="002758FA"/>
    <w:rsid w:val="00275CDA"/>
    <w:rsid w:val="00275FF0"/>
    <w:rsid w:val="00276531"/>
    <w:rsid w:val="002767E8"/>
    <w:rsid w:val="00276998"/>
    <w:rsid w:val="00276D97"/>
    <w:rsid w:val="00277007"/>
    <w:rsid w:val="00277181"/>
    <w:rsid w:val="002778F5"/>
    <w:rsid w:val="00277C9D"/>
    <w:rsid w:val="002801F9"/>
    <w:rsid w:val="002802D1"/>
    <w:rsid w:val="002805AB"/>
    <w:rsid w:val="002808A2"/>
    <w:rsid w:val="00280D41"/>
    <w:rsid w:val="0028109F"/>
    <w:rsid w:val="00281F14"/>
    <w:rsid w:val="00282037"/>
    <w:rsid w:val="002824A2"/>
    <w:rsid w:val="0028259E"/>
    <w:rsid w:val="00282B38"/>
    <w:rsid w:val="00282C1C"/>
    <w:rsid w:val="00283190"/>
    <w:rsid w:val="0028327E"/>
    <w:rsid w:val="0028328F"/>
    <w:rsid w:val="0028346F"/>
    <w:rsid w:val="00283544"/>
    <w:rsid w:val="002836C0"/>
    <w:rsid w:val="002836D7"/>
    <w:rsid w:val="00283790"/>
    <w:rsid w:val="00284096"/>
    <w:rsid w:val="00284177"/>
    <w:rsid w:val="002841F3"/>
    <w:rsid w:val="00284204"/>
    <w:rsid w:val="0028435B"/>
    <w:rsid w:val="00284402"/>
    <w:rsid w:val="002849DC"/>
    <w:rsid w:val="00284B4C"/>
    <w:rsid w:val="0028521A"/>
    <w:rsid w:val="002853D9"/>
    <w:rsid w:val="00285476"/>
    <w:rsid w:val="002856C2"/>
    <w:rsid w:val="002857BD"/>
    <w:rsid w:val="00285A0F"/>
    <w:rsid w:val="00285A4F"/>
    <w:rsid w:val="00285ADD"/>
    <w:rsid w:val="00285C8D"/>
    <w:rsid w:val="00285E1F"/>
    <w:rsid w:val="002862E4"/>
    <w:rsid w:val="002865C0"/>
    <w:rsid w:val="002866AC"/>
    <w:rsid w:val="002868C1"/>
    <w:rsid w:val="00286A05"/>
    <w:rsid w:val="002872D6"/>
    <w:rsid w:val="0028754D"/>
    <w:rsid w:val="0028769B"/>
    <w:rsid w:val="00287815"/>
    <w:rsid w:val="00287B44"/>
    <w:rsid w:val="00287BB0"/>
    <w:rsid w:val="00287C2B"/>
    <w:rsid w:val="00287C72"/>
    <w:rsid w:val="00287E56"/>
    <w:rsid w:val="00287E9F"/>
    <w:rsid w:val="002900D8"/>
    <w:rsid w:val="00290276"/>
    <w:rsid w:val="0029034C"/>
    <w:rsid w:val="002905D6"/>
    <w:rsid w:val="00290B9E"/>
    <w:rsid w:val="00290F4C"/>
    <w:rsid w:val="00291773"/>
    <w:rsid w:val="00291B33"/>
    <w:rsid w:val="002932E3"/>
    <w:rsid w:val="00293EC6"/>
    <w:rsid w:val="00294B02"/>
    <w:rsid w:val="0029536B"/>
    <w:rsid w:val="00295517"/>
    <w:rsid w:val="00295645"/>
    <w:rsid w:val="00295664"/>
    <w:rsid w:val="002958A9"/>
    <w:rsid w:val="002959E9"/>
    <w:rsid w:val="00295DDE"/>
    <w:rsid w:val="0029642F"/>
    <w:rsid w:val="00296FA7"/>
    <w:rsid w:val="00296FC1"/>
    <w:rsid w:val="002976C5"/>
    <w:rsid w:val="002978F9"/>
    <w:rsid w:val="00297949"/>
    <w:rsid w:val="00297968"/>
    <w:rsid w:val="002979B5"/>
    <w:rsid w:val="00297C6F"/>
    <w:rsid w:val="00297C96"/>
    <w:rsid w:val="002A0185"/>
    <w:rsid w:val="002A0372"/>
    <w:rsid w:val="002A03D3"/>
    <w:rsid w:val="002A09C7"/>
    <w:rsid w:val="002A0F0F"/>
    <w:rsid w:val="002A1222"/>
    <w:rsid w:val="002A14A1"/>
    <w:rsid w:val="002A168C"/>
    <w:rsid w:val="002A1BD1"/>
    <w:rsid w:val="002A20A8"/>
    <w:rsid w:val="002A2399"/>
    <w:rsid w:val="002A24F9"/>
    <w:rsid w:val="002A2882"/>
    <w:rsid w:val="002A2DB9"/>
    <w:rsid w:val="002A369F"/>
    <w:rsid w:val="002A36DE"/>
    <w:rsid w:val="002A3C06"/>
    <w:rsid w:val="002A3DC7"/>
    <w:rsid w:val="002A422D"/>
    <w:rsid w:val="002A4247"/>
    <w:rsid w:val="002A4596"/>
    <w:rsid w:val="002A47CC"/>
    <w:rsid w:val="002A4839"/>
    <w:rsid w:val="002A4DE8"/>
    <w:rsid w:val="002A54FF"/>
    <w:rsid w:val="002A60B6"/>
    <w:rsid w:val="002A68EA"/>
    <w:rsid w:val="002A6D44"/>
    <w:rsid w:val="002A6F6F"/>
    <w:rsid w:val="002A7119"/>
    <w:rsid w:val="002A7785"/>
    <w:rsid w:val="002A77AD"/>
    <w:rsid w:val="002A7897"/>
    <w:rsid w:val="002A7AFE"/>
    <w:rsid w:val="002A7EDD"/>
    <w:rsid w:val="002A7F7F"/>
    <w:rsid w:val="002B0045"/>
    <w:rsid w:val="002B07BE"/>
    <w:rsid w:val="002B089F"/>
    <w:rsid w:val="002B1022"/>
    <w:rsid w:val="002B21C2"/>
    <w:rsid w:val="002B21FD"/>
    <w:rsid w:val="002B2804"/>
    <w:rsid w:val="002B2A32"/>
    <w:rsid w:val="002B3475"/>
    <w:rsid w:val="002B3533"/>
    <w:rsid w:val="002B3684"/>
    <w:rsid w:val="002B36BE"/>
    <w:rsid w:val="002B3814"/>
    <w:rsid w:val="002B3AC7"/>
    <w:rsid w:val="002B3B5A"/>
    <w:rsid w:val="002B3DAF"/>
    <w:rsid w:val="002B3DE5"/>
    <w:rsid w:val="002B4464"/>
    <w:rsid w:val="002B477E"/>
    <w:rsid w:val="002B49E2"/>
    <w:rsid w:val="002B4B3C"/>
    <w:rsid w:val="002B5052"/>
    <w:rsid w:val="002B5552"/>
    <w:rsid w:val="002B5563"/>
    <w:rsid w:val="002B562D"/>
    <w:rsid w:val="002B5848"/>
    <w:rsid w:val="002B5E42"/>
    <w:rsid w:val="002B6312"/>
    <w:rsid w:val="002B6CC6"/>
    <w:rsid w:val="002B6E59"/>
    <w:rsid w:val="002B7622"/>
    <w:rsid w:val="002B7B00"/>
    <w:rsid w:val="002B7C44"/>
    <w:rsid w:val="002B7E9D"/>
    <w:rsid w:val="002B7FE7"/>
    <w:rsid w:val="002C0205"/>
    <w:rsid w:val="002C02B4"/>
    <w:rsid w:val="002C04A6"/>
    <w:rsid w:val="002C0561"/>
    <w:rsid w:val="002C0604"/>
    <w:rsid w:val="002C063D"/>
    <w:rsid w:val="002C0679"/>
    <w:rsid w:val="002C075B"/>
    <w:rsid w:val="002C0A5C"/>
    <w:rsid w:val="002C0E4C"/>
    <w:rsid w:val="002C0F24"/>
    <w:rsid w:val="002C1167"/>
    <w:rsid w:val="002C120B"/>
    <w:rsid w:val="002C1652"/>
    <w:rsid w:val="002C1833"/>
    <w:rsid w:val="002C2106"/>
    <w:rsid w:val="002C2453"/>
    <w:rsid w:val="002C2543"/>
    <w:rsid w:val="002C2B17"/>
    <w:rsid w:val="002C2BF6"/>
    <w:rsid w:val="002C3127"/>
    <w:rsid w:val="002C376C"/>
    <w:rsid w:val="002C3780"/>
    <w:rsid w:val="002C37A2"/>
    <w:rsid w:val="002C3A34"/>
    <w:rsid w:val="002C3C7E"/>
    <w:rsid w:val="002C3D6C"/>
    <w:rsid w:val="002C437F"/>
    <w:rsid w:val="002C4681"/>
    <w:rsid w:val="002C4CA6"/>
    <w:rsid w:val="002C4CB0"/>
    <w:rsid w:val="002C4E39"/>
    <w:rsid w:val="002C50AD"/>
    <w:rsid w:val="002C50E5"/>
    <w:rsid w:val="002C53C9"/>
    <w:rsid w:val="002C58C9"/>
    <w:rsid w:val="002C5997"/>
    <w:rsid w:val="002C5CF3"/>
    <w:rsid w:val="002C636D"/>
    <w:rsid w:val="002C6D65"/>
    <w:rsid w:val="002C7B7D"/>
    <w:rsid w:val="002D015F"/>
    <w:rsid w:val="002D01F3"/>
    <w:rsid w:val="002D0261"/>
    <w:rsid w:val="002D0A33"/>
    <w:rsid w:val="002D0C80"/>
    <w:rsid w:val="002D0E3C"/>
    <w:rsid w:val="002D11E2"/>
    <w:rsid w:val="002D15A3"/>
    <w:rsid w:val="002D17C8"/>
    <w:rsid w:val="002D18A4"/>
    <w:rsid w:val="002D1D21"/>
    <w:rsid w:val="002D20EE"/>
    <w:rsid w:val="002D2157"/>
    <w:rsid w:val="002D27CA"/>
    <w:rsid w:val="002D2AB7"/>
    <w:rsid w:val="002D2ABD"/>
    <w:rsid w:val="002D32A6"/>
    <w:rsid w:val="002D33BC"/>
    <w:rsid w:val="002D3B3A"/>
    <w:rsid w:val="002D3DD0"/>
    <w:rsid w:val="002D3F01"/>
    <w:rsid w:val="002D4856"/>
    <w:rsid w:val="002D4AE1"/>
    <w:rsid w:val="002D52CC"/>
    <w:rsid w:val="002D54D2"/>
    <w:rsid w:val="002D54FC"/>
    <w:rsid w:val="002D5B64"/>
    <w:rsid w:val="002D5F0E"/>
    <w:rsid w:val="002D61B5"/>
    <w:rsid w:val="002D65EF"/>
    <w:rsid w:val="002D6AC5"/>
    <w:rsid w:val="002D6F01"/>
    <w:rsid w:val="002D716C"/>
    <w:rsid w:val="002D71CD"/>
    <w:rsid w:val="002D7B72"/>
    <w:rsid w:val="002D7C2F"/>
    <w:rsid w:val="002D7FA4"/>
    <w:rsid w:val="002E016B"/>
    <w:rsid w:val="002E0198"/>
    <w:rsid w:val="002E044D"/>
    <w:rsid w:val="002E0667"/>
    <w:rsid w:val="002E0CB0"/>
    <w:rsid w:val="002E0F3B"/>
    <w:rsid w:val="002E14A4"/>
    <w:rsid w:val="002E17A6"/>
    <w:rsid w:val="002E1935"/>
    <w:rsid w:val="002E1C64"/>
    <w:rsid w:val="002E1D74"/>
    <w:rsid w:val="002E1F3A"/>
    <w:rsid w:val="002E229A"/>
    <w:rsid w:val="002E24A6"/>
    <w:rsid w:val="002E2970"/>
    <w:rsid w:val="002E298A"/>
    <w:rsid w:val="002E2A8B"/>
    <w:rsid w:val="002E2E5E"/>
    <w:rsid w:val="002E3312"/>
    <w:rsid w:val="002E3519"/>
    <w:rsid w:val="002E3847"/>
    <w:rsid w:val="002E44A9"/>
    <w:rsid w:val="002E469A"/>
    <w:rsid w:val="002E48A1"/>
    <w:rsid w:val="002E4DBF"/>
    <w:rsid w:val="002E5095"/>
    <w:rsid w:val="002E51C6"/>
    <w:rsid w:val="002E5356"/>
    <w:rsid w:val="002E5357"/>
    <w:rsid w:val="002E5588"/>
    <w:rsid w:val="002E6281"/>
    <w:rsid w:val="002E64C7"/>
    <w:rsid w:val="002E66A5"/>
    <w:rsid w:val="002E6A71"/>
    <w:rsid w:val="002E71F6"/>
    <w:rsid w:val="002E77B6"/>
    <w:rsid w:val="002E7953"/>
    <w:rsid w:val="002E7D5C"/>
    <w:rsid w:val="002F004B"/>
    <w:rsid w:val="002F087D"/>
    <w:rsid w:val="002F0B77"/>
    <w:rsid w:val="002F0E78"/>
    <w:rsid w:val="002F106A"/>
    <w:rsid w:val="002F1DB0"/>
    <w:rsid w:val="002F2064"/>
    <w:rsid w:val="002F23F3"/>
    <w:rsid w:val="002F354D"/>
    <w:rsid w:val="002F35B5"/>
    <w:rsid w:val="002F3697"/>
    <w:rsid w:val="002F3D0C"/>
    <w:rsid w:val="002F489A"/>
    <w:rsid w:val="002F4B54"/>
    <w:rsid w:val="002F51BF"/>
    <w:rsid w:val="002F538D"/>
    <w:rsid w:val="002F5B2B"/>
    <w:rsid w:val="002F5E2D"/>
    <w:rsid w:val="002F5E35"/>
    <w:rsid w:val="002F622D"/>
    <w:rsid w:val="002F62FC"/>
    <w:rsid w:val="002F64CB"/>
    <w:rsid w:val="002F64F8"/>
    <w:rsid w:val="002F64FF"/>
    <w:rsid w:val="002F6A5B"/>
    <w:rsid w:val="002F7772"/>
    <w:rsid w:val="002F7D42"/>
    <w:rsid w:val="003002AF"/>
    <w:rsid w:val="00300A93"/>
    <w:rsid w:val="00300B4E"/>
    <w:rsid w:val="00300DDF"/>
    <w:rsid w:val="00300EF3"/>
    <w:rsid w:val="00301111"/>
    <w:rsid w:val="00301978"/>
    <w:rsid w:val="00301B4E"/>
    <w:rsid w:val="0030216F"/>
    <w:rsid w:val="003022C1"/>
    <w:rsid w:val="00302458"/>
    <w:rsid w:val="00302855"/>
    <w:rsid w:val="003029EE"/>
    <w:rsid w:val="00302AE0"/>
    <w:rsid w:val="0030300E"/>
    <w:rsid w:val="0030332C"/>
    <w:rsid w:val="00303BA0"/>
    <w:rsid w:val="0030436B"/>
    <w:rsid w:val="003046AB"/>
    <w:rsid w:val="003048E1"/>
    <w:rsid w:val="00305004"/>
    <w:rsid w:val="003051C2"/>
    <w:rsid w:val="0030553F"/>
    <w:rsid w:val="00305C35"/>
    <w:rsid w:val="00305CC9"/>
    <w:rsid w:val="0030612E"/>
    <w:rsid w:val="00306B28"/>
    <w:rsid w:val="00306CF5"/>
    <w:rsid w:val="00306E64"/>
    <w:rsid w:val="00307486"/>
    <w:rsid w:val="0030758F"/>
    <w:rsid w:val="00307FE1"/>
    <w:rsid w:val="0031006C"/>
    <w:rsid w:val="003105EC"/>
    <w:rsid w:val="00310796"/>
    <w:rsid w:val="00310BB4"/>
    <w:rsid w:val="00310D97"/>
    <w:rsid w:val="003113B5"/>
    <w:rsid w:val="0031150C"/>
    <w:rsid w:val="003115CB"/>
    <w:rsid w:val="003119F1"/>
    <w:rsid w:val="00311B52"/>
    <w:rsid w:val="00311F74"/>
    <w:rsid w:val="00312296"/>
    <w:rsid w:val="00312306"/>
    <w:rsid w:val="0031238D"/>
    <w:rsid w:val="00312860"/>
    <w:rsid w:val="00312928"/>
    <w:rsid w:val="003129B4"/>
    <w:rsid w:val="0031353D"/>
    <w:rsid w:val="0031390F"/>
    <w:rsid w:val="00313B19"/>
    <w:rsid w:val="00314A9E"/>
    <w:rsid w:val="00314B22"/>
    <w:rsid w:val="00314DDB"/>
    <w:rsid w:val="00314EEF"/>
    <w:rsid w:val="00314F0E"/>
    <w:rsid w:val="003152E5"/>
    <w:rsid w:val="00315A86"/>
    <w:rsid w:val="00315A8D"/>
    <w:rsid w:val="00315B1E"/>
    <w:rsid w:val="00315E3A"/>
    <w:rsid w:val="00315EBD"/>
    <w:rsid w:val="003163B8"/>
    <w:rsid w:val="00316854"/>
    <w:rsid w:val="00316A42"/>
    <w:rsid w:val="00316B89"/>
    <w:rsid w:val="00316EE4"/>
    <w:rsid w:val="00317803"/>
    <w:rsid w:val="003179C7"/>
    <w:rsid w:val="00317F23"/>
    <w:rsid w:val="0032049C"/>
    <w:rsid w:val="00320B8A"/>
    <w:rsid w:val="00321C9A"/>
    <w:rsid w:val="00321D8E"/>
    <w:rsid w:val="00321DCB"/>
    <w:rsid w:val="0032203B"/>
    <w:rsid w:val="00322787"/>
    <w:rsid w:val="00322B5F"/>
    <w:rsid w:val="00322CDD"/>
    <w:rsid w:val="00322E0C"/>
    <w:rsid w:val="003235A0"/>
    <w:rsid w:val="00323C07"/>
    <w:rsid w:val="00324464"/>
    <w:rsid w:val="0032454E"/>
    <w:rsid w:val="003247F4"/>
    <w:rsid w:val="00324AE6"/>
    <w:rsid w:val="00324C57"/>
    <w:rsid w:val="00324D31"/>
    <w:rsid w:val="00324D91"/>
    <w:rsid w:val="00324EB6"/>
    <w:rsid w:val="00325038"/>
    <w:rsid w:val="00325426"/>
    <w:rsid w:val="0032564C"/>
    <w:rsid w:val="00325928"/>
    <w:rsid w:val="00325A4C"/>
    <w:rsid w:val="00325B22"/>
    <w:rsid w:val="00325CC6"/>
    <w:rsid w:val="0032674D"/>
    <w:rsid w:val="003267EA"/>
    <w:rsid w:val="00326B10"/>
    <w:rsid w:val="00327CF9"/>
    <w:rsid w:val="00327FA9"/>
    <w:rsid w:val="00327FB7"/>
    <w:rsid w:val="0033004B"/>
    <w:rsid w:val="0033013B"/>
    <w:rsid w:val="00330E04"/>
    <w:rsid w:val="0033116A"/>
    <w:rsid w:val="00331299"/>
    <w:rsid w:val="00331D2C"/>
    <w:rsid w:val="00331E82"/>
    <w:rsid w:val="003325A5"/>
    <w:rsid w:val="00332863"/>
    <w:rsid w:val="00332AFB"/>
    <w:rsid w:val="00332CC9"/>
    <w:rsid w:val="00333261"/>
    <w:rsid w:val="003337CE"/>
    <w:rsid w:val="0033391D"/>
    <w:rsid w:val="00333C32"/>
    <w:rsid w:val="00333CFB"/>
    <w:rsid w:val="00334084"/>
    <w:rsid w:val="00334ACC"/>
    <w:rsid w:val="00334EC2"/>
    <w:rsid w:val="003351D4"/>
    <w:rsid w:val="0033542C"/>
    <w:rsid w:val="003356BB"/>
    <w:rsid w:val="0033578F"/>
    <w:rsid w:val="00335B30"/>
    <w:rsid w:val="00335FF1"/>
    <w:rsid w:val="00336407"/>
    <w:rsid w:val="0033684D"/>
    <w:rsid w:val="003368C6"/>
    <w:rsid w:val="00336D86"/>
    <w:rsid w:val="00336EC5"/>
    <w:rsid w:val="0033708D"/>
    <w:rsid w:val="00337143"/>
    <w:rsid w:val="0033741E"/>
    <w:rsid w:val="00337769"/>
    <w:rsid w:val="003377D1"/>
    <w:rsid w:val="00337B42"/>
    <w:rsid w:val="00337BEC"/>
    <w:rsid w:val="00340008"/>
    <w:rsid w:val="00340143"/>
    <w:rsid w:val="0034040D"/>
    <w:rsid w:val="003407AE"/>
    <w:rsid w:val="00340E35"/>
    <w:rsid w:val="003414F8"/>
    <w:rsid w:val="00341579"/>
    <w:rsid w:val="00341772"/>
    <w:rsid w:val="003418C3"/>
    <w:rsid w:val="00341B42"/>
    <w:rsid w:val="00341FF6"/>
    <w:rsid w:val="0034203D"/>
    <w:rsid w:val="003424E6"/>
    <w:rsid w:val="00342973"/>
    <w:rsid w:val="00342B70"/>
    <w:rsid w:val="003433D5"/>
    <w:rsid w:val="0034348F"/>
    <w:rsid w:val="003438C4"/>
    <w:rsid w:val="00343D98"/>
    <w:rsid w:val="00344102"/>
    <w:rsid w:val="003441B7"/>
    <w:rsid w:val="003444B1"/>
    <w:rsid w:val="003445A6"/>
    <w:rsid w:val="00344C40"/>
    <w:rsid w:val="00345552"/>
    <w:rsid w:val="00345EC2"/>
    <w:rsid w:val="00345F07"/>
    <w:rsid w:val="00345F42"/>
    <w:rsid w:val="0034620F"/>
    <w:rsid w:val="00346915"/>
    <w:rsid w:val="00346B02"/>
    <w:rsid w:val="00346F97"/>
    <w:rsid w:val="003503D9"/>
    <w:rsid w:val="00350516"/>
    <w:rsid w:val="00350665"/>
    <w:rsid w:val="00350D4D"/>
    <w:rsid w:val="00350F8B"/>
    <w:rsid w:val="00351140"/>
    <w:rsid w:val="00351897"/>
    <w:rsid w:val="003519F8"/>
    <w:rsid w:val="00351CA5"/>
    <w:rsid w:val="00351F7B"/>
    <w:rsid w:val="003528FB"/>
    <w:rsid w:val="00352C3A"/>
    <w:rsid w:val="00352F28"/>
    <w:rsid w:val="00352FD8"/>
    <w:rsid w:val="003531E1"/>
    <w:rsid w:val="003532AA"/>
    <w:rsid w:val="003535FE"/>
    <w:rsid w:val="0035402C"/>
    <w:rsid w:val="003546B2"/>
    <w:rsid w:val="00355056"/>
    <w:rsid w:val="0035520F"/>
    <w:rsid w:val="0035548C"/>
    <w:rsid w:val="00355507"/>
    <w:rsid w:val="00356653"/>
    <w:rsid w:val="00356BF4"/>
    <w:rsid w:val="00356C65"/>
    <w:rsid w:val="00356E06"/>
    <w:rsid w:val="0035743F"/>
    <w:rsid w:val="003574F4"/>
    <w:rsid w:val="0035758E"/>
    <w:rsid w:val="00357ADE"/>
    <w:rsid w:val="00357BE2"/>
    <w:rsid w:val="00357FCF"/>
    <w:rsid w:val="0036047D"/>
    <w:rsid w:val="003607D9"/>
    <w:rsid w:val="00360E84"/>
    <w:rsid w:val="00361259"/>
    <w:rsid w:val="0036170C"/>
    <w:rsid w:val="00361901"/>
    <w:rsid w:val="00361A20"/>
    <w:rsid w:val="00361BC0"/>
    <w:rsid w:val="00361F98"/>
    <w:rsid w:val="0036211E"/>
    <w:rsid w:val="00362613"/>
    <w:rsid w:val="003626CF"/>
    <w:rsid w:val="00362B62"/>
    <w:rsid w:val="00362DED"/>
    <w:rsid w:val="0036321C"/>
    <w:rsid w:val="0036344B"/>
    <w:rsid w:val="00363D7E"/>
    <w:rsid w:val="003640E7"/>
    <w:rsid w:val="0036412E"/>
    <w:rsid w:val="003642E6"/>
    <w:rsid w:val="003648C1"/>
    <w:rsid w:val="0036592B"/>
    <w:rsid w:val="00365BCF"/>
    <w:rsid w:val="003667A8"/>
    <w:rsid w:val="00366E0F"/>
    <w:rsid w:val="00366F97"/>
    <w:rsid w:val="00367317"/>
    <w:rsid w:val="003674D4"/>
    <w:rsid w:val="003678E4"/>
    <w:rsid w:val="00367A69"/>
    <w:rsid w:val="00367A77"/>
    <w:rsid w:val="00367DBE"/>
    <w:rsid w:val="003709CF"/>
    <w:rsid w:val="00370A5E"/>
    <w:rsid w:val="00370B91"/>
    <w:rsid w:val="00370C4D"/>
    <w:rsid w:val="00371579"/>
    <w:rsid w:val="003717EE"/>
    <w:rsid w:val="00371989"/>
    <w:rsid w:val="00372296"/>
    <w:rsid w:val="003729DA"/>
    <w:rsid w:val="00372B37"/>
    <w:rsid w:val="0037348B"/>
    <w:rsid w:val="0037360F"/>
    <w:rsid w:val="00373B71"/>
    <w:rsid w:val="00373DEC"/>
    <w:rsid w:val="00373E6A"/>
    <w:rsid w:val="00374032"/>
    <w:rsid w:val="0037447F"/>
    <w:rsid w:val="0037469A"/>
    <w:rsid w:val="003747B6"/>
    <w:rsid w:val="00374D37"/>
    <w:rsid w:val="00374D3F"/>
    <w:rsid w:val="00375150"/>
    <w:rsid w:val="00375875"/>
    <w:rsid w:val="003758FD"/>
    <w:rsid w:val="00375C09"/>
    <w:rsid w:val="00375F88"/>
    <w:rsid w:val="003764D0"/>
    <w:rsid w:val="00376A5D"/>
    <w:rsid w:val="003774EB"/>
    <w:rsid w:val="00377873"/>
    <w:rsid w:val="00377B08"/>
    <w:rsid w:val="00380606"/>
    <w:rsid w:val="00380ACF"/>
    <w:rsid w:val="00380D36"/>
    <w:rsid w:val="00380D4B"/>
    <w:rsid w:val="0038130A"/>
    <w:rsid w:val="003816E1"/>
    <w:rsid w:val="00381A72"/>
    <w:rsid w:val="00381F10"/>
    <w:rsid w:val="00382819"/>
    <w:rsid w:val="00382A8D"/>
    <w:rsid w:val="00382B60"/>
    <w:rsid w:val="00382BBB"/>
    <w:rsid w:val="00382D40"/>
    <w:rsid w:val="00382FCA"/>
    <w:rsid w:val="003838E3"/>
    <w:rsid w:val="00383BC0"/>
    <w:rsid w:val="00383E82"/>
    <w:rsid w:val="00384061"/>
    <w:rsid w:val="00384192"/>
    <w:rsid w:val="00384262"/>
    <w:rsid w:val="00384676"/>
    <w:rsid w:val="0038491D"/>
    <w:rsid w:val="00384BC7"/>
    <w:rsid w:val="003854BD"/>
    <w:rsid w:val="00385601"/>
    <w:rsid w:val="003856ED"/>
    <w:rsid w:val="00385891"/>
    <w:rsid w:val="00385897"/>
    <w:rsid w:val="00385DED"/>
    <w:rsid w:val="00387050"/>
    <w:rsid w:val="0038718A"/>
    <w:rsid w:val="00387588"/>
    <w:rsid w:val="0038760A"/>
    <w:rsid w:val="00387621"/>
    <w:rsid w:val="00387812"/>
    <w:rsid w:val="00387903"/>
    <w:rsid w:val="00390366"/>
    <w:rsid w:val="0039060D"/>
    <w:rsid w:val="003907E3"/>
    <w:rsid w:val="00390857"/>
    <w:rsid w:val="00390976"/>
    <w:rsid w:val="00390B9A"/>
    <w:rsid w:val="00391518"/>
    <w:rsid w:val="003917F9"/>
    <w:rsid w:val="00391D4B"/>
    <w:rsid w:val="00392030"/>
    <w:rsid w:val="003926EC"/>
    <w:rsid w:val="0039287F"/>
    <w:rsid w:val="0039347A"/>
    <w:rsid w:val="0039355C"/>
    <w:rsid w:val="003938FE"/>
    <w:rsid w:val="00393B6A"/>
    <w:rsid w:val="00393CD7"/>
    <w:rsid w:val="003940DD"/>
    <w:rsid w:val="003940F3"/>
    <w:rsid w:val="00394583"/>
    <w:rsid w:val="003949E6"/>
    <w:rsid w:val="00394B8D"/>
    <w:rsid w:val="003952C3"/>
    <w:rsid w:val="0039562D"/>
    <w:rsid w:val="003959EE"/>
    <w:rsid w:val="00395CF3"/>
    <w:rsid w:val="0039607D"/>
    <w:rsid w:val="0039685E"/>
    <w:rsid w:val="00396875"/>
    <w:rsid w:val="00396A7B"/>
    <w:rsid w:val="00396D31"/>
    <w:rsid w:val="00397014"/>
    <w:rsid w:val="00397C44"/>
    <w:rsid w:val="003A016F"/>
    <w:rsid w:val="003A03C0"/>
    <w:rsid w:val="003A0641"/>
    <w:rsid w:val="003A0CCD"/>
    <w:rsid w:val="003A1791"/>
    <w:rsid w:val="003A1CC8"/>
    <w:rsid w:val="003A1D2D"/>
    <w:rsid w:val="003A256F"/>
    <w:rsid w:val="003A2CF6"/>
    <w:rsid w:val="003A3342"/>
    <w:rsid w:val="003A347A"/>
    <w:rsid w:val="003A3F52"/>
    <w:rsid w:val="003A4320"/>
    <w:rsid w:val="003A438B"/>
    <w:rsid w:val="003A4406"/>
    <w:rsid w:val="003A46A3"/>
    <w:rsid w:val="003A4BF3"/>
    <w:rsid w:val="003A4C7F"/>
    <w:rsid w:val="003A4CC9"/>
    <w:rsid w:val="003A515A"/>
    <w:rsid w:val="003A550C"/>
    <w:rsid w:val="003A5538"/>
    <w:rsid w:val="003A5572"/>
    <w:rsid w:val="003A6358"/>
    <w:rsid w:val="003A6443"/>
    <w:rsid w:val="003A6572"/>
    <w:rsid w:val="003A68C8"/>
    <w:rsid w:val="003A6E5E"/>
    <w:rsid w:val="003A789D"/>
    <w:rsid w:val="003A78E1"/>
    <w:rsid w:val="003A79F8"/>
    <w:rsid w:val="003A7C8F"/>
    <w:rsid w:val="003A7CB5"/>
    <w:rsid w:val="003A7DD1"/>
    <w:rsid w:val="003B020E"/>
    <w:rsid w:val="003B0377"/>
    <w:rsid w:val="003B0684"/>
    <w:rsid w:val="003B0BD3"/>
    <w:rsid w:val="003B160D"/>
    <w:rsid w:val="003B1652"/>
    <w:rsid w:val="003B1819"/>
    <w:rsid w:val="003B1AC4"/>
    <w:rsid w:val="003B1BF2"/>
    <w:rsid w:val="003B1CF8"/>
    <w:rsid w:val="003B1D0D"/>
    <w:rsid w:val="003B204D"/>
    <w:rsid w:val="003B21C3"/>
    <w:rsid w:val="003B226D"/>
    <w:rsid w:val="003B23C7"/>
    <w:rsid w:val="003B276F"/>
    <w:rsid w:val="003B2ADE"/>
    <w:rsid w:val="003B33F4"/>
    <w:rsid w:val="003B35C7"/>
    <w:rsid w:val="003B3967"/>
    <w:rsid w:val="003B39FA"/>
    <w:rsid w:val="003B3E0E"/>
    <w:rsid w:val="003B3EEA"/>
    <w:rsid w:val="003B403E"/>
    <w:rsid w:val="003B420D"/>
    <w:rsid w:val="003B4510"/>
    <w:rsid w:val="003B4803"/>
    <w:rsid w:val="003B4AAD"/>
    <w:rsid w:val="003B4DFE"/>
    <w:rsid w:val="003B4EA6"/>
    <w:rsid w:val="003B5145"/>
    <w:rsid w:val="003B5429"/>
    <w:rsid w:val="003B5DA1"/>
    <w:rsid w:val="003B5FF8"/>
    <w:rsid w:val="003B657A"/>
    <w:rsid w:val="003B693C"/>
    <w:rsid w:val="003B6B5E"/>
    <w:rsid w:val="003B6B78"/>
    <w:rsid w:val="003B70CD"/>
    <w:rsid w:val="003B70F9"/>
    <w:rsid w:val="003B71E1"/>
    <w:rsid w:val="003B7243"/>
    <w:rsid w:val="003B74E6"/>
    <w:rsid w:val="003C046D"/>
    <w:rsid w:val="003C0B0D"/>
    <w:rsid w:val="003C0B22"/>
    <w:rsid w:val="003C0C0D"/>
    <w:rsid w:val="003C0D85"/>
    <w:rsid w:val="003C10FE"/>
    <w:rsid w:val="003C1124"/>
    <w:rsid w:val="003C11FE"/>
    <w:rsid w:val="003C1890"/>
    <w:rsid w:val="003C1D3C"/>
    <w:rsid w:val="003C2069"/>
    <w:rsid w:val="003C2AD4"/>
    <w:rsid w:val="003C2BF2"/>
    <w:rsid w:val="003C2DBF"/>
    <w:rsid w:val="003C2F6A"/>
    <w:rsid w:val="003C3903"/>
    <w:rsid w:val="003C484C"/>
    <w:rsid w:val="003C48EA"/>
    <w:rsid w:val="003C49E1"/>
    <w:rsid w:val="003C4A27"/>
    <w:rsid w:val="003C5115"/>
    <w:rsid w:val="003C54C9"/>
    <w:rsid w:val="003C57AE"/>
    <w:rsid w:val="003C5E90"/>
    <w:rsid w:val="003C634A"/>
    <w:rsid w:val="003C6518"/>
    <w:rsid w:val="003C666A"/>
    <w:rsid w:val="003C6878"/>
    <w:rsid w:val="003C6C16"/>
    <w:rsid w:val="003C6DF6"/>
    <w:rsid w:val="003C70A0"/>
    <w:rsid w:val="003C725B"/>
    <w:rsid w:val="003C74D0"/>
    <w:rsid w:val="003C7CD8"/>
    <w:rsid w:val="003C7F9E"/>
    <w:rsid w:val="003D03A8"/>
    <w:rsid w:val="003D06F6"/>
    <w:rsid w:val="003D0701"/>
    <w:rsid w:val="003D0B7B"/>
    <w:rsid w:val="003D1CB4"/>
    <w:rsid w:val="003D1D60"/>
    <w:rsid w:val="003D1F3A"/>
    <w:rsid w:val="003D210E"/>
    <w:rsid w:val="003D2212"/>
    <w:rsid w:val="003D2299"/>
    <w:rsid w:val="003D22FD"/>
    <w:rsid w:val="003D24BA"/>
    <w:rsid w:val="003D2659"/>
    <w:rsid w:val="003D2826"/>
    <w:rsid w:val="003D2AEF"/>
    <w:rsid w:val="003D2B81"/>
    <w:rsid w:val="003D2EAD"/>
    <w:rsid w:val="003D3272"/>
    <w:rsid w:val="003D39BB"/>
    <w:rsid w:val="003D3BB2"/>
    <w:rsid w:val="003D3C48"/>
    <w:rsid w:val="003D3CF6"/>
    <w:rsid w:val="003D3D06"/>
    <w:rsid w:val="003D3E96"/>
    <w:rsid w:val="003D41B1"/>
    <w:rsid w:val="003D4493"/>
    <w:rsid w:val="003D44DF"/>
    <w:rsid w:val="003D48F6"/>
    <w:rsid w:val="003D4E88"/>
    <w:rsid w:val="003D5467"/>
    <w:rsid w:val="003D6363"/>
    <w:rsid w:val="003D658B"/>
    <w:rsid w:val="003D6861"/>
    <w:rsid w:val="003D6881"/>
    <w:rsid w:val="003D6A4C"/>
    <w:rsid w:val="003D6A88"/>
    <w:rsid w:val="003D6A9D"/>
    <w:rsid w:val="003D6CF7"/>
    <w:rsid w:val="003D6D23"/>
    <w:rsid w:val="003D77C0"/>
    <w:rsid w:val="003D794D"/>
    <w:rsid w:val="003D797A"/>
    <w:rsid w:val="003D79AF"/>
    <w:rsid w:val="003D7EC2"/>
    <w:rsid w:val="003D7F6A"/>
    <w:rsid w:val="003E01E5"/>
    <w:rsid w:val="003E0298"/>
    <w:rsid w:val="003E0385"/>
    <w:rsid w:val="003E03D5"/>
    <w:rsid w:val="003E071D"/>
    <w:rsid w:val="003E07BF"/>
    <w:rsid w:val="003E0BA4"/>
    <w:rsid w:val="003E0F61"/>
    <w:rsid w:val="003E122B"/>
    <w:rsid w:val="003E1309"/>
    <w:rsid w:val="003E1580"/>
    <w:rsid w:val="003E19E8"/>
    <w:rsid w:val="003E1B9D"/>
    <w:rsid w:val="003E1EFE"/>
    <w:rsid w:val="003E2476"/>
    <w:rsid w:val="003E2785"/>
    <w:rsid w:val="003E2AF7"/>
    <w:rsid w:val="003E2C1B"/>
    <w:rsid w:val="003E2D5B"/>
    <w:rsid w:val="003E2ED8"/>
    <w:rsid w:val="003E3058"/>
    <w:rsid w:val="003E335E"/>
    <w:rsid w:val="003E3736"/>
    <w:rsid w:val="003E37C1"/>
    <w:rsid w:val="003E394C"/>
    <w:rsid w:val="003E3982"/>
    <w:rsid w:val="003E3EAF"/>
    <w:rsid w:val="003E4362"/>
    <w:rsid w:val="003E43C3"/>
    <w:rsid w:val="003E478B"/>
    <w:rsid w:val="003E488D"/>
    <w:rsid w:val="003E4DFA"/>
    <w:rsid w:val="003E4EF7"/>
    <w:rsid w:val="003E51A8"/>
    <w:rsid w:val="003E5206"/>
    <w:rsid w:val="003E548F"/>
    <w:rsid w:val="003E54CA"/>
    <w:rsid w:val="003E55C2"/>
    <w:rsid w:val="003E62A7"/>
    <w:rsid w:val="003E6535"/>
    <w:rsid w:val="003E6770"/>
    <w:rsid w:val="003E6B4E"/>
    <w:rsid w:val="003E6C06"/>
    <w:rsid w:val="003E6DB7"/>
    <w:rsid w:val="003E739B"/>
    <w:rsid w:val="003E76A9"/>
    <w:rsid w:val="003E7D7A"/>
    <w:rsid w:val="003F01BB"/>
    <w:rsid w:val="003F042B"/>
    <w:rsid w:val="003F046E"/>
    <w:rsid w:val="003F04EA"/>
    <w:rsid w:val="003F0702"/>
    <w:rsid w:val="003F0809"/>
    <w:rsid w:val="003F08A6"/>
    <w:rsid w:val="003F095A"/>
    <w:rsid w:val="003F0C3F"/>
    <w:rsid w:val="003F0E98"/>
    <w:rsid w:val="003F0EDD"/>
    <w:rsid w:val="003F13A2"/>
    <w:rsid w:val="003F13F4"/>
    <w:rsid w:val="003F1A63"/>
    <w:rsid w:val="003F2014"/>
    <w:rsid w:val="003F2274"/>
    <w:rsid w:val="003F2401"/>
    <w:rsid w:val="003F3220"/>
    <w:rsid w:val="003F32C4"/>
    <w:rsid w:val="003F359A"/>
    <w:rsid w:val="003F3C85"/>
    <w:rsid w:val="003F407A"/>
    <w:rsid w:val="003F4318"/>
    <w:rsid w:val="003F43A5"/>
    <w:rsid w:val="003F467A"/>
    <w:rsid w:val="003F4796"/>
    <w:rsid w:val="003F492A"/>
    <w:rsid w:val="003F494A"/>
    <w:rsid w:val="003F5147"/>
    <w:rsid w:val="003F5288"/>
    <w:rsid w:val="003F5555"/>
    <w:rsid w:val="003F55FC"/>
    <w:rsid w:val="003F5908"/>
    <w:rsid w:val="003F5BC3"/>
    <w:rsid w:val="003F5CF9"/>
    <w:rsid w:val="003F5E55"/>
    <w:rsid w:val="003F6067"/>
    <w:rsid w:val="003F60E7"/>
    <w:rsid w:val="003F6117"/>
    <w:rsid w:val="003F66FF"/>
    <w:rsid w:val="003F6A8C"/>
    <w:rsid w:val="003F6C0D"/>
    <w:rsid w:val="003F6C1D"/>
    <w:rsid w:val="003F6DE2"/>
    <w:rsid w:val="003F6F4D"/>
    <w:rsid w:val="003F6F8F"/>
    <w:rsid w:val="003F751D"/>
    <w:rsid w:val="003F755C"/>
    <w:rsid w:val="003F775C"/>
    <w:rsid w:val="003F793A"/>
    <w:rsid w:val="00400086"/>
    <w:rsid w:val="004001E7"/>
    <w:rsid w:val="00400254"/>
    <w:rsid w:val="004004DD"/>
    <w:rsid w:val="00400BE9"/>
    <w:rsid w:val="00401369"/>
    <w:rsid w:val="00401543"/>
    <w:rsid w:val="00401648"/>
    <w:rsid w:val="00401CB1"/>
    <w:rsid w:val="00402058"/>
    <w:rsid w:val="00402564"/>
    <w:rsid w:val="00402868"/>
    <w:rsid w:val="00402A5F"/>
    <w:rsid w:val="00402B86"/>
    <w:rsid w:val="00402FC9"/>
    <w:rsid w:val="0040345B"/>
    <w:rsid w:val="00403688"/>
    <w:rsid w:val="004038A1"/>
    <w:rsid w:val="00403996"/>
    <w:rsid w:val="004042A9"/>
    <w:rsid w:val="0040488C"/>
    <w:rsid w:val="00404CCE"/>
    <w:rsid w:val="00404CDC"/>
    <w:rsid w:val="00404DA4"/>
    <w:rsid w:val="00404FB4"/>
    <w:rsid w:val="00405849"/>
    <w:rsid w:val="0040584E"/>
    <w:rsid w:val="00405ED8"/>
    <w:rsid w:val="004065C0"/>
    <w:rsid w:val="00406B38"/>
    <w:rsid w:val="00406F01"/>
    <w:rsid w:val="004072F1"/>
    <w:rsid w:val="00407543"/>
    <w:rsid w:val="004077A3"/>
    <w:rsid w:val="004077D1"/>
    <w:rsid w:val="00407809"/>
    <w:rsid w:val="004079A3"/>
    <w:rsid w:val="00407F6C"/>
    <w:rsid w:val="00410179"/>
    <w:rsid w:val="004102F5"/>
    <w:rsid w:val="0041052D"/>
    <w:rsid w:val="00410748"/>
    <w:rsid w:val="00410A1A"/>
    <w:rsid w:val="00410F52"/>
    <w:rsid w:val="00411F8C"/>
    <w:rsid w:val="004121DF"/>
    <w:rsid w:val="00412410"/>
    <w:rsid w:val="00412882"/>
    <w:rsid w:val="00412892"/>
    <w:rsid w:val="00412AC8"/>
    <w:rsid w:val="004130AF"/>
    <w:rsid w:val="004135DF"/>
    <w:rsid w:val="00413A52"/>
    <w:rsid w:val="00413CB5"/>
    <w:rsid w:val="0041411E"/>
    <w:rsid w:val="004145AA"/>
    <w:rsid w:val="00414D5B"/>
    <w:rsid w:val="004151A3"/>
    <w:rsid w:val="004157BC"/>
    <w:rsid w:val="00415BE5"/>
    <w:rsid w:val="00416A6F"/>
    <w:rsid w:val="00416CA5"/>
    <w:rsid w:val="00416D50"/>
    <w:rsid w:val="00416FD5"/>
    <w:rsid w:val="00417395"/>
    <w:rsid w:val="004174E9"/>
    <w:rsid w:val="00417686"/>
    <w:rsid w:val="00417772"/>
    <w:rsid w:val="004177CB"/>
    <w:rsid w:val="00417D70"/>
    <w:rsid w:val="0042021C"/>
    <w:rsid w:val="00420279"/>
    <w:rsid w:val="004202AE"/>
    <w:rsid w:val="004209EE"/>
    <w:rsid w:val="00420A7D"/>
    <w:rsid w:val="00420C3A"/>
    <w:rsid w:val="00420D63"/>
    <w:rsid w:val="00420E6A"/>
    <w:rsid w:val="00420EB6"/>
    <w:rsid w:val="00421030"/>
    <w:rsid w:val="00421070"/>
    <w:rsid w:val="0042114B"/>
    <w:rsid w:val="0042125C"/>
    <w:rsid w:val="004215E2"/>
    <w:rsid w:val="00422000"/>
    <w:rsid w:val="0042246E"/>
    <w:rsid w:val="00422D50"/>
    <w:rsid w:val="004231D3"/>
    <w:rsid w:val="00423412"/>
    <w:rsid w:val="004234BD"/>
    <w:rsid w:val="004234C2"/>
    <w:rsid w:val="00423557"/>
    <w:rsid w:val="00423629"/>
    <w:rsid w:val="004238DB"/>
    <w:rsid w:val="00423BD2"/>
    <w:rsid w:val="004247D4"/>
    <w:rsid w:val="00424F3E"/>
    <w:rsid w:val="0042525F"/>
    <w:rsid w:val="004257A5"/>
    <w:rsid w:val="00425A9E"/>
    <w:rsid w:val="00425C59"/>
    <w:rsid w:val="00425E85"/>
    <w:rsid w:val="00426409"/>
    <w:rsid w:val="00426CB6"/>
    <w:rsid w:val="00426D6B"/>
    <w:rsid w:val="00426F4F"/>
    <w:rsid w:val="00426F9D"/>
    <w:rsid w:val="00427032"/>
    <w:rsid w:val="0043041B"/>
    <w:rsid w:val="004308C1"/>
    <w:rsid w:val="00431705"/>
    <w:rsid w:val="0043184C"/>
    <w:rsid w:val="004319CC"/>
    <w:rsid w:val="00431E6C"/>
    <w:rsid w:val="0043213B"/>
    <w:rsid w:val="0043285A"/>
    <w:rsid w:val="00432A27"/>
    <w:rsid w:val="00432AAD"/>
    <w:rsid w:val="0043397A"/>
    <w:rsid w:val="00433CE7"/>
    <w:rsid w:val="00433CF7"/>
    <w:rsid w:val="004340BF"/>
    <w:rsid w:val="0043425D"/>
    <w:rsid w:val="00434A45"/>
    <w:rsid w:val="00435538"/>
    <w:rsid w:val="004355DC"/>
    <w:rsid w:val="00435860"/>
    <w:rsid w:val="00435AFD"/>
    <w:rsid w:val="00435FD1"/>
    <w:rsid w:val="00436678"/>
    <w:rsid w:val="004366A3"/>
    <w:rsid w:val="0043674B"/>
    <w:rsid w:val="004373D1"/>
    <w:rsid w:val="00437E51"/>
    <w:rsid w:val="004400A5"/>
    <w:rsid w:val="004400B6"/>
    <w:rsid w:val="0044014A"/>
    <w:rsid w:val="00440451"/>
    <w:rsid w:val="00440C75"/>
    <w:rsid w:val="0044140B"/>
    <w:rsid w:val="004414F8"/>
    <w:rsid w:val="00441C2D"/>
    <w:rsid w:val="00442D47"/>
    <w:rsid w:val="004435BD"/>
    <w:rsid w:val="004436D4"/>
    <w:rsid w:val="004438DB"/>
    <w:rsid w:val="004438F8"/>
    <w:rsid w:val="00443934"/>
    <w:rsid w:val="00443AAD"/>
    <w:rsid w:val="00444CCB"/>
    <w:rsid w:val="00444D20"/>
    <w:rsid w:val="0044525B"/>
    <w:rsid w:val="00445408"/>
    <w:rsid w:val="00445F58"/>
    <w:rsid w:val="00446098"/>
    <w:rsid w:val="004462CD"/>
    <w:rsid w:val="004478DB"/>
    <w:rsid w:val="004479B8"/>
    <w:rsid w:val="00450047"/>
    <w:rsid w:val="00450634"/>
    <w:rsid w:val="0045072A"/>
    <w:rsid w:val="00450A25"/>
    <w:rsid w:val="00450CFB"/>
    <w:rsid w:val="00450F7E"/>
    <w:rsid w:val="00450FF0"/>
    <w:rsid w:val="004510B1"/>
    <w:rsid w:val="00451228"/>
    <w:rsid w:val="004514B5"/>
    <w:rsid w:val="0045154C"/>
    <w:rsid w:val="00451782"/>
    <w:rsid w:val="00452113"/>
    <w:rsid w:val="00452671"/>
    <w:rsid w:val="00452738"/>
    <w:rsid w:val="00452763"/>
    <w:rsid w:val="00452993"/>
    <w:rsid w:val="00453439"/>
    <w:rsid w:val="00453AF5"/>
    <w:rsid w:val="00453D84"/>
    <w:rsid w:val="00453F5A"/>
    <w:rsid w:val="00453FDE"/>
    <w:rsid w:val="00453FF4"/>
    <w:rsid w:val="00454484"/>
    <w:rsid w:val="0045455C"/>
    <w:rsid w:val="0045498B"/>
    <w:rsid w:val="00454B64"/>
    <w:rsid w:val="00454F98"/>
    <w:rsid w:val="004553FA"/>
    <w:rsid w:val="0045556F"/>
    <w:rsid w:val="00455EAC"/>
    <w:rsid w:val="00455EBA"/>
    <w:rsid w:val="00456091"/>
    <w:rsid w:val="0045610B"/>
    <w:rsid w:val="00456290"/>
    <w:rsid w:val="004565EC"/>
    <w:rsid w:val="004575C7"/>
    <w:rsid w:val="00457985"/>
    <w:rsid w:val="00457AE8"/>
    <w:rsid w:val="004602EF"/>
    <w:rsid w:val="0046044A"/>
    <w:rsid w:val="004607D2"/>
    <w:rsid w:val="00460971"/>
    <w:rsid w:val="00460C80"/>
    <w:rsid w:val="00460D02"/>
    <w:rsid w:val="00460F89"/>
    <w:rsid w:val="004614F3"/>
    <w:rsid w:val="0046194F"/>
    <w:rsid w:val="00461D49"/>
    <w:rsid w:val="0046233F"/>
    <w:rsid w:val="00462467"/>
    <w:rsid w:val="004627AA"/>
    <w:rsid w:val="0046283F"/>
    <w:rsid w:val="00462A41"/>
    <w:rsid w:val="00464649"/>
    <w:rsid w:val="00464AED"/>
    <w:rsid w:val="00464D73"/>
    <w:rsid w:val="004659B1"/>
    <w:rsid w:val="00465A94"/>
    <w:rsid w:val="00465E2D"/>
    <w:rsid w:val="00466321"/>
    <w:rsid w:val="00466C52"/>
    <w:rsid w:val="00466C90"/>
    <w:rsid w:val="00466FDC"/>
    <w:rsid w:val="004673FD"/>
    <w:rsid w:val="00467C87"/>
    <w:rsid w:val="00467E4C"/>
    <w:rsid w:val="004702AD"/>
    <w:rsid w:val="0047074E"/>
    <w:rsid w:val="004708A3"/>
    <w:rsid w:val="00470B59"/>
    <w:rsid w:val="00470B73"/>
    <w:rsid w:val="00470E2D"/>
    <w:rsid w:val="00471574"/>
    <w:rsid w:val="00471656"/>
    <w:rsid w:val="0047217B"/>
    <w:rsid w:val="004721C2"/>
    <w:rsid w:val="004721FD"/>
    <w:rsid w:val="004722D0"/>
    <w:rsid w:val="00472F69"/>
    <w:rsid w:val="00473012"/>
    <w:rsid w:val="0047342F"/>
    <w:rsid w:val="004735E3"/>
    <w:rsid w:val="0047363F"/>
    <w:rsid w:val="00474006"/>
    <w:rsid w:val="0047402E"/>
    <w:rsid w:val="004740D3"/>
    <w:rsid w:val="004741C6"/>
    <w:rsid w:val="0047435D"/>
    <w:rsid w:val="0047437E"/>
    <w:rsid w:val="004744C8"/>
    <w:rsid w:val="00474530"/>
    <w:rsid w:val="004746BE"/>
    <w:rsid w:val="00474B27"/>
    <w:rsid w:val="00475273"/>
    <w:rsid w:val="00475291"/>
    <w:rsid w:val="00475369"/>
    <w:rsid w:val="00475AF2"/>
    <w:rsid w:val="00475FA7"/>
    <w:rsid w:val="0047604C"/>
    <w:rsid w:val="0047633A"/>
    <w:rsid w:val="00476C6D"/>
    <w:rsid w:val="00477C27"/>
    <w:rsid w:val="0048048D"/>
    <w:rsid w:val="00480764"/>
    <w:rsid w:val="00481117"/>
    <w:rsid w:val="004813EA"/>
    <w:rsid w:val="004814A8"/>
    <w:rsid w:val="00481539"/>
    <w:rsid w:val="00481666"/>
    <w:rsid w:val="0048168F"/>
    <w:rsid w:val="00481B4A"/>
    <w:rsid w:val="00482343"/>
    <w:rsid w:val="00482581"/>
    <w:rsid w:val="004827A2"/>
    <w:rsid w:val="00482A63"/>
    <w:rsid w:val="00482A89"/>
    <w:rsid w:val="00482AE4"/>
    <w:rsid w:val="0048369D"/>
    <w:rsid w:val="00484466"/>
    <w:rsid w:val="004848ED"/>
    <w:rsid w:val="00484B9B"/>
    <w:rsid w:val="00484DE1"/>
    <w:rsid w:val="00484FA7"/>
    <w:rsid w:val="004854CD"/>
    <w:rsid w:val="004855F6"/>
    <w:rsid w:val="00485951"/>
    <w:rsid w:val="00485A39"/>
    <w:rsid w:val="0048620D"/>
    <w:rsid w:val="00486295"/>
    <w:rsid w:val="004865C8"/>
    <w:rsid w:val="00486600"/>
    <w:rsid w:val="0048661E"/>
    <w:rsid w:val="0048670D"/>
    <w:rsid w:val="00486881"/>
    <w:rsid w:val="004869DB"/>
    <w:rsid w:val="004869F7"/>
    <w:rsid w:val="00486BBA"/>
    <w:rsid w:val="00486DC3"/>
    <w:rsid w:val="00486F0C"/>
    <w:rsid w:val="004871DC"/>
    <w:rsid w:val="00487387"/>
    <w:rsid w:val="0048783C"/>
    <w:rsid w:val="00487AFE"/>
    <w:rsid w:val="00487C7D"/>
    <w:rsid w:val="00487D1F"/>
    <w:rsid w:val="00487F27"/>
    <w:rsid w:val="00490276"/>
    <w:rsid w:val="00490913"/>
    <w:rsid w:val="00490C05"/>
    <w:rsid w:val="00491134"/>
    <w:rsid w:val="00491214"/>
    <w:rsid w:val="00491D97"/>
    <w:rsid w:val="00492034"/>
    <w:rsid w:val="004925B9"/>
    <w:rsid w:val="004926C4"/>
    <w:rsid w:val="0049283D"/>
    <w:rsid w:val="00492A9F"/>
    <w:rsid w:val="00492ADC"/>
    <w:rsid w:val="00492D8B"/>
    <w:rsid w:val="00492F9E"/>
    <w:rsid w:val="0049309E"/>
    <w:rsid w:val="00493385"/>
    <w:rsid w:val="00494293"/>
    <w:rsid w:val="00494532"/>
    <w:rsid w:val="00494659"/>
    <w:rsid w:val="00494670"/>
    <w:rsid w:val="00494865"/>
    <w:rsid w:val="004957DA"/>
    <w:rsid w:val="00495B3F"/>
    <w:rsid w:val="00496219"/>
    <w:rsid w:val="00496268"/>
    <w:rsid w:val="0049647F"/>
    <w:rsid w:val="004965F7"/>
    <w:rsid w:val="00496A98"/>
    <w:rsid w:val="00496AD6"/>
    <w:rsid w:val="00496E3C"/>
    <w:rsid w:val="00496F22"/>
    <w:rsid w:val="00496FB7"/>
    <w:rsid w:val="0049702E"/>
    <w:rsid w:val="00497063"/>
    <w:rsid w:val="004972AD"/>
    <w:rsid w:val="00497319"/>
    <w:rsid w:val="0049790E"/>
    <w:rsid w:val="00497C71"/>
    <w:rsid w:val="00497DC7"/>
    <w:rsid w:val="00497F68"/>
    <w:rsid w:val="004A0208"/>
    <w:rsid w:val="004A03EA"/>
    <w:rsid w:val="004A04EE"/>
    <w:rsid w:val="004A0872"/>
    <w:rsid w:val="004A0ACA"/>
    <w:rsid w:val="004A1027"/>
    <w:rsid w:val="004A1065"/>
    <w:rsid w:val="004A12EA"/>
    <w:rsid w:val="004A218F"/>
    <w:rsid w:val="004A2350"/>
    <w:rsid w:val="004A267D"/>
    <w:rsid w:val="004A2DFF"/>
    <w:rsid w:val="004A30B2"/>
    <w:rsid w:val="004A33F1"/>
    <w:rsid w:val="004A35A1"/>
    <w:rsid w:val="004A36AA"/>
    <w:rsid w:val="004A3823"/>
    <w:rsid w:val="004A39B2"/>
    <w:rsid w:val="004A3AAA"/>
    <w:rsid w:val="004A437C"/>
    <w:rsid w:val="004A48C4"/>
    <w:rsid w:val="004A4C06"/>
    <w:rsid w:val="004A501D"/>
    <w:rsid w:val="004A53E8"/>
    <w:rsid w:val="004A5819"/>
    <w:rsid w:val="004A59DE"/>
    <w:rsid w:val="004A5B6B"/>
    <w:rsid w:val="004A6596"/>
    <w:rsid w:val="004A6C98"/>
    <w:rsid w:val="004A70DE"/>
    <w:rsid w:val="004A76E4"/>
    <w:rsid w:val="004A7EC8"/>
    <w:rsid w:val="004A7F34"/>
    <w:rsid w:val="004B02E1"/>
    <w:rsid w:val="004B0B25"/>
    <w:rsid w:val="004B0EBE"/>
    <w:rsid w:val="004B12E6"/>
    <w:rsid w:val="004B19E7"/>
    <w:rsid w:val="004B1A71"/>
    <w:rsid w:val="004B1B44"/>
    <w:rsid w:val="004B1E8C"/>
    <w:rsid w:val="004B1F36"/>
    <w:rsid w:val="004B2484"/>
    <w:rsid w:val="004B2603"/>
    <w:rsid w:val="004B28E9"/>
    <w:rsid w:val="004B2F5A"/>
    <w:rsid w:val="004B30D9"/>
    <w:rsid w:val="004B3771"/>
    <w:rsid w:val="004B39B4"/>
    <w:rsid w:val="004B4066"/>
    <w:rsid w:val="004B4307"/>
    <w:rsid w:val="004B4F94"/>
    <w:rsid w:val="004B50F4"/>
    <w:rsid w:val="004B5618"/>
    <w:rsid w:val="004B5671"/>
    <w:rsid w:val="004B591E"/>
    <w:rsid w:val="004B5A19"/>
    <w:rsid w:val="004B6089"/>
    <w:rsid w:val="004B62C9"/>
    <w:rsid w:val="004B68EB"/>
    <w:rsid w:val="004B6F31"/>
    <w:rsid w:val="004B747A"/>
    <w:rsid w:val="004B797E"/>
    <w:rsid w:val="004B79B6"/>
    <w:rsid w:val="004B7E89"/>
    <w:rsid w:val="004B7F14"/>
    <w:rsid w:val="004C06DA"/>
    <w:rsid w:val="004C07DE"/>
    <w:rsid w:val="004C0B6A"/>
    <w:rsid w:val="004C0E53"/>
    <w:rsid w:val="004C0EB2"/>
    <w:rsid w:val="004C1100"/>
    <w:rsid w:val="004C194D"/>
    <w:rsid w:val="004C1CED"/>
    <w:rsid w:val="004C1F23"/>
    <w:rsid w:val="004C1F57"/>
    <w:rsid w:val="004C2F3B"/>
    <w:rsid w:val="004C3330"/>
    <w:rsid w:val="004C5368"/>
    <w:rsid w:val="004C5526"/>
    <w:rsid w:val="004C5C0E"/>
    <w:rsid w:val="004C5E9B"/>
    <w:rsid w:val="004C5F70"/>
    <w:rsid w:val="004C63E2"/>
    <w:rsid w:val="004C67CA"/>
    <w:rsid w:val="004C6A0E"/>
    <w:rsid w:val="004C6E56"/>
    <w:rsid w:val="004C7512"/>
    <w:rsid w:val="004C76E5"/>
    <w:rsid w:val="004C7749"/>
    <w:rsid w:val="004C7A27"/>
    <w:rsid w:val="004C7A5E"/>
    <w:rsid w:val="004C7DDF"/>
    <w:rsid w:val="004D00B1"/>
    <w:rsid w:val="004D035F"/>
    <w:rsid w:val="004D03C2"/>
    <w:rsid w:val="004D083B"/>
    <w:rsid w:val="004D109A"/>
    <w:rsid w:val="004D15C0"/>
    <w:rsid w:val="004D1D21"/>
    <w:rsid w:val="004D2410"/>
    <w:rsid w:val="004D2748"/>
    <w:rsid w:val="004D29D0"/>
    <w:rsid w:val="004D2AA6"/>
    <w:rsid w:val="004D2B0C"/>
    <w:rsid w:val="004D30EE"/>
    <w:rsid w:val="004D32A4"/>
    <w:rsid w:val="004D346E"/>
    <w:rsid w:val="004D350B"/>
    <w:rsid w:val="004D395B"/>
    <w:rsid w:val="004D3F80"/>
    <w:rsid w:val="004D4031"/>
    <w:rsid w:val="004D40C7"/>
    <w:rsid w:val="004D455E"/>
    <w:rsid w:val="004D4D38"/>
    <w:rsid w:val="004D4D6F"/>
    <w:rsid w:val="004D527A"/>
    <w:rsid w:val="004D52C4"/>
    <w:rsid w:val="004D53F7"/>
    <w:rsid w:val="004D58B3"/>
    <w:rsid w:val="004D5DAC"/>
    <w:rsid w:val="004D643D"/>
    <w:rsid w:val="004D68E8"/>
    <w:rsid w:val="004D69B5"/>
    <w:rsid w:val="004D6BBE"/>
    <w:rsid w:val="004D6C24"/>
    <w:rsid w:val="004D71AB"/>
    <w:rsid w:val="004D746E"/>
    <w:rsid w:val="004D791B"/>
    <w:rsid w:val="004D7AF1"/>
    <w:rsid w:val="004D7CCC"/>
    <w:rsid w:val="004E02BE"/>
    <w:rsid w:val="004E09F6"/>
    <w:rsid w:val="004E09FB"/>
    <w:rsid w:val="004E0BC6"/>
    <w:rsid w:val="004E10BB"/>
    <w:rsid w:val="004E1181"/>
    <w:rsid w:val="004E1A26"/>
    <w:rsid w:val="004E1D5C"/>
    <w:rsid w:val="004E216E"/>
    <w:rsid w:val="004E2295"/>
    <w:rsid w:val="004E2635"/>
    <w:rsid w:val="004E29AD"/>
    <w:rsid w:val="004E2EEA"/>
    <w:rsid w:val="004E3146"/>
    <w:rsid w:val="004E3639"/>
    <w:rsid w:val="004E3B3C"/>
    <w:rsid w:val="004E3E5B"/>
    <w:rsid w:val="004E413D"/>
    <w:rsid w:val="004E41CB"/>
    <w:rsid w:val="004E4C54"/>
    <w:rsid w:val="004E551B"/>
    <w:rsid w:val="004E5549"/>
    <w:rsid w:val="004E6946"/>
    <w:rsid w:val="004E7899"/>
    <w:rsid w:val="004E7C37"/>
    <w:rsid w:val="004E7DF9"/>
    <w:rsid w:val="004F0251"/>
    <w:rsid w:val="004F0996"/>
    <w:rsid w:val="004F09BD"/>
    <w:rsid w:val="004F0C39"/>
    <w:rsid w:val="004F10F1"/>
    <w:rsid w:val="004F1375"/>
    <w:rsid w:val="004F1AD8"/>
    <w:rsid w:val="004F1DF6"/>
    <w:rsid w:val="004F1EC2"/>
    <w:rsid w:val="004F24E3"/>
    <w:rsid w:val="004F2553"/>
    <w:rsid w:val="004F291C"/>
    <w:rsid w:val="004F2948"/>
    <w:rsid w:val="004F2B1A"/>
    <w:rsid w:val="004F30EE"/>
    <w:rsid w:val="004F30F9"/>
    <w:rsid w:val="004F315A"/>
    <w:rsid w:val="004F3228"/>
    <w:rsid w:val="004F38AD"/>
    <w:rsid w:val="004F3AB5"/>
    <w:rsid w:val="004F4320"/>
    <w:rsid w:val="004F43B0"/>
    <w:rsid w:val="004F483E"/>
    <w:rsid w:val="004F4EC3"/>
    <w:rsid w:val="004F4F74"/>
    <w:rsid w:val="004F51AC"/>
    <w:rsid w:val="004F5914"/>
    <w:rsid w:val="004F59A5"/>
    <w:rsid w:val="004F5ADC"/>
    <w:rsid w:val="004F5C07"/>
    <w:rsid w:val="004F5C4D"/>
    <w:rsid w:val="004F5D58"/>
    <w:rsid w:val="004F6005"/>
    <w:rsid w:val="004F6447"/>
    <w:rsid w:val="004F6727"/>
    <w:rsid w:val="004F703E"/>
    <w:rsid w:val="004F72D3"/>
    <w:rsid w:val="004F7330"/>
    <w:rsid w:val="004F7701"/>
    <w:rsid w:val="00500211"/>
    <w:rsid w:val="00500357"/>
    <w:rsid w:val="0050045F"/>
    <w:rsid w:val="00500B5C"/>
    <w:rsid w:val="00500E23"/>
    <w:rsid w:val="00500E2D"/>
    <w:rsid w:val="00500EAD"/>
    <w:rsid w:val="00500FFC"/>
    <w:rsid w:val="00501682"/>
    <w:rsid w:val="00502392"/>
    <w:rsid w:val="0050265F"/>
    <w:rsid w:val="00502B7D"/>
    <w:rsid w:val="00503265"/>
    <w:rsid w:val="0050336F"/>
    <w:rsid w:val="005033FF"/>
    <w:rsid w:val="00503593"/>
    <w:rsid w:val="005038EC"/>
    <w:rsid w:val="005039CB"/>
    <w:rsid w:val="00504248"/>
    <w:rsid w:val="005042EF"/>
    <w:rsid w:val="00504825"/>
    <w:rsid w:val="005049D7"/>
    <w:rsid w:val="00505001"/>
    <w:rsid w:val="005051DD"/>
    <w:rsid w:val="005052FA"/>
    <w:rsid w:val="00505316"/>
    <w:rsid w:val="005053F0"/>
    <w:rsid w:val="0050542B"/>
    <w:rsid w:val="0050558F"/>
    <w:rsid w:val="00505636"/>
    <w:rsid w:val="005056B0"/>
    <w:rsid w:val="005061B8"/>
    <w:rsid w:val="00506286"/>
    <w:rsid w:val="005066F3"/>
    <w:rsid w:val="005069E1"/>
    <w:rsid w:val="005072CC"/>
    <w:rsid w:val="005073D5"/>
    <w:rsid w:val="00507D13"/>
    <w:rsid w:val="00507EA6"/>
    <w:rsid w:val="00510333"/>
    <w:rsid w:val="00510503"/>
    <w:rsid w:val="005106ED"/>
    <w:rsid w:val="00510813"/>
    <w:rsid w:val="00511990"/>
    <w:rsid w:val="00511B10"/>
    <w:rsid w:val="00511DE0"/>
    <w:rsid w:val="00511DE1"/>
    <w:rsid w:val="005121FB"/>
    <w:rsid w:val="00512382"/>
    <w:rsid w:val="005125A4"/>
    <w:rsid w:val="005125BF"/>
    <w:rsid w:val="0051320E"/>
    <w:rsid w:val="00513248"/>
    <w:rsid w:val="005137C9"/>
    <w:rsid w:val="00513931"/>
    <w:rsid w:val="00514176"/>
    <w:rsid w:val="005143E3"/>
    <w:rsid w:val="00514455"/>
    <w:rsid w:val="00514870"/>
    <w:rsid w:val="00514986"/>
    <w:rsid w:val="00514B9B"/>
    <w:rsid w:val="00514C29"/>
    <w:rsid w:val="0051512C"/>
    <w:rsid w:val="005154A0"/>
    <w:rsid w:val="00515575"/>
    <w:rsid w:val="005161C5"/>
    <w:rsid w:val="005167FE"/>
    <w:rsid w:val="005168B7"/>
    <w:rsid w:val="00516A9E"/>
    <w:rsid w:val="00517628"/>
    <w:rsid w:val="005178F0"/>
    <w:rsid w:val="005178F3"/>
    <w:rsid w:val="00517F02"/>
    <w:rsid w:val="0052046D"/>
    <w:rsid w:val="005204F5"/>
    <w:rsid w:val="00520637"/>
    <w:rsid w:val="00520B85"/>
    <w:rsid w:val="005213B1"/>
    <w:rsid w:val="005218DC"/>
    <w:rsid w:val="00521AB6"/>
    <w:rsid w:val="00521CA1"/>
    <w:rsid w:val="0052211E"/>
    <w:rsid w:val="005223AC"/>
    <w:rsid w:val="0052244D"/>
    <w:rsid w:val="0052300A"/>
    <w:rsid w:val="00523029"/>
    <w:rsid w:val="005233B0"/>
    <w:rsid w:val="0052356B"/>
    <w:rsid w:val="005236BE"/>
    <w:rsid w:val="005237D3"/>
    <w:rsid w:val="005237E1"/>
    <w:rsid w:val="00524151"/>
    <w:rsid w:val="0052423D"/>
    <w:rsid w:val="00524303"/>
    <w:rsid w:val="00524384"/>
    <w:rsid w:val="005244A8"/>
    <w:rsid w:val="005249EC"/>
    <w:rsid w:val="005255B5"/>
    <w:rsid w:val="00525692"/>
    <w:rsid w:val="005258A2"/>
    <w:rsid w:val="0052592A"/>
    <w:rsid w:val="00525BF3"/>
    <w:rsid w:val="0052606F"/>
    <w:rsid w:val="0052636F"/>
    <w:rsid w:val="00526709"/>
    <w:rsid w:val="005269E2"/>
    <w:rsid w:val="00526A12"/>
    <w:rsid w:val="00526DC8"/>
    <w:rsid w:val="00526F70"/>
    <w:rsid w:val="00527025"/>
    <w:rsid w:val="00527212"/>
    <w:rsid w:val="00527698"/>
    <w:rsid w:val="00527A2A"/>
    <w:rsid w:val="00527ED5"/>
    <w:rsid w:val="0053039B"/>
    <w:rsid w:val="00530557"/>
    <w:rsid w:val="0053080B"/>
    <w:rsid w:val="00530D72"/>
    <w:rsid w:val="005312F1"/>
    <w:rsid w:val="005312F6"/>
    <w:rsid w:val="005314F8"/>
    <w:rsid w:val="0053198D"/>
    <w:rsid w:val="005328F5"/>
    <w:rsid w:val="00532BAF"/>
    <w:rsid w:val="00533C3A"/>
    <w:rsid w:val="00533F3D"/>
    <w:rsid w:val="00533FBD"/>
    <w:rsid w:val="005341F3"/>
    <w:rsid w:val="0053438E"/>
    <w:rsid w:val="005343D8"/>
    <w:rsid w:val="0053491B"/>
    <w:rsid w:val="00534C5B"/>
    <w:rsid w:val="005354C7"/>
    <w:rsid w:val="0053558D"/>
    <w:rsid w:val="005355AD"/>
    <w:rsid w:val="00535E25"/>
    <w:rsid w:val="00535F08"/>
    <w:rsid w:val="00536032"/>
    <w:rsid w:val="005360A8"/>
    <w:rsid w:val="00536129"/>
    <w:rsid w:val="00536632"/>
    <w:rsid w:val="00536836"/>
    <w:rsid w:val="00536B85"/>
    <w:rsid w:val="00536F7E"/>
    <w:rsid w:val="00537692"/>
    <w:rsid w:val="00537D46"/>
    <w:rsid w:val="005401AE"/>
    <w:rsid w:val="0054034D"/>
    <w:rsid w:val="0054039D"/>
    <w:rsid w:val="0054095C"/>
    <w:rsid w:val="005410C3"/>
    <w:rsid w:val="0054168B"/>
    <w:rsid w:val="00541FD1"/>
    <w:rsid w:val="00542022"/>
    <w:rsid w:val="00542996"/>
    <w:rsid w:val="00542E07"/>
    <w:rsid w:val="00543147"/>
    <w:rsid w:val="005431CD"/>
    <w:rsid w:val="0054346B"/>
    <w:rsid w:val="005435D3"/>
    <w:rsid w:val="005439DC"/>
    <w:rsid w:val="005439FE"/>
    <w:rsid w:val="00543DEE"/>
    <w:rsid w:val="00543EE7"/>
    <w:rsid w:val="00543F87"/>
    <w:rsid w:val="00544278"/>
    <w:rsid w:val="005442B9"/>
    <w:rsid w:val="005443C7"/>
    <w:rsid w:val="0054481D"/>
    <w:rsid w:val="0054507B"/>
    <w:rsid w:val="00545424"/>
    <w:rsid w:val="00545513"/>
    <w:rsid w:val="00545ECE"/>
    <w:rsid w:val="005465C9"/>
    <w:rsid w:val="005467F1"/>
    <w:rsid w:val="0054693C"/>
    <w:rsid w:val="005470EF"/>
    <w:rsid w:val="005475DB"/>
    <w:rsid w:val="005475F9"/>
    <w:rsid w:val="005476C3"/>
    <w:rsid w:val="00547B69"/>
    <w:rsid w:val="00547D87"/>
    <w:rsid w:val="00547E58"/>
    <w:rsid w:val="0055078F"/>
    <w:rsid w:val="005508FA"/>
    <w:rsid w:val="00550BC5"/>
    <w:rsid w:val="00550EA5"/>
    <w:rsid w:val="00550EBA"/>
    <w:rsid w:val="00551383"/>
    <w:rsid w:val="005516C6"/>
    <w:rsid w:val="00551A11"/>
    <w:rsid w:val="005520CE"/>
    <w:rsid w:val="005521ED"/>
    <w:rsid w:val="005523A6"/>
    <w:rsid w:val="00552915"/>
    <w:rsid w:val="005535AF"/>
    <w:rsid w:val="00553860"/>
    <w:rsid w:val="00553C53"/>
    <w:rsid w:val="00553D87"/>
    <w:rsid w:val="00553DD6"/>
    <w:rsid w:val="00553F58"/>
    <w:rsid w:val="0055408C"/>
    <w:rsid w:val="00554214"/>
    <w:rsid w:val="00554A7B"/>
    <w:rsid w:val="00554A92"/>
    <w:rsid w:val="00554B2B"/>
    <w:rsid w:val="00554DC1"/>
    <w:rsid w:val="00555165"/>
    <w:rsid w:val="00555562"/>
    <w:rsid w:val="0055572C"/>
    <w:rsid w:val="00555A26"/>
    <w:rsid w:val="00555BD8"/>
    <w:rsid w:val="00555C1B"/>
    <w:rsid w:val="00555F05"/>
    <w:rsid w:val="00556F78"/>
    <w:rsid w:val="00557009"/>
    <w:rsid w:val="005570DA"/>
    <w:rsid w:val="00557807"/>
    <w:rsid w:val="005579EF"/>
    <w:rsid w:val="00557ED5"/>
    <w:rsid w:val="00560497"/>
    <w:rsid w:val="005605D7"/>
    <w:rsid w:val="0056068B"/>
    <w:rsid w:val="005608ED"/>
    <w:rsid w:val="00560964"/>
    <w:rsid w:val="00560C2B"/>
    <w:rsid w:val="0056106A"/>
    <w:rsid w:val="005615CC"/>
    <w:rsid w:val="00561F2A"/>
    <w:rsid w:val="0056207F"/>
    <w:rsid w:val="00562448"/>
    <w:rsid w:val="00562580"/>
    <w:rsid w:val="00562964"/>
    <w:rsid w:val="00562D14"/>
    <w:rsid w:val="00562D28"/>
    <w:rsid w:val="005637DC"/>
    <w:rsid w:val="00563B29"/>
    <w:rsid w:val="00563C39"/>
    <w:rsid w:val="00563F9B"/>
    <w:rsid w:val="0056418A"/>
    <w:rsid w:val="005641D6"/>
    <w:rsid w:val="0056425E"/>
    <w:rsid w:val="00564424"/>
    <w:rsid w:val="005645CD"/>
    <w:rsid w:val="005646DE"/>
    <w:rsid w:val="00564B59"/>
    <w:rsid w:val="00564DAE"/>
    <w:rsid w:val="00565769"/>
    <w:rsid w:val="00565D5C"/>
    <w:rsid w:val="005661CA"/>
    <w:rsid w:val="00566287"/>
    <w:rsid w:val="00566610"/>
    <w:rsid w:val="005667D3"/>
    <w:rsid w:val="00566934"/>
    <w:rsid w:val="00567176"/>
    <w:rsid w:val="005675A7"/>
    <w:rsid w:val="0056780A"/>
    <w:rsid w:val="00567F9F"/>
    <w:rsid w:val="005702FF"/>
    <w:rsid w:val="00570B28"/>
    <w:rsid w:val="00570C32"/>
    <w:rsid w:val="005710FF"/>
    <w:rsid w:val="00571225"/>
    <w:rsid w:val="00571894"/>
    <w:rsid w:val="00571F80"/>
    <w:rsid w:val="00571FCD"/>
    <w:rsid w:val="0057208B"/>
    <w:rsid w:val="005720AE"/>
    <w:rsid w:val="005725CB"/>
    <w:rsid w:val="00572BB2"/>
    <w:rsid w:val="00572D3D"/>
    <w:rsid w:val="00572F53"/>
    <w:rsid w:val="00573A4A"/>
    <w:rsid w:val="00573A7D"/>
    <w:rsid w:val="00573C92"/>
    <w:rsid w:val="005741F0"/>
    <w:rsid w:val="00574574"/>
    <w:rsid w:val="0057493C"/>
    <w:rsid w:val="0057539B"/>
    <w:rsid w:val="0057591E"/>
    <w:rsid w:val="00575972"/>
    <w:rsid w:val="00575BF4"/>
    <w:rsid w:val="00575C56"/>
    <w:rsid w:val="00575E07"/>
    <w:rsid w:val="00575E1B"/>
    <w:rsid w:val="005763F0"/>
    <w:rsid w:val="005765AE"/>
    <w:rsid w:val="00576D59"/>
    <w:rsid w:val="00576E89"/>
    <w:rsid w:val="00576EEB"/>
    <w:rsid w:val="005779D0"/>
    <w:rsid w:val="00577CDA"/>
    <w:rsid w:val="00580308"/>
    <w:rsid w:val="00580433"/>
    <w:rsid w:val="00580DBA"/>
    <w:rsid w:val="00581124"/>
    <w:rsid w:val="00581A05"/>
    <w:rsid w:val="00581D51"/>
    <w:rsid w:val="00581EA9"/>
    <w:rsid w:val="00582368"/>
    <w:rsid w:val="005823F1"/>
    <w:rsid w:val="00582833"/>
    <w:rsid w:val="00582BF2"/>
    <w:rsid w:val="00582E81"/>
    <w:rsid w:val="0058312C"/>
    <w:rsid w:val="005831C8"/>
    <w:rsid w:val="005832AC"/>
    <w:rsid w:val="0058357F"/>
    <w:rsid w:val="005836B9"/>
    <w:rsid w:val="00583AF1"/>
    <w:rsid w:val="00584BBB"/>
    <w:rsid w:val="005854AA"/>
    <w:rsid w:val="00585643"/>
    <w:rsid w:val="0058621D"/>
    <w:rsid w:val="0058709F"/>
    <w:rsid w:val="00587107"/>
    <w:rsid w:val="005873F1"/>
    <w:rsid w:val="00587885"/>
    <w:rsid w:val="005879A7"/>
    <w:rsid w:val="00587D43"/>
    <w:rsid w:val="005900F2"/>
    <w:rsid w:val="005901CF"/>
    <w:rsid w:val="005901DB"/>
    <w:rsid w:val="00590248"/>
    <w:rsid w:val="005908A0"/>
    <w:rsid w:val="00590C03"/>
    <w:rsid w:val="00590C2F"/>
    <w:rsid w:val="00590D7B"/>
    <w:rsid w:val="005914CE"/>
    <w:rsid w:val="00591787"/>
    <w:rsid w:val="005918EE"/>
    <w:rsid w:val="00591CC7"/>
    <w:rsid w:val="0059276B"/>
    <w:rsid w:val="00592797"/>
    <w:rsid w:val="00592B10"/>
    <w:rsid w:val="00593047"/>
    <w:rsid w:val="00593054"/>
    <w:rsid w:val="00593199"/>
    <w:rsid w:val="00593350"/>
    <w:rsid w:val="00593384"/>
    <w:rsid w:val="00593D57"/>
    <w:rsid w:val="00594040"/>
    <w:rsid w:val="00594AA7"/>
    <w:rsid w:val="00594B6D"/>
    <w:rsid w:val="00594D77"/>
    <w:rsid w:val="00594EC3"/>
    <w:rsid w:val="00594FC6"/>
    <w:rsid w:val="00595C46"/>
    <w:rsid w:val="00595C5F"/>
    <w:rsid w:val="00596234"/>
    <w:rsid w:val="005965D3"/>
    <w:rsid w:val="00596730"/>
    <w:rsid w:val="005967A2"/>
    <w:rsid w:val="005969E4"/>
    <w:rsid w:val="00596A33"/>
    <w:rsid w:val="00596DCD"/>
    <w:rsid w:val="00597593"/>
    <w:rsid w:val="005A04A7"/>
    <w:rsid w:val="005A06B7"/>
    <w:rsid w:val="005A0762"/>
    <w:rsid w:val="005A1759"/>
    <w:rsid w:val="005A19BF"/>
    <w:rsid w:val="005A1C58"/>
    <w:rsid w:val="005A1CF2"/>
    <w:rsid w:val="005A1D84"/>
    <w:rsid w:val="005A218C"/>
    <w:rsid w:val="005A2266"/>
    <w:rsid w:val="005A2A37"/>
    <w:rsid w:val="005A2CD1"/>
    <w:rsid w:val="005A2DD0"/>
    <w:rsid w:val="005A4003"/>
    <w:rsid w:val="005A42EA"/>
    <w:rsid w:val="005A4618"/>
    <w:rsid w:val="005A47E0"/>
    <w:rsid w:val="005A4994"/>
    <w:rsid w:val="005A49D2"/>
    <w:rsid w:val="005A49E6"/>
    <w:rsid w:val="005A4C4F"/>
    <w:rsid w:val="005A4E24"/>
    <w:rsid w:val="005A5036"/>
    <w:rsid w:val="005A5986"/>
    <w:rsid w:val="005A59CC"/>
    <w:rsid w:val="005A5DD3"/>
    <w:rsid w:val="005A600A"/>
    <w:rsid w:val="005A66A8"/>
    <w:rsid w:val="005A68A7"/>
    <w:rsid w:val="005A7414"/>
    <w:rsid w:val="005A77A3"/>
    <w:rsid w:val="005A7C43"/>
    <w:rsid w:val="005A7C7C"/>
    <w:rsid w:val="005A7D31"/>
    <w:rsid w:val="005A7D3D"/>
    <w:rsid w:val="005B024A"/>
    <w:rsid w:val="005B03CD"/>
    <w:rsid w:val="005B0A8A"/>
    <w:rsid w:val="005B0D3A"/>
    <w:rsid w:val="005B0D9D"/>
    <w:rsid w:val="005B111D"/>
    <w:rsid w:val="005B113F"/>
    <w:rsid w:val="005B16B9"/>
    <w:rsid w:val="005B1FF6"/>
    <w:rsid w:val="005B21D9"/>
    <w:rsid w:val="005B226A"/>
    <w:rsid w:val="005B255D"/>
    <w:rsid w:val="005B25E9"/>
    <w:rsid w:val="005B2679"/>
    <w:rsid w:val="005B2844"/>
    <w:rsid w:val="005B2974"/>
    <w:rsid w:val="005B2C82"/>
    <w:rsid w:val="005B2D5D"/>
    <w:rsid w:val="005B2F24"/>
    <w:rsid w:val="005B3553"/>
    <w:rsid w:val="005B3557"/>
    <w:rsid w:val="005B3755"/>
    <w:rsid w:val="005B3B09"/>
    <w:rsid w:val="005B3EA2"/>
    <w:rsid w:val="005B44A1"/>
    <w:rsid w:val="005B46B0"/>
    <w:rsid w:val="005B46C2"/>
    <w:rsid w:val="005B4756"/>
    <w:rsid w:val="005B4C80"/>
    <w:rsid w:val="005B4EBA"/>
    <w:rsid w:val="005B5236"/>
    <w:rsid w:val="005B537D"/>
    <w:rsid w:val="005B5482"/>
    <w:rsid w:val="005B5B88"/>
    <w:rsid w:val="005B5BCC"/>
    <w:rsid w:val="005B6EC7"/>
    <w:rsid w:val="005B756B"/>
    <w:rsid w:val="005B7910"/>
    <w:rsid w:val="005B7AD1"/>
    <w:rsid w:val="005C0341"/>
    <w:rsid w:val="005C04D3"/>
    <w:rsid w:val="005C0528"/>
    <w:rsid w:val="005C0808"/>
    <w:rsid w:val="005C0B5E"/>
    <w:rsid w:val="005C0FE4"/>
    <w:rsid w:val="005C1688"/>
    <w:rsid w:val="005C1713"/>
    <w:rsid w:val="005C1A39"/>
    <w:rsid w:val="005C20DC"/>
    <w:rsid w:val="005C2295"/>
    <w:rsid w:val="005C23B7"/>
    <w:rsid w:val="005C28C5"/>
    <w:rsid w:val="005C2934"/>
    <w:rsid w:val="005C2A66"/>
    <w:rsid w:val="005C2D33"/>
    <w:rsid w:val="005C2EE3"/>
    <w:rsid w:val="005C331A"/>
    <w:rsid w:val="005C36C2"/>
    <w:rsid w:val="005C385D"/>
    <w:rsid w:val="005C38CD"/>
    <w:rsid w:val="005C3A73"/>
    <w:rsid w:val="005C3EC4"/>
    <w:rsid w:val="005C48F2"/>
    <w:rsid w:val="005C4989"/>
    <w:rsid w:val="005C49E6"/>
    <w:rsid w:val="005C4B73"/>
    <w:rsid w:val="005C5082"/>
    <w:rsid w:val="005C5186"/>
    <w:rsid w:val="005C54E4"/>
    <w:rsid w:val="005C5ABA"/>
    <w:rsid w:val="005C625C"/>
    <w:rsid w:val="005C6309"/>
    <w:rsid w:val="005C651D"/>
    <w:rsid w:val="005C66B5"/>
    <w:rsid w:val="005C66DD"/>
    <w:rsid w:val="005C6996"/>
    <w:rsid w:val="005C6F0B"/>
    <w:rsid w:val="005C71AA"/>
    <w:rsid w:val="005C7757"/>
    <w:rsid w:val="005C7B1F"/>
    <w:rsid w:val="005D041C"/>
    <w:rsid w:val="005D042A"/>
    <w:rsid w:val="005D072C"/>
    <w:rsid w:val="005D07F6"/>
    <w:rsid w:val="005D0A54"/>
    <w:rsid w:val="005D0FC9"/>
    <w:rsid w:val="005D12E5"/>
    <w:rsid w:val="005D1ED5"/>
    <w:rsid w:val="005D20C9"/>
    <w:rsid w:val="005D21D9"/>
    <w:rsid w:val="005D2246"/>
    <w:rsid w:val="005D26E0"/>
    <w:rsid w:val="005D27A2"/>
    <w:rsid w:val="005D2BC1"/>
    <w:rsid w:val="005D36AB"/>
    <w:rsid w:val="005D3EA2"/>
    <w:rsid w:val="005D43C2"/>
    <w:rsid w:val="005D45BB"/>
    <w:rsid w:val="005D47AD"/>
    <w:rsid w:val="005D49E3"/>
    <w:rsid w:val="005D51F8"/>
    <w:rsid w:val="005D54EC"/>
    <w:rsid w:val="005D5553"/>
    <w:rsid w:val="005D58BD"/>
    <w:rsid w:val="005D5C4B"/>
    <w:rsid w:val="005D5E1B"/>
    <w:rsid w:val="005D601F"/>
    <w:rsid w:val="005D6246"/>
    <w:rsid w:val="005D6643"/>
    <w:rsid w:val="005D6679"/>
    <w:rsid w:val="005D67A8"/>
    <w:rsid w:val="005D6866"/>
    <w:rsid w:val="005D6BB5"/>
    <w:rsid w:val="005D6EEE"/>
    <w:rsid w:val="005D73A1"/>
    <w:rsid w:val="005D740D"/>
    <w:rsid w:val="005D772C"/>
    <w:rsid w:val="005D79A8"/>
    <w:rsid w:val="005E0003"/>
    <w:rsid w:val="005E04A8"/>
    <w:rsid w:val="005E0840"/>
    <w:rsid w:val="005E0DD9"/>
    <w:rsid w:val="005E0F13"/>
    <w:rsid w:val="005E0F67"/>
    <w:rsid w:val="005E13B4"/>
    <w:rsid w:val="005E1C3D"/>
    <w:rsid w:val="005E1D7F"/>
    <w:rsid w:val="005E2170"/>
    <w:rsid w:val="005E230C"/>
    <w:rsid w:val="005E2858"/>
    <w:rsid w:val="005E28FF"/>
    <w:rsid w:val="005E2E8C"/>
    <w:rsid w:val="005E3158"/>
    <w:rsid w:val="005E3D41"/>
    <w:rsid w:val="005E3D85"/>
    <w:rsid w:val="005E3DEC"/>
    <w:rsid w:val="005E3FDD"/>
    <w:rsid w:val="005E41C4"/>
    <w:rsid w:val="005E453D"/>
    <w:rsid w:val="005E4608"/>
    <w:rsid w:val="005E464F"/>
    <w:rsid w:val="005E4B7A"/>
    <w:rsid w:val="005E4C15"/>
    <w:rsid w:val="005E50A4"/>
    <w:rsid w:val="005E50EA"/>
    <w:rsid w:val="005E52C6"/>
    <w:rsid w:val="005E52F0"/>
    <w:rsid w:val="005E55A0"/>
    <w:rsid w:val="005E562E"/>
    <w:rsid w:val="005E5786"/>
    <w:rsid w:val="005E5DB9"/>
    <w:rsid w:val="005E5E9B"/>
    <w:rsid w:val="005E60B6"/>
    <w:rsid w:val="005E65FC"/>
    <w:rsid w:val="005E671E"/>
    <w:rsid w:val="005E717F"/>
    <w:rsid w:val="005E74CD"/>
    <w:rsid w:val="005E7CCF"/>
    <w:rsid w:val="005E7D6B"/>
    <w:rsid w:val="005E7F3C"/>
    <w:rsid w:val="005E7F6B"/>
    <w:rsid w:val="005F01C1"/>
    <w:rsid w:val="005F0551"/>
    <w:rsid w:val="005F065A"/>
    <w:rsid w:val="005F0AB2"/>
    <w:rsid w:val="005F1066"/>
    <w:rsid w:val="005F2331"/>
    <w:rsid w:val="005F2404"/>
    <w:rsid w:val="005F25B3"/>
    <w:rsid w:val="005F2BE2"/>
    <w:rsid w:val="005F31A7"/>
    <w:rsid w:val="005F3F40"/>
    <w:rsid w:val="005F45CE"/>
    <w:rsid w:val="005F4A69"/>
    <w:rsid w:val="005F50B2"/>
    <w:rsid w:val="005F510D"/>
    <w:rsid w:val="005F59B5"/>
    <w:rsid w:val="005F5A1F"/>
    <w:rsid w:val="005F5D03"/>
    <w:rsid w:val="005F603B"/>
    <w:rsid w:val="005F68A7"/>
    <w:rsid w:val="005F6EB9"/>
    <w:rsid w:val="005F716D"/>
    <w:rsid w:val="005F7669"/>
    <w:rsid w:val="005F777E"/>
    <w:rsid w:val="005F7D92"/>
    <w:rsid w:val="0060005F"/>
    <w:rsid w:val="006000C9"/>
    <w:rsid w:val="006001CD"/>
    <w:rsid w:val="00600260"/>
    <w:rsid w:val="00600AD9"/>
    <w:rsid w:val="00600AE1"/>
    <w:rsid w:val="00600B29"/>
    <w:rsid w:val="00600DCF"/>
    <w:rsid w:val="00601211"/>
    <w:rsid w:val="00601712"/>
    <w:rsid w:val="00601720"/>
    <w:rsid w:val="00601A89"/>
    <w:rsid w:val="00601B4B"/>
    <w:rsid w:val="00601B78"/>
    <w:rsid w:val="00601CCE"/>
    <w:rsid w:val="00601D3F"/>
    <w:rsid w:val="00602A7A"/>
    <w:rsid w:val="00602BBD"/>
    <w:rsid w:val="00602DD3"/>
    <w:rsid w:val="00602F1F"/>
    <w:rsid w:val="0060302F"/>
    <w:rsid w:val="00603B0A"/>
    <w:rsid w:val="00604177"/>
    <w:rsid w:val="00604B05"/>
    <w:rsid w:val="00604BB6"/>
    <w:rsid w:val="00605345"/>
    <w:rsid w:val="00605E19"/>
    <w:rsid w:val="006064E8"/>
    <w:rsid w:val="006065DB"/>
    <w:rsid w:val="00607372"/>
    <w:rsid w:val="00607755"/>
    <w:rsid w:val="0060780B"/>
    <w:rsid w:val="00607848"/>
    <w:rsid w:val="00607DCF"/>
    <w:rsid w:val="00607DD6"/>
    <w:rsid w:val="00607FA1"/>
    <w:rsid w:val="006100DA"/>
    <w:rsid w:val="00610610"/>
    <w:rsid w:val="006107E6"/>
    <w:rsid w:val="0061085F"/>
    <w:rsid w:val="00610BEC"/>
    <w:rsid w:val="00611803"/>
    <w:rsid w:val="006118C5"/>
    <w:rsid w:val="006119FC"/>
    <w:rsid w:val="00611D25"/>
    <w:rsid w:val="006123EE"/>
    <w:rsid w:val="00612516"/>
    <w:rsid w:val="00612578"/>
    <w:rsid w:val="00612B6E"/>
    <w:rsid w:val="00612BAE"/>
    <w:rsid w:val="006138A6"/>
    <w:rsid w:val="0061391D"/>
    <w:rsid w:val="006139F7"/>
    <w:rsid w:val="00613CD0"/>
    <w:rsid w:val="00614542"/>
    <w:rsid w:val="0061457F"/>
    <w:rsid w:val="00614755"/>
    <w:rsid w:val="00614831"/>
    <w:rsid w:val="00614A93"/>
    <w:rsid w:val="00614AA7"/>
    <w:rsid w:val="00615349"/>
    <w:rsid w:val="006154A5"/>
    <w:rsid w:val="0061599F"/>
    <w:rsid w:val="006159FE"/>
    <w:rsid w:val="00615AE7"/>
    <w:rsid w:val="00615D12"/>
    <w:rsid w:val="00615F93"/>
    <w:rsid w:val="006160DD"/>
    <w:rsid w:val="00616386"/>
    <w:rsid w:val="00616402"/>
    <w:rsid w:val="00616A2B"/>
    <w:rsid w:val="00616D17"/>
    <w:rsid w:val="006170C2"/>
    <w:rsid w:val="0061747B"/>
    <w:rsid w:val="006179A8"/>
    <w:rsid w:val="00617CC3"/>
    <w:rsid w:val="00617D25"/>
    <w:rsid w:val="00617E97"/>
    <w:rsid w:val="0062025A"/>
    <w:rsid w:val="00620580"/>
    <w:rsid w:val="00620970"/>
    <w:rsid w:val="00620D4E"/>
    <w:rsid w:val="00621047"/>
    <w:rsid w:val="00621200"/>
    <w:rsid w:val="0062122A"/>
    <w:rsid w:val="0062139F"/>
    <w:rsid w:val="006216E1"/>
    <w:rsid w:val="00621A18"/>
    <w:rsid w:val="00621BA9"/>
    <w:rsid w:val="00621F99"/>
    <w:rsid w:val="00621FBC"/>
    <w:rsid w:val="0062230E"/>
    <w:rsid w:val="006224B4"/>
    <w:rsid w:val="006224ED"/>
    <w:rsid w:val="00622683"/>
    <w:rsid w:val="00622D42"/>
    <w:rsid w:val="00622EA3"/>
    <w:rsid w:val="00622EE7"/>
    <w:rsid w:val="00623822"/>
    <w:rsid w:val="00623A66"/>
    <w:rsid w:val="0062409D"/>
    <w:rsid w:val="00624109"/>
    <w:rsid w:val="00624496"/>
    <w:rsid w:val="006244B1"/>
    <w:rsid w:val="00624660"/>
    <w:rsid w:val="0062496F"/>
    <w:rsid w:val="00624BE2"/>
    <w:rsid w:val="00624E0F"/>
    <w:rsid w:val="00625174"/>
    <w:rsid w:val="006251C8"/>
    <w:rsid w:val="0062539B"/>
    <w:rsid w:val="006253BE"/>
    <w:rsid w:val="006255D6"/>
    <w:rsid w:val="00625936"/>
    <w:rsid w:val="00626A10"/>
    <w:rsid w:val="00626A71"/>
    <w:rsid w:val="00626B95"/>
    <w:rsid w:val="00626D25"/>
    <w:rsid w:val="00627057"/>
    <w:rsid w:val="00627110"/>
    <w:rsid w:val="00627272"/>
    <w:rsid w:val="0062737F"/>
    <w:rsid w:val="00627807"/>
    <w:rsid w:val="00627844"/>
    <w:rsid w:val="00627987"/>
    <w:rsid w:val="00627B6E"/>
    <w:rsid w:val="00627D55"/>
    <w:rsid w:val="0063053A"/>
    <w:rsid w:val="006314F7"/>
    <w:rsid w:val="00631756"/>
    <w:rsid w:val="00631C29"/>
    <w:rsid w:val="006323D5"/>
    <w:rsid w:val="0063242B"/>
    <w:rsid w:val="00632B8F"/>
    <w:rsid w:val="00632D9A"/>
    <w:rsid w:val="0063405C"/>
    <w:rsid w:val="00634252"/>
    <w:rsid w:val="006344A0"/>
    <w:rsid w:val="00634606"/>
    <w:rsid w:val="006346AC"/>
    <w:rsid w:val="006352BD"/>
    <w:rsid w:val="0063533F"/>
    <w:rsid w:val="0063536A"/>
    <w:rsid w:val="006354C0"/>
    <w:rsid w:val="00635A86"/>
    <w:rsid w:val="00635B10"/>
    <w:rsid w:val="00635F10"/>
    <w:rsid w:val="00636A68"/>
    <w:rsid w:val="00636AA9"/>
    <w:rsid w:val="00636DEC"/>
    <w:rsid w:val="00637170"/>
    <w:rsid w:val="006372D4"/>
    <w:rsid w:val="006377A6"/>
    <w:rsid w:val="00637829"/>
    <w:rsid w:val="0063784E"/>
    <w:rsid w:val="00637A3D"/>
    <w:rsid w:val="00637B0A"/>
    <w:rsid w:val="00637DBF"/>
    <w:rsid w:val="00637E48"/>
    <w:rsid w:val="00637F6E"/>
    <w:rsid w:val="0064019A"/>
    <w:rsid w:val="00640225"/>
    <w:rsid w:val="006405AB"/>
    <w:rsid w:val="00640E47"/>
    <w:rsid w:val="00640E66"/>
    <w:rsid w:val="00640EC3"/>
    <w:rsid w:val="00640F9C"/>
    <w:rsid w:val="006411EF"/>
    <w:rsid w:val="00641975"/>
    <w:rsid w:val="00641BBD"/>
    <w:rsid w:val="0064235D"/>
    <w:rsid w:val="00642751"/>
    <w:rsid w:val="006427F1"/>
    <w:rsid w:val="00643179"/>
    <w:rsid w:val="00643216"/>
    <w:rsid w:val="006433C0"/>
    <w:rsid w:val="006435BA"/>
    <w:rsid w:val="006438A6"/>
    <w:rsid w:val="00643921"/>
    <w:rsid w:val="0064439E"/>
    <w:rsid w:val="0064490C"/>
    <w:rsid w:val="00644948"/>
    <w:rsid w:val="00644B4D"/>
    <w:rsid w:val="00644FEF"/>
    <w:rsid w:val="00645355"/>
    <w:rsid w:val="006454C3"/>
    <w:rsid w:val="00645EAB"/>
    <w:rsid w:val="00646244"/>
    <w:rsid w:val="00646520"/>
    <w:rsid w:val="00646A8B"/>
    <w:rsid w:val="0064712E"/>
    <w:rsid w:val="0064781D"/>
    <w:rsid w:val="0065075E"/>
    <w:rsid w:val="00650ADC"/>
    <w:rsid w:val="00650CFC"/>
    <w:rsid w:val="00651574"/>
    <w:rsid w:val="006516F4"/>
    <w:rsid w:val="006517C3"/>
    <w:rsid w:val="00652691"/>
    <w:rsid w:val="0065277D"/>
    <w:rsid w:val="00652923"/>
    <w:rsid w:val="00653201"/>
    <w:rsid w:val="006538D6"/>
    <w:rsid w:val="00653C0E"/>
    <w:rsid w:val="00654015"/>
    <w:rsid w:val="006540B3"/>
    <w:rsid w:val="0065434D"/>
    <w:rsid w:val="00654803"/>
    <w:rsid w:val="00654C1B"/>
    <w:rsid w:val="00654C42"/>
    <w:rsid w:val="00654DAC"/>
    <w:rsid w:val="00654DC7"/>
    <w:rsid w:val="00654F08"/>
    <w:rsid w:val="006550CF"/>
    <w:rsid w:val="006556B4"/>
    <w:rsid w:val="00655F96"/>
    <w:rsid w:val="00656797"/>
    <w:rsid w:val="006569AB"/>
    <w:rsid w:val="00657FAA"/>
    <w:rsid w:val="00660080"/>
    <w:rsid w:val="0066085D"/>
    <w:rsid w:val="00660E3E"/>
    <w:rsid w:val="00660F99"/>
    <w:rsid w:val="00660FE4"/>
    <w:rsid w:val="00661AAB"/>
    <w:rsid w:val="006636DD"/>
    <w:rsid w:val="00663AC8"/>
    <w:rsid w:val="00663DA4"/>
    <w:rsid w:val="00664AE2"/>
    <w:rsid w:val="00664C1B"/>
    <w:rsid w:val="0066553A"/>
    <w:rsid w:val="0066575A"/>
    <w:rsid w:val="00665A43"/>
    <w:rsid w:val="00665CAF"/>
    <w:rsid w:val="00665E82"/>
    <w:rsid w:val="0066632A"/>
    <w:rsid w:val="006665FF"/>
    <w:rsid w:val="0066660A"/>
    <w:rsid w:val="006666CD"/>
    <w:rsid w:val="00666894"/>
    <w:rsid w:val="00666AB7"/>
    <w:rsid w:val="00666C66"/>
    <w:rsid w:val="00667115"/>
    <w:rsid w:val="0066727D"/>
    <w:rsid w:val="006672D2"/>
    <w:rsid w:val="00667346"/>
    <w:rsid w:val="0066745B"/>
    <w:rsid w:val="006677AD"/>
    <w:rsid w:val="00667819"/>
    <w:rsid w:val="00667877"/>
    <w:rsid w:val="00667A05"/>
    <w:rsid w:val="00670692"/>
    <w:rsid w:val="00670735"/>
    <w:rsid w:val="00670AF0"/>
    <w:rsid w:val="00670B53"/>
    <w:rsid w:val="00670DE8"/>
    <w:rsid w:val="00671330"/>
    <w:rsid w:val="0067140C"/>
    <w:rsid w:val="006716D7"/>
    <w:rsid w:val="00671B00"/>
    <w:rsid w:val="00671B38"/>
    <w:rsid w:val="00671DE4"/>
    <w:rsid w:val="006721BC"/>
    <w:rsid w:val="00672B4C"/>
    <w:rsid w:val="00672C48"/>
    <w:rsid w:val="0067307C"/>
    <w:rsid w:val="006731D7"/>
    <w:rsid w:val="006732BF"/>
    <w:rsid w:val="00673AE5"/>
    <w:rsid w:val="00673E4D"/>
    <w:rsid w:val="00674037"/>
    <w:rsid w:val="00674040"/>
    <w:rsid w:val="00674389"/>
    <w:rsid w:val="0067442E"/>
    <w:rsid w:val="0067446D"/>
    <w:rsid w:val="0067487A"/>
    <w:rsid w:val="006748B8"/>
    <w:rsid w:val="00674CC6"/>
    <w:rsid w:val="00674CCB"/>
    <w:rsid w:val="00674F44"/>
    <w:rsid w:val="00675630"/>
    <w:rsid w:val="00675B87"/>
    <w:rsid w:val="0067620E"/>
    <w:rsid w:val="0067636B"/>
    <w:rsid w:val="00676C86"/>
    <w:rsid w:val="006775C3"/>
    <w:rsid w:val="0067770C"/>
    <w:rsid w:val="006779F6"/>
    <w:rsid w:val="0068060A"/>
    <w:rsid w:val="00680986"/>
    <w:rsid w:val="006809DF"/>
    <w:rsid w:val="00680BA5"/>
    <w:rsid w:val="00681300"/>
    <w:rsid w:val="006818E4"/>
    <w:rsid w:val="0068239A"/>
    <w:rsid w:val="00682636"/>
    <w:rsid w:val="00682717"/>
    <w:rsid w:val="006828F2"/>
    <w:rsid w:val="00682B01"/>
    <w:rsid w:val="00682F66"/>
    <w:rsid w:val="00682F75"/>
    <w:rsid w:val="006835F2"/>
    <w:rsid w:val="006837F9"/>
    <w:rsid w:val="00683D76"/>
    <w:rsid w:val="00683D9C"/>
    <w:rsid w:val="00683F70"/>
    <w:rsid w:val="0068419E"/>
    <w:rsid w:val="006841C2"/>
    <w:rsid w:val="00684812"/>
    <w:rsid w:val="00684FA0"/>
    <w:rsid w:val="006853E3"/>
    <w:rsid w:val="006855F0"/>
    <w:rsid w:val="00685708"/>
    <w:rsid w:val="006858CE"/>
    <w:rsid w:val="00685F48"/>
    <w:rsid w:val="00686666"/>
    <w:rsid w:val="006869B3"/>
    <w:rsid w:val="006869FB"/>
    <w:rsid w:val="00686A4F"/>
    <w:rsid w:val="00686CA9"/>
    <w:rsid w:val="00686D49"/>
    <w:rsid w:val="00686E29"/>
    <w:rsid w:val="00687001"/>
    <w:rsid w:val="00687147"/>
    <w:rsid w:val="00687176"/>
    <w:rsid w:val="00687892"/>
    <w:rsid w:val="006878FF"/>
    <w:rsid w:val="006905B7"/>
    <w:rsid w:val="00690BB0"/>
    <w:rsid w:val="00690CEB"/>
    <w:rsid w:val="00690EAD"/>
    <w:rsid w:val="00691366"/>
    <w:rsid w:val="0069194C"/>
    <w:rsid w:val="00691DFB"/>
    <w:rsid w:val="00692871"/>
    <w:rsid w:val="0069290A"/>
    <w:rsid w:val="00692A6B"/>
    <w:rsid w:val="00692B3C"/>
    <w:rsid w:val="00692F62"/>
    <w:rsid w:val="00693160"/>
    <w:rsid w:val="00693C3F"/>
    <w:rsid w:val="00693FD6"/>
    <w:rsid w:val="00694375"/>
    <w:rsid w:val="006947D4"/>
    <w:rsid w:val="0069491B"/>
    <w:rsid w:val="00694925"/>
    <w:rsid w:val="00694951"/>
    <w:rsid w:val="00694DA1"/>
    <w:rsid w:val="00694DCF"/>
    <w:rsid w:val="006950A2"/>
    <w:rsid w:val="00695A34"/>
    <w:rsid w:val="00695C79"/>
    <w:rsid w:val="00695EBA"/>
    <w:rsid w:val="00696227"/>
    <w:rsid w:val="006962EA"/>
    <w:rsid w:val="006962FE"/>
    <w:rsid w:val="00696452"/>
    <w:rsid w:val="00696654"/>
    <w:rsid w:val="00696663"/>
    <w:rsid w:val="0069691B"/>
    <w:rsid w:val="00696C6C"/>
    <w:rsid w:val="00696D5F"/>
    <w:rsid w:val="00696E71"/>
    <w:rsid w:val="00696F31"/>
    <w:rsid w:val="0069775A"/>
    <w:rsid w:val="00697813"/>
    <w:rsid w:val="00697E58"/>
    <w:rsid w:val="006A0246"/>
    <w:rsid w:val="006A027B"/>
    <w:rsid w:val="006A0DEB"/>
    <w:rsid w:val="006A0F87"/>
    <w:rsid w:val="006A1C5D"/>
    <w:rsid w:val="006A294A"/>
    <w:rsid w:val="006A2A83"/>
    <w:rsid w:val="006A2F89"/>
    <w:rsid w:val="006A2FA5"/>
    <w:rsid w:val="006A322C"/>
    <w:rsid w:val="006A3AA8"/>
    <w:rsid w:val="006A3CB7"/>
    <w:rsid w:val="006A3EE8"/>
    <w:rsid w:val="006A44C3"/>
    <w:rsid w:val="006A4C4F"/>
    <w:rsid w:val="006A522F"/>
    <w:rsid w:val="006A5795"/>
    <w:rsid w:val="006A6113"/>
    <w:rsid w:val="006A62D2"/>
    <w:rsid w:val="006A67AB"/>
    <w:rsid w:val="006A6BA3"/>
    <w:rsid w:val="006A6DBF"/>
    <w:rsid w:val="006A720B"/>
    <w:rsid w:val="006A72BF"/>
    <w:rsid w:val="006A73E9"/>
    <w:rsid w:val="006A7BA2"/>
    <w:rsid w:val="006B0289"/>
    <w:rsid w:val="006B03F2"/>
    <w:rsid w:val="006B08CB"/>
    <w:rsid w:val="006B1577"/>
    <w:rsid w:val="006B1E6C"/>
    <w:rsid w:val="006B22B5"/>
    <w:rsid w:val="006B27C7"/>
    <w:rsid w:val="006B28B4"/>
    <w:rsid w:val="006B297A"/>
    <w:rsid w:val="006B2BF2"/>
    <w:rsid w:val="006B2ECB"/>
    <w:rsid w:val="006B3380"/>
    <w:rsid w:val="006B37DC"/>
    <w:rsid w:val="006B3B89"/>
    <w:rsid w:val="006B3D21"/>
    <w:rsid w:val="006B3E4A"/>
    <w:rsid w:val="006B3EA8"/>
    <w:rsid w:val="006B3ECD"/>
    <w:rsid w:val="006B4A57"/>
    <w:rsid w:val="006B4C12"/>
    <w:rsid w:val="006B4C2F"/>
    <w:rsid w:val="006B4F68"/>
    <w:rsid w:val="006B5051"/>
    <w:rsid w:val="006B52B2"/>
    <w:rsid w:val="006B5597"/>
    <w:rsid w:val="006B5F0E"/>
    <w:rsid w:val="006B605C"/>
    <w:rsid w:val="006B6544"/>
    <w:rsid w:val="006B6840"/>
    <w:rsid w:val="006B713A"/>
    <w:rsid w:val="006B75F6"/>
    <w:rsid w:val="006B79A3"/>
    <w:rsid w:val="006B7CB2"/>
    <w:rsid w:val="006C008B"/>
    <w:rsid w:val="006C022F"/>
    <w:rsid w:val="006C0592"/>
    <w:rsid w:val="006C09F3"/>
    <w:rsid w:val="006C0A3D"/>
    <w:rsid w:val="006C0A8A"/>
    <w:rsid w:val="006C101E"/>
    <w:rsid w:val="006C10DA"/>
    <w:rsid w:val="006C1502"/>
    <w:rsid w:val="006C18D4"/>
    <w:rsid w:val="006C1EFB"/>
    <w:rsid w:val="006C1F94"/>
    <w:rsid w:val="006C21E4"/>
    <w:rsid w:val="006C26BB"/>
    <w:rsid w:val="006C272E"/>
    <w:rsid w:val="006C2905"/>
    <w:rsid w:val="006C2D9E"/>
    <w:rsid w:val="006C2EC0"/>
    <w:rsid w:val="006C3009"/>
    <w:rsid w:val="006C32B2"/>
    <w:rsid w:val="006C343A"/>
    <w:rsid w:val="006C363E"/>
    <w:rsid w:val="006C3D6E"/>
    <w:rsid w:val="006C3E09"/>
    <w:rsid w:val="006C43AD"/>
    <w:rsid w:val="006C4514"/>
    <w:rsid w:val="006C4986"/>
    <w:rsid w:val="006C4B1F"/>
    <w:rsid w:val="006C504B"/>
    <w:rsid w:val="006C5479"/>
    <w:rsid w:val="006C5738"/>
    <w:rsid w:val="006C5887"/>
    <w:rsid w:val="006C5ADE"/>
    <w:rsid w:val="006C6A32"/>
    <w:rsid w:val="006C6B9B"/>
    <w:rsid w:val="006C6DF2"/>
    <w:rsid w:val="006C6E78"/>
    <w:rsid w:val="006C73A3"/>
    <w:rsid w:val="006C73BA"/>
    <w:rsid w:val="006C7F61"/>
    <w:rsid w:val="006D00CB"/>
    <w:rsid w:val="006D0B30"/>
    <w:rsid w:val="006D13B5"/>
    <w:rsid w:val="006D14B7"/>
    <w:rsid w:val="006D1980"/>
    <w:rsid w:val="006D1AEA"/>
    <w:rsid w:val="006D1DEE"/>
    <w:rsid w:val="006D2BFB"/>
    <w:rsid w:val="006D2C17"/>
    <w:rsid w:val="006D2C86"/>
    <w:rsid w:val="006D2F48"/>
    <w:rsid w:val="006D31DC"/>
    <w:rsid w:val="006D36FB"/>
    <w:rsid w:val="006D3A31"/>
    <w:rsid w:val="006D3ABB"/>
    <w:rsid w:val="006D3B29"/>
    <w:rsid w:val="006D3C68"/>
    <w:rsid w:val="006D4167"/>
    <w:rsid w:val="006D45F3"/>
    <w:rsid w:val="006D493E"/>
    <w:rsid w:val="006D4B97"/>
    <w:rsid w:val="006D5422"/>
    <w:rsid w:val="006D5A0D"/>
    <w:rsid w:val="006D5BA5"/>
    <w:rsid w:val="006D5CB4"/>
    <w:rsid w:val="006D614E"/>
    <w:rsid w:val="006D6339"/>
    <w:rsid w:val="006D6C07"/>
    <w:rsid w:val="006D6E02"/>
    <w:rsid w:val="006D6E65"/>
    <w:rsid w:val="006D7037"/>
    <w:rsid w:val="006D707B"/>
    <w:rsid w:val="006D719C"/>
    <w:rsid w:val="006D71DD"/>
    <w:rsid w:val="006D7321"/>
    <w:rsid w:val="006D777D"/>
    <w:rsid w:val="006D77E8"/>
    <w:rsid w:val="006D7F5E"/>
    <w:rsid w:val="006E0088"/>
    <w:rsid w:val="006E07EF"/>
    <w:rsid w:val="006E084D"/>
    <w:rsid w:val="006E09D4"/>
    <w:rsid w:val="006E0CBC"/>
    <w:rsid w:val="006E0DBF"/>
    <w:rsid w:val="006E12FF"/>
    <w:rsid w:val="006E14D9"/>
    <w:rsid w:val="006E2319"/>
    <w:rsid w:val="006E2680"/>
    <w:rsid w:val="006E2B38"/>
    <w:rsid w:val="006E2E45"/>
    <w:rsid w:val="006E2EF2"/>
    <w:rsid w:val="006E2F4A"/>
    <w:rsid w:val="006E39AA"/>
    <w:rsid w:val="006E3F1A"/>
    <w:rsid w:val="006E474D"/>
    <w:rsid w:val="006E4C7A"/>
    <w:rsid w:val="006E5AA0"/>
    <w:rsid w:val="006E5BA7"/>
    <w:rsid w:val="006E5D66"/>
    <w:rsid w:val="006E5D96"/>
    <w:rsid w:val="006E5FAF"/>
    <w:rsid w:val="006E607E"/>
    <w:rsid w:val="006E624E"/>
    <w:rsid w:val="006E6256"/>
    <w:rsid w:val="006E630A"/>
    <w:rsid w:val="006E63D3"/>
    <w:rsid w:val="006E644F"/>
    <w:rsid w:val="006E65B2"/>
    <w:rsid w:val="006E6743"/>
    <w:rsid w:val="006E6837"/>
    <w:rsid w:val="006E6B03"/>
    <w:rsid w:val="006E76AB"/>
    <w:rsid w:val="006E7D64"/>
    <w:rsid w:val="006F013B"/>
    <w:rsid w:val="006F036F"/>
    <w:rsid w:val="006F062B"/>
    <w:rsid w:val="006F07AA"/>
    <w:rsid w:val="006F0A9A"/>
    <w:rsid w:val="006F0B3A"/>
    <w:rsid w:val="006F0C81"/>
    <w:rsid w:val="006F138E"/>
    <w:rsid w:val="006F155A"/>
    <w:rsid w:val="006F1698"/>
    <w:rsid w:val="006F1713"/>
    <w:rsid w:val="006F1E11"/>
    <w:rsid w:val="006F2136"/>
    <w:rsid w:val="006F2304"/>
    <w:rsid w:val="006F23A6"/>
    <w:rsid w:val="006F24D9"/>
    <w:rsid w:val="006F2AAF"/>
    <w:rsid w:val="006F2B1A"/>
    <w:rsid w:val="006F2BAC"/>
    <w:rsid w:val="006F3222"/>
    <w:rsid w:val="006F34A5"/>
    <w:rsid w:val="006F38F5"/>
    <w:rsid w:val="006F468D"/>
    <w:rsid w:val="006F4D67"/>
    <w:rsid w:val="006F510D"/>
    <w:rsid w:val="006F5123"/>
    <w:rsid w:val="006F52A5"/>
    <w:rsid w:val="006F54B6"/>
    <w:rsid w:val="006F56B4"/>
    <w:rsid w:val="006F5737"/>
    <w:rsid w:val="006F5899"/>
    <w:rsid w:val="006F596D"/>
    <w:rsid w:val="006F5B6A"/>
    <w:rsid w:val="006F5E3D"/>
    <w:rsid w:val="006F5FCB"/>
    <w:rsid w:val="006F64E9"/>
    <w:rsid w:val="006F665B"/>
    <w:rsid w:val="006F6E50"/>
    <w:rsid w:val="006F7045"/>
    <w:rsid w:val="006F70E4"/>
    <w:rsid w:val="006F731A"/>
    <w:rsid w:val="006F75DC"/>
    <w:rsid w:val="006F7671"/>
    <w:rsid w:val="006F7AA1"/>
    <w:rsid w:val="006F7B7E"/>
    <w:rsid w:val="006F7BD3"/>
    <w:rsid w:val="006F7BE2"/>
    <w:rsid w:val="0070030D"/>
    <w:rsid w:val="00700F03"/>
    <w:rsid w:val="00701127"/>
    <w:rsid w:val="00701237"/>
    <w:rsid w:val="007012AF"/>
    <w:rsid w:val="0070169D"/>
    <w:rsid w:val="0070178F"/>
    <w:rsid w:val="00702472"/>
    <w:rsid w:val="00702A01"/>
    <w:rsid w:val="00703267"/>
    <w:rsid w:val="00703873"/>
    <w:rsid w:val="00703883"/>
    <w:rsid w:val="00703A69"/>
    <w:rsid w:val="00703C2E"/>
    <w:rsid w:val="00703D73"/>
    <w:rsid w:val="00703F2A"/>
    <w:rsid w:val="00704392"/>
    <w:rsid w:val="00704842"/>
    <w:rsid w:val="00704AE5"/>
    <w:rsid w:val="00704E50"/>
    <w:rsid w:val="007053F8"/>
    <w:rsid w:val="00705469"/>
    <w:rsid w:val="00705520"/>
    <w:rsid w:val="007055E1"/>
    <w:rsid w:val="00705901"/>
    <w:rsid w:val="00705D42"/>
    <w:rsid w:val="00705E66"/>
    <w:rsid w:val="00706256"/>
    <w:rsid w:val="007062A2"/>
    <w:rsid w:val="007062E0"/>
    <w:rsid w:val="00706835"/>
    <w:rsid w:val="00706BF0"/>
    <w:rsid w:val="00706C5D"/>
    <w:rsid w:val="0070775F"/>
    <w:rsid w:val="007078CF"/>
    <w:rsid w:val="0070797F"/>
    <w:rsid w:val="00707A64"/>
    <w:rsid w:val="0071014B"/>
    <w:rsid w:val="007102A9"/>
    <w:rsid w:val="0071043D"/>
    <w:rsid w:val="00710FB5"/>
    <w:rsid w:val="00710FB6"/>
    <w:rsid w:val="00711027"/>
    <w:rsid w:val="007114BF"/>
    <w:rsid w:val="00711FBC"/>
    <w:rsid w:val="007126DD"/>
    <w:rsid w:val="007128BB"/>
    <w:rsid w:val="00712F6F"/>
    <w:rsid w:val="007131EA"/>
    <w:rsid w:val="007132BB"/>
    <w:rsid w:val="007135EC"/>
    <w:rsid w:val="0071366E"/>
    <w:rsid w:val="00714033"/>
    <w:rsid w:val="00714935"/>
    <w:rsid w:val="00714AA8"/>
    <w:rsid w:val="00714C7A"/>
    <w:rsid w:val="00714D62"/>
    <w:rsid w:val="007150EC"/>
    <w:rsid w:val="00715541"/>
    <w:rsid w:val="0071582C"/>
    <w:rsid w:val="00715D5A"/>
    <w:rsid w:val="00715E29"/>
    <w:rsid w:val="00715F7A"/>
    <w:rsid w:val="0071602D"/>
    <w:rsid w:val="00716034"/>
    <w:rsid w:val="0071603A"/>
    <w:rsid w:val="007161CC"/>
    <w:rsid w:val="00716259"/>
    <w:rsid w:val="00716262"/>
    <w:rsid w:val="00716404"/>
    <w:rsid w:val="00716878"/>
    <w:rsid w:val="007168A1"/>
    <w:rsid w:val="007169D1"/>
    <w:rsid w:val="00717478"/>
    <w:rsid w:val="0071771E"/>
    <w:rsid w:val="00717BCC"/>
    <w:rsid w:val="00720144"/>
    <w:rsid w:val="0072039F"/>
    <w:rsid w:val="00721843"/>
    <w:rsid w:val="00722124"/>
    <w:rsid w:val="007221A3"/>
    <w:rsid w:val="007226DF"/>
    <w:rsid w:val="00722D5B"/>
    <w:rsid w:val="00723266"/>
    <w:rsid w:val="00723411"/>
    <w:rsid w:val="00723B96"/>
    <w:rsid w:val="0072439F"/>
    <w:rsid w:val="007244CE"/>
    <w:rsid w:val="00724A4A"/>
    <w:rsid w:val="00724B93"/>
    <w:rsid w:val="0072514F"/>
    <w:rsid w:val="00725644"/>
    <w:rsid w:val="007267CD"/>
    <w:rsid w:val="00726932"/>
    <w:rsid w:val="00726E45"/>
    <w:rsid w:val="00727C40"/>
    <w:rsid w:val="00727F43"/>
    <w:rsid w:val="00730163"/>
    <w:rsid w:val="00730573"/>
    <w:rsid w:val="00730839"/>
    <w:rsid w:val="00730853"/>
    <w:rsid w:val="007313D3"/>
    <w:rsid w:val="00731814"/>
    <w:rsid w:val="00731A9D"/>
    <w:rsid w:val="00731AA4"/>
    <w:rsid w:val="00731B35"/>
    <w:rsid w:val="00731DE1"/>
    <w:rsid w:val="00732316"/>
    <w:rsid w:val="007324FC"/>
    <w:rsid w:val="00732707"/>
    <w:rsid w:val="00732922"/>
    <w:rsid w:val="007329A1"/>
    <w:rsid w:val="00732AF8"/>
    <w:rsid w:val="00732E60"/>
    <w:rsid w:val="00733115"/>
    <w:rsid w:val="00733364"/>
    <w:rsid w:val="00733BEE"/>
    <w:rsid w:val="00733C91"/>
    <w:rsid w:val="00733DB5"/>
    <w:rsid w:val="00734090"/>
    <w:rsid w:val="007340BC"/>
    <w:rsid w:val="0073416C"/>
    <w:rsid w:val="007342BC"/>
    <w:rsid w:val="0073481E"/>
    <w:rsid w:val="00734895"/>
    <w:rsid w:val="00734BC5"/>
    <w:rsid w:val="00734E02"/>
    <w:rsid w:val="0073504A"/>
    <w:rsid w:val="007359DE"/>
    <w:rsid w:val="00735AF9"/>
    <w:rsid w:val="00735C56"/>
    <w:rsid w:val="0073622D"/>
    <w:rsid w:val="0073655D"/>
    <w:rsid w:val="00736594"/>
    <w:rsid w:val="007366DC"/>
    <w:rsid w:val="00736957"/>
    <w:rsid w:val="007369CF"/>
    <w:rsid w:val="00736BA2"/>
    <w:rsid w:val="007372BD"/>
    <w:rsid w:val="00737964"/>
    <w:rsid w:val="00737BA4"/>
    <w:rsid w:val="00740787"/>
    <w:rsid w:val="00740790"/>
    <w:rsid w:val="0074092D"/>
    <w:rsid w:val="00740B42"/>
    <w:rsid w:val="00740BA4"/>
    <w:rsid w:val="007419A5"/>
    <w:rsid w:val="00741D18"/>
    <w:rsid w:val="00741DE8"/>
    <w:rsid w:val="00741FC0"/>
    <w:rsid w:val="00742206"/>
    <w:rsid w:val="007425C9"/>
    <w:rsid w:val="007428F6"/>
    <w:rsid w:val="007431E2"/>
    <w:rsid w:val="00743796"/>
    <w:rsid w:val="0074384B"/>
    <w:rsid w:val="007438C2"/>
    <w:rsid w:val="00743AE8"/>
    <w:rsid w:val="00743D69"/>
    <w:rsid w:val="00743F69"/>
    <w:rsid w:val="00744270"/>
    <w:rsid w:val="00744298"/>
    <w:rsid w:val="00744542"/>
    <w:rsid w:val="00744AEF"/>
    <w:rsid w:val="00744E5F"/>
    <w:rsid w:val="0074511D"/>
    <w:rsid w:val="00745619"/>
    <w:rsid w:val="00745A9A"/>
    <w:rsid w:val="00745E67"/>
    <w:rsid w:val="00746139"/>
    <w:rsid w:val="00746602"/>
    <w:rsid w:val="007467C1"/>
    <w:rsid w:val="00746AC8"/>
    <w:rsid w:val="00746EA0"/>
    <w:rsid w:val="00746F0C"/>
    <w:rsid w:val="0074722A"/>
    <w:rsid w:val="0074723D"/>
    <w:rsid w:val="00747365"/>
    <w:rsid w:val="0074739E"/>
    <w:rsid w:val="0074770D"/>
    <w:rsid w:val="00747927"/>
    <w:rsid w:val="00747D3C"/>
    <w:rsid w:val="00750396"/>
    <w:rsid w:val="007505BC"/>
    <w:rsid w:val="00750DE4"/>
    <w:rsid w:val="007512FB"/>
    <w:rsid w:val="0075162E"/>
    <w:rsid w:val="00751D20"/>
    <w:rsid w:val="007520BD"/>
    <w:rsid w:val="00752153"/>
    <w:rsid w:val="007523A1"/>
    <w:rsid w:val="00752ADE"/>
    <w:rsid w:val="00752FEB"/>
    <w:rsid w:val="00753C31"/>
    <w:rsid w:val="00754034"/>
    <w:rsid w:val="007540D3"/>
    <w:rsid w:val="00754185"/>
    <w:rsid w:val="007545B3"/>
    <w:rsid w:val="007547F6"/>
    <w:rsid w:val="00754FCC"/>
    <w:rsid w:val="00754FE9"/>
    <w:rsid w:val="0075517C"/>
    <w:rsid w:val="0075524F"/>
    <w:rsid w:val="007552F8"/>
    <w:rsid w:val="00755464"/>
    <w:rsid w:val="00755A31"/>
    <w:rsid w:val="00755FD8"/>
    <w:rsid w:val="00756556"/>
    <w:rsid w:val="00756607"/>
    <w:rsid w:val="0075665D"/>
    <w:rsid w:val="00756A80"/>
    <w:rsid w:val="00756F80"/>
    <w:rsid w:val="0075732B"/>
    <w:rsid w:val="00757C06"/>
    <w:rsid w:val="00757D90"/>
    <w:rsid w:val="00757F2E"/>
    <w:rsid w:val="00757F5B"/>
    <w:rsid w:val="00757FCC"/>
    <w:rsid w:val="0076085A"/>
    <w:rsid w:val="00760D32"/>
    <w:rsid w:val="00760FE3"/>
    <w:rsid w:val="007610C6"/>
    <w:rsid w:val="007618C4"/>
    <w:rsid w:val="007618D2"/>
    <w:rsid w:val="00761C45"/>
    <w:rsid w:val="00762159"/>
    <w:rsid w:val="007622DA"/>
    <w:rsid w:val="007627A1"/>
    <w:rsid w:val="00762C59"/>
    <w:rsid w:val="00762EF5"/>
    <w:rsid w:val="0076346E"/>
    <w:rsid w:val="00763564"/>
    <w:rsid w:val="00763677"/>
    <w:rsid w:val="007639EF"/>
    <w:rsid w:val="00764667"/>
    <w:rsid w:val="00764944"/>
    <w:rsid w:val="007651D1"/>
    <w:rsid w:val="00765758"/>
    <w:rsid w:val="007657FE"/>
    <w:rsid w:val="00765AC3"/>
    <w:rsid w:val="00765E01"/>
    <w:rsid w:val="00766190"/>
    <w:rsid w:val="00766333"/>
    <w:rsid w:val="007669AA"/>
    <w:rsid w:val="0076768E"/>
    <w:rsid w:val="00767980"/>
    <w:rsid w:val="007679C5"/>
    <w:rsid w:val="00767BAC"/>
    <w:rsid w:val="00767BC6"/>
    <w:rsid w:val="0077040E"/>
    <w:rsid w:val="007707D9"/>
    <w:rsid w:val="007708AA"/>
    <w:rsid w:val="00770B19"/>
    <w:rsid w:val="00770DA1"/>
    <w:rsid w:val="0077142E"/>
    <w:rsid w:val="00771591"/>
    <w:rsid w:val="0077167D"/>
    <w:rsid w:val="00771C5C"/>
    <w:rsid w:val="00772B75"/>
    <w:rsid w:val="00772BF2"/>
    <w:rsid w:val="00772DC6"/>
    <w:rsid w:val="007733D9"/>
    <w:rsid w:val="00773A84"/>
    <w:rsid w:val="00773B36"/>
    <w:rsid w:val="00773D43"/>
    <w:rsid w:val="00773F41"/>
    <w:rsid w:val="00774187"/>
    <w:rsid w:val="00774274"/>
    <w:rsid w:val="00774394"/>
    <w:rsid w:val="0077463F"/>
    <w:rsid w:val="00774D02"/>
    <w:rsid w:val="00774E09"/>
    <w:rsid w:val="007754EF"/>
    <w:rsid w:val="0077575C"/>
    <w:rsid w:val="0077589D"/>
    <w:rsid w:val="00775E52"/>
    <w:rsid w:val="00775F76"/>
    <w:rsid w:val="0077644F"/>
    <w:rsid w:val="00776505"/>
    <w:rsid w:val="00776566"/>
    <w:rsid w:val="0077686C"/>
    <w:rsid w:val="00776A3E"/>
    <w:rsid w:val="00776B66"/>
    <w:rsid w:val="00776D97"/>
    <w:rsid w:val="00777473"/>
    <w:rsid w:val="007774CF"/>
    <w:rsid w:val="007779CC"/>
    <w:rsid w:val="00777B7A"/>
    <w:rsid w:val="007804AD"/>
    <w:rsid w:val="00780695"/>
    <w:rsid w:val="00781402"/>
    <w:rsid w:val="00781B14"/>
    <w:rsid w:val="007821F7"/>
    <w:rsid w:val="007825BD"/>
    <w:rsid w:val="0078263A"/>
    <w:rsid w:val="0078265E"/>
    <w:rsid w:val="00783370"/>
    <w:rsid w:val="00783699"/>
    <w:rsid w:val="007836EA"/>
    <w:rsid w:val="007837BE"/>
    <w:rsid w:val="00783D49"/>
    <w:rsid w:val="007840D1"/>
    <w:rsid w:val="007842E8"/>
    <w:rsid w:val="007844D9"/>
    <w:rsid w:val="007845A5"/>
    <w:rsid w:val="00784BAF"/>
    <w:rsid w:val="00784C6D"/>
    <w:rsid w:val="00784CDA"/>
    <w:rsid w:val="00784F0C"/>
    <w:rsid w:val="007850C3"/>
    <w:rsid w:val="007856D1"/>
    <w:rsid w:val="00785776"/>
    <w:rsid w:val="00785CE0"/>
    <w:rsid w:val="00786195"/>
    <w:rsid w:val="00786638"/>
    <w:rsid w:val="00786A86"/>
    <w:rsid w:val="00786B3A"/>
    <w:rsid w:val="00786DA4"/>
    <w:rsid w:val="0078714D"/>
    <w:rsid w:val="00787294"/>
    <w:rsid w:val="007874A9"/>
    <w:rsid w:val="007876FE"/>
    <w:rsid w:val="00787916"/>
    <w:rsid w:val="007879C3"/>
    <w:rsid w:val="00787A3A"/>
    <w:rsid w:val="00787B09"/>
    <w:rsid w:val="00787C16"/>
    <w:rsid w:val="00787D58"/>
    <w:rsid w:val="00787E08"/>
    <w:rsid w:val="007901D5"/>
    <w:rsid w:val="00790680"/>
    <w:rsid w:val="007906C4"/>
    <w:rsid w:val="0079096D"/>
    <w:rsid w:val="00790F36"/>
    <w:rsid w:val="0079109E"/>
    <w:rsid w:val="0079146A"/>
    <w:rsid w:val="007918B1"/>
    <w:rsid w:val="00791ABE"/>
    <w:rsid w:val="007922CF"/>
    <w:rsid w:val="0079238D"/>
    <w:rsid w:val="007927D4"/>
    <w:rsid w:val="00792930"/>
    <w:rsid w:val="00792955"/>
    <w:rsid w:val="00792A0D"/>
    <w:rsid w:val="00792A31"/>
    <w:rsid w:val="00792BEB"/>
    <w:rsid w:val="007935FC"/>
    <w:rsid w:val="007936DA"/>
    <w:rsid w:val="00793789"/>
    <w:rsid w:val="007940EA"/>
    <w:rsid w:val="00794277"/>
    <w:rsid w:val="00795136"/>
    <w:rsid w:val="00795A07"/>
    <w:rsid w:val="00795B3A"/>
    <w:rsid w:val="00795C36"/>
    <w:rsid w:val="00795CBD"/>
    <w:rsid w:val="00795D72"/>
    <w:rsid w:val="00795DF9"/>
    <w:rsid w:val="00795E1A"/>
    <w:rsid w:val="0079626A"/>
    <w:rsid w:val="007967E8"/>
    <w:rsid w:val="00797C6F"/>
    <w:rsid w:val="00797D0F"/>
    <w:rsid w:val="007A0037"/>
    <w:rsid w:val="007A005A"/>
    <w:rsid w:val="007A046C"/>
    <w:rsid w:val="007A0A08"/>
    <w:rsid w:val="007A0E27"/>
    <w:rsid w:val="007A1885"/>
    <w:rsid w:val="007A191E"/>
    <w:rsid w:val="007A1DFA"/>
    <w:rsid w:val="007A1FBA"/>
    <w:rsid w:val="007A2170"/>
    <w:rsid w:val="007A221C"/>
    <w:rsid w:val="007A22BF"/>
    <w:rsid w:val="007A2579"/>
    <w:rsid w:val="007A2822"/>
    <w:rsid w:val="007A2A03"/>
    <w:rsid w:val="007A2A90"/>
    <w:rsid w:val="007A2DAC"/>
    <w:rsid w:val="007A3323"/>
    <w:rsid w:val="007A341D"/>
    <w:rsid w:val="007A3534"/>
    <w:rsid w:val="007A428B"/>
    <w:rsid w:val="007A440A"/>
    <w:rsid w:val="007A4446"/>
    <w:rsid w:val="007A453D"/>
    <w:rsid w:val="007A4542"/>
    <w:rsid w:val="007A45CE"/>
    <w:rsid w:val="007A4AC1"/>
    <w:rsid w:val="007A5873"/>
    <w:rsid w:val="007A59FA"/>
    <w:rsid w:val="007A5B31"/>
    <w:rsid w:val="007A5BFA"/>
    <w:rsid w:val="007A5C11"/>
    <w:rsid w:val="007A5C91"/>
    <w:rsid w:val="007A5DDE"/>
    <w:rsid w:val="007A6188"/>
    <w:rsid w:val="007A7282"/>
    <w:rsid w:val="007A7315"/>
    <w:rsid w:val="007A74C9"/>
    <w:rsid w:val="007A7559"/>
    <w:rsid w:val="007A7DF5"/>
    <w:rsid w:val="007B054D"/>
    <w:rsid w:val="007B08CD"/>
    <w:rsid w:val="007B098F"/>
    <w:rsid w:val="007B1524"/>
    <w:rsid w:val="007B16EF"/>
    <w:rsid w:val="007B1BC9"/>
    <w:rsid w:val="007B2165"/>
    <w:rsid w:val="007B21CE"/>
    <w:rsid w:val="007B2629"/>
    <w:rsid w:val="007B266B"/>
    <w:rsid w:val="007B27D9"/>
    <w:rsid w:val="007B28EE"/>
    <w:rsid w:val="007B293C"/>
    <w:rsid w:val="007B31CE"/>
    <w:rsid w:val="007B3F0A"/>
    <w:rsid w:val="007B42E1"/>
    <w:rsid w:val="007B44AE"/>
    <w:rsid w:val="007B480E"/>
    <w:rsid w:val="007B4A3D"/>
    <w:rsid w:val="007B4B8E"/>
    <w:rsid w:val="007B4C9D"/>
    <w:rsid w:val="007B5079"/>
    <w:rsid w:val="007B523C"/>
    <w:rsid w:val="007B5887"/>
    <w:rsid w:val="007B5897"/>
    <w:rsid w:val="007B5ADF"/>
    <w:rsid w:val="007B5D1B"/>
    <w:rsid w:val="007B5F60"/>
    <w:rsid w:val="007B64B2"/>
    <w:rsid w:val="007B65B2"/>
    <w:rsid w:val="007B6673"/>
    <w:rsid w:val="007B6994"/>
    <w:rsid w:val="007B6A99"/>
    <w:rsid w:val="007B713B"/>
    <w:rsid w:val="007B717F"/>
    <w:rsid w:val="007B72B8"/>
    <w:rsid w:val="007B730E"/>
    <w:rsid w:val="007B7603"/>
    <w:rsid w:val="007B76E7"/>
    <w:rsid w:val="007B79AD"/>
    <w:rsid w:val="007B7A58"/>
    <w:rsid w:val="007B7BFA"/>
    <w:rsid w:val="007B7C96"/>
    <w:rsid w:val="007C0399"/>
    <w:rsid w:val="007C04AD"/>
    <w:rsid w:val="007C0882"/>
    <w:rsid w:val="007C08F4"/>
    <w:rsid w:val="007C0A34"/>
    <w:rsid w:val="007C0AC7"/>
    <w:rsid w:val="007C1074"/>
    <w:rsid w:val="007C122C"/>
    <w:rsid w:val="007C1287"/>
    <w:rsid w:val="007C178F"/>
    <w:rsid w:val="007C1C45"/>
    <w:rsid w:val="007C1D45"/>
    <w:rsid w:val="007C21B5"/>
    <w:rsid w:val="007C252D"/>
    <w:rsid w:val="007C2607"/>
    <w:rsid w:val="007C26D4"/>
    <w:rsid w:val="007C2721"/>
    <w:rsid w:val="007C2DF6"/>
    <w:rsid w:val="007C31E1"/>
    <w:rsid w:val="007C3BFE"/>
    <w:rsid w:val="007C3F41"/>
    <w:rsid w:val="007C4462"/>
    <w:rsid w:val="007C4536"/>
    <w:rsid w:val="007C45F3"/>
    <w:rsid w:val="007C4711"/>
    <w:rsid w:val="007C4C05"/>
    <w:rsid w:val="007C4E89"/>
    <w:rsid w:val="007C4F33"/>
    <w:rsid w:val="007C52A4"/>
    <w:rsid w:val="007C5531"/>
    <w:rsid w:val="007C5663"/>
    <w:rsid w:val="007C5707"/>
    <w:rsid w:val="007C5B42"/>
    <w:rsid w:val="007C5B87"/>
    <w:rsid w:val="007C5ECB"/>
    <w:rsid w:val="007C6645"/>
    <w:rsid w:val="007C6909"/>
    <w:rsid w:val="007C6EC2"/>
    <w:rsid w:val="007C7504"/>
    <w:rsid w:val="007C764C"/>
    <w:rsid w:val="007C776E"/>
    <w:rsid w:val="007C7E98"/>
    <w:rsid w:val="007C7FB2"/>
    <w:rsid w:val="007D06FC"/>
    <w:rsid w:val="007D07CB"/>
    <w:rsid w:val="007D13CC"/>
    <w:rsid w:val="007D15D9"/>
    <w:rsid w:val="007D1BCB"/>
    <w:rsid w:val="007D23C7"/>
    <w:rsid w:val="007D248B"/>
    <w:rsid w:val="007D259E"/>
    <w:rsid w:val="007D2B26"/>
    <w:rsid w:val="007D2B3D"/>
    <w:rsid w:val="007D2B8F"/>
    <w:rsid w:val="007D2C85"/>
    <w:rsid w:val="007D2EE2"/>
    <w:rsid w:val="007D31A9"/>
    <w:rsid w:val="007D3B6D"/>
    <w:rsid w:val="007D3E09"/>
    <w:rsid w:val="007D3EF0"/>
    <w:rsid w:val="007D3F16"/>
    <w:rsid w:val="007D4581"/>
    <w:rsid w:val="007D4860"/>
    <w:rsid w:val="007D58CC"/>
    <w:rsid w:val="007D594F"/>
    <w:rsid w:val="007D5B30"/>
    <w:rsid w:val="007D5BE4"/>
    <w:rsid w:val="007D5FAA"/>
    <w:rsid w:val="007D609D"/>
    <w:rsid w:val="007D6263"/>
    <w:rsid w:val="007D65DB"/>
    <w:rsid w:val="007D6D2E"/>
    <w:rsid w:val="007D7897"/>
    <w:rsid w:val="007D79DF"/>
    <w:rsid w:val="007D7EB8"/>
    <w:rsid w:val="007E02ED"/>
    <w:rsid w:val="007E03DF"/>
    <w:rsid w:val="007E0A06"/>
    <w:rsid w:val="007E0E24"/>
    <w:rsid w:val="007E1F15"/>
    <w:rsid w:val="007E1F73"/>
    <w:rsid w:val="007E2038"/>
    <w:rsid w:val="007E27E0"/>
    <w:rsid w:val="007E2949"/>
    <w:rsid w:val="007E2B72"/>
    <w:rsid w:val="007E2B82"/>
    <w:rsid w:val="007E2B92"/>
    <w:rsid w:val="007E2D02"/>
    <w:rsid w:val="007E3080"/>
    <w:rsid w:val="007E3210"/>
    <w:rsid w:val="007E341E"/>
    <w:rsid w:val="007E359F"/>
    <w:rsid w:val="007E3799"/>
    <w:rsid w:val="007E385E"/>
    <w:rsid w:val="007E3CDE"/>
    <w:rsid w:val="007E3D32"/>
    <w:rsid w:val="007E3DA0"/>
    <w:rsid w:val="007E3DBF"/>
    <w:rsid w:val="007E4BD2"/>
    <w:rsid w:val="007E548A"/>
    <w:rsid w:val="007E5743"/>
    <w:rsid w:val="007E5EFC"/>
    <w:rsid w:val="007E643D"/>
    <w:rsid w:val="007E67A7"/>
    <w:rsid w:val="007E68D3"/>
    <w:rsid w:val="007E754A"/>
    <w:rsid w:val="007E77E5"/>
    <w:rsid w:val="007E792E"/>
    <w:rsid w:val="007E7A75"/>
    <w:rsid w:val="007F04B5"/>
    <w:rsid w:val="007F055B"/>
    <w:rsid w:val="007F057F"/>
    <w:rsid w:val="007F08A6"/>
    <w:rsid w:val="007F0E5F"/>
    <w:rsid w:val="007F1010"/>
    <w:rsid w:val="007F105C"/>
    <w:rsid w:val="007F10A7"/>
    <w:rsid w:val="007F124E"/>
    <w:rsid w:val="007F1293"/>
    <w:rsid w:val="007F207A"/>
    <w:rsid w:val="007F236D"/>
    <w:rsid w:val="007F2CBD"/>
    <w:rsid w:val="007F320B"/>
    <w:rsid w:val="007F347C"/>
    <w:rsid w:val="007F366B"/>
    <w:rsid w:val="007F3BF0"/>
    <w:rsid w:val="007F424C"/>
    <w:rsid w:val="007F4CA3"/>
    <w:rsid w:val="007F4F71"/>
    <w:rsid w:val="007F5088"/>
    <w:rsid w:val="007F55D6"/>
    <w:rsid w:val="007F5B52"/>
    <w:rsid w:val="007F60FD"/>
    <w:rsid w:val="007F626D"/>
    <w:rsid w:val="007F6518"/>
    <w:rsid w:val="007F65C7"/>
    <w:rsid w:val="007F678D"/>
    <w:rsid w:val="007F6D30"/>
    <w:rsid w:val="007F6EFB"/>
    <w:rsid w:val="007F6FE6"/>
    <w:rsid w:val="007F72E1"/>
    <w:rsid w:val="007F7471"/>
    <w:rsid w:val="007F786C"/>
    <w:rsid w:val="007F795D"/>
    <w:rsid w:val="007F7AFF"/>
    <w:rsid w:val="007F7BB9"/>
    <w:rsid w:val="007F7C2E"/>
    <w:rsid w:val="007F7E27"/>
    <w:rsid w:val="00800FBF"/>
    <w:rsid w:val="00801393"/>
    <w:rsid w:val="00801FE5"/>
    <w:rsid w:val="00802B60"/>
    <w:rsid w:val="00802D98"/>
    <w:rsid w:val="00802F6D"/>
    <w:rsid w:val="00802F75"/>
    <w:rsid w:val="00802F88"/>
    <w:rsid w:val="0080321E"/>
    <w:rsid w:val="008035D8"/>
    <w:rsid w:val="00803933"/>
    <w:rsid w:val="00803B7A"/>
    <w:rsid w:val="00804341"/>
    <w:rsid w:val="00804361"/>
    <w:rsid w:val="00804429"/>
    <w:rsid w:val="00804961"/>
    <w:rsid w:val="008049E8"/>
    <w:rsid w:val="00804ADC"/>
    <w:rsid w:val="00804BBB"/>
    <w:rsid w:val="00805F79"/>
    <w:rsid w:val="008063F3"/>
    <w:rsid w:val="008068E6"/>
    <w:rsid w:val="008076CF"/>
    <w:rsid w:val="00807EC9"/>
    <w:rsid w:val="00807F40"/>
    <w:rsid w:val="00807FD7"/>
    <w:rsid w:val="00807FFC"/>
    <w:rsid w:val="008102E6"/>
    <w:rsid w:val="00810822"/>
    <w:rsid w:val="008108BF"/>
    <w:rsid w:val="00810936"/>
    <w:rsid w:val="008111CF"/>
    <w:rsid w:val="00811265"/>
    <w:rsid w:val="00811730"/>
    <w:rsid w:val="00811A1D"/>
    <w:rsid w:val="00811C61"/>
    <w:rsid w:val="00811ED6"/>
    <w:rsid w:val="00811F9B"/>
    <w:rsid w:val="0081293E"/>
    <w:rsid w:val="008129B1"/>
    <w:rsid w:val="00812A98"/>
    <w:rsid w:val="00812AD6"/>
    <w:rsid w:val="00812C07"/>
    <w:rsid w:val="00812D1B"/>
    <w:rsid w:val="00812D72"/>
    <w:rsid w:val="00812F63"/>
    <w:rsid w:val="0081309D"/>
    <w:rsid w:val="00813120"/>
    <w:rsid w:val="00813457"/>
    <w:rsid w:val="00813FE3"/>
    <w:rsid w:val="00814536"/>
    <w:rsid w:val="00814A3D"/>
    <w:rsid w:val="0081535A"/>
    <w:rsid w:val="00815388"/>
    <w:rsid w:val="00815465"/>
    <w:rsid w:val="008156E9"/>
    <w:rsid w:val="0081625E"/>
    <w:rsid w:val="0081648C"/>
    <w:rsid w:val="008165F7"/>
    <w:rsid w:val="0081669A"/>
    <w:rsid w:val="008166F1"/>
    <w:rsid w:val="0081797A"/>
    <w:rsid w:val="00817E71"/>
    <w:rsid w:val="00817E9A"/>
    <w:rsid w:val="008200B6"/>
    <w:rsid w:val="008204C8"/>
    <w:rsid w:val="008205BF"/>
    <w:rsid w:val="008205C0"/>
    <w:rsid w:val="008205E2"/>
    <w:rsid w:val="00820C20"/>
    <w:rsid w:val="008215A4"/>
    <w:rsid w:val="008215F5"/>
    <w:rsid w:val="00821676"/>
    <w:rsid w:val="0082172F"/>
    <w:rsid w:val="0082193C"/>
    <w:rsid w:val="00821A36"/>
    <w:rsid w:val="00821AC4"/>
    <w:rsid w:val="00821CB6"/>
    <w:rsid w:val="008222F5"/>
    <w:rsid w:val="00822302"/>
    <w:rsid w:val="00822336"/>
    <w:rsid w:val="00822357"/>
    <w:rsid w:val="008227A4"/>
    <w:rsid w:val="00822AEC"/>
    <w:rsid w:val="00822C1A"/>
    <w:rsid w:val="00822FFF"/>
    <w:rsid w:val="0082361D"/>
    <w:rsid w:val="0082362B"/>
    <w:rsid w:val="00823860"/>
    <w:rsid w:val="00823A49"/>
    <w:rsid w:val="008244BC"/>
    <w:rsid w:val="008249D5"/>
    <w:rsid w:val="00824C5B"/>
    <w:rsid w:val="00824DBA"/>
    <w:rsid w:val="00824E5C"/>
    <w:rsid w:val="00825143"/>
    <w:rsid w:val="008252FE"/>
    <w:rsid w:val="0082568C"/>
    <w:rsid w:val="00825E31"/>
    <w:rsid w:val="008263A2"/>
    <w:rsid w:val="008264FE"/>
    <w:rsid w:val="00826962"/>
    <w:rsid w:val="008270B4"/>
    <w:rsid w:val="0082727E"/>
    <w:rsid w:val="00827413"/>
    <w:rsid w:val="008274D8"/>
    <w:rsid w:val="00827717"/>
    <w:rsid w:val="00827735"/>
    <w:rsid w:val="00827A0D"/>
    <w:rsid w:val="00827ECA"/>
    <w:rsid w:val="0083047A"/>
    <w:rsid w:val="008306BD"/>
    <w:rsid w:val="00830A11"/>
    <w:rsid w:val="00830BB0"/>
    <w:rsid w:val="00830EF3"/>
    <w:rsid w:val="0083179E"/>
    <w:rsid w:val="00831A80"/>
    <w:rsid w:val="00831B18"/>
    <w:rsid w:val="00831BAC"/>
    <w:rsid w:val="00832228"/>
    <w:rsid w:val="00832789"/>
    <w:rsid w:val="008329AA"/>
    <w:rsid w:val="00832AE7"/>
    <w:rsid w:val="00832C60"/>
    <w:rsid w:val="00832DF6"/>
    <w:rsid w:val="00832E2B"/>
    <w:rsid w:val="00833196"/>
    <w:rsid w:val="008331EA"/>
    <w:rsid w:val="008332FA"/>
    <w:rsid w:val="00833743"/>
    <w:rsid w:val="00833914"/>
    <w:rsid w:val="00833E1F"/>
    <w:rsid w:val="0083404C"/>
    <w:rsid w:val="008340A4"/>
    <w:rsid w:val="008343E3"/>
    <w:rsid w:val="008344CB"/>
    <w:rsid w:val="008347FE"/>
    <w:rsid w:val="00834ACD"/>
    <w:rsid w:val="008351B8"/>
    <w:rsid w:val="00835735"/>
    <w:rsid w:val="00835873"/>
    <w:rsid w:val="00835964"/>
    <w:rsid w:val="00835AD2"/>
    <w:rsid w:val="00835B7D"/>
    <w:rsid w:val="00835D6E"/>
    <w:rsid w:val="00836070"/>
    <w:rsid w:val="00836552"/>
    <w:rsid w:val="00836B96"/>
    <w:rsid w:val="00836C09"/>
    <w:rsid w:val="00836C65"/>
    <w:rsid w:val="008372E5"/>
    <w:rsid w:val="0083734C"/>
    <w:rsid w:val="0083738B"/>
    <w:rsid w:val="00837392"/>
    <w:rsid w:val="00837458"/>
    <w:rsid w:val="0084085E"/>
    <w:rsid w:val="00840D69"/>
    <w:rsid w:val="00840D9B"/>
    <w:rsid w:val="00840E71"/>
    <w:rsid w:val="00840EAE"/>
    <w:rsid w:val="00841589"/>
    <w:rsid w:val="00841BE8"/>
    <w:rsid w:val="008427A7"/>
    <w:rsid w:val="00842958"/>
    <w:rsid w:val="00842E3A"/>
    <w:rsid w:val="00843066"/>
    <w:rsid w:val="00843136"/>
    <w:rsid w:val="00843170"/>
    <w:rsid w:val="00843673"/>
    <w:rsid w:val="00843E17"/>
    <w:rsid w:val="00843F62"/>
    <w:rsid w:val="00843F98"/>
    <w:rsid w:val="00844F91"/>
    <w:rsid w:val="00845CD9"/>
    <w:rsid w:val="00846177"/>
    <w:rsid w:val="008464D6"/>
    <w:rsid w:val="00846820"/>
    <w:rsid w:val="00846DF8"/>
    <w:rsid w:val="00846E33"/>
    <w:rsid w:val="0084750A"/>
    <w:rsid w:val="00847AC7"/>
    <w:rsid w:val="00847E88"/>
    <w:rsid w:val="008507BF"/>
    <w:rsid w:val="00851497"/>
    <w:rsid w:val="00851A63"/>
    <w:rsid w:val="00851C95"/>
    <w:rsid w:val="00851D6E"/>
    <w:rsid w:val="00851EBC"/>
    <w:rsid w:val="00851F2F"/>
    <w:rsid w:val="00851F37"/>
    <w:rsid w:val="00852124"/>
    <w:rsid w:val="00852129"/>
    <w:rsid w:val="0085230A"/>
    <w:rsid w:val="0085360E"/>
    <w:rsid w:val="00853A71"/>
    <w:rsid w:val="00853AD7"/>
    <w:rsid w:val="0085402E"/>
    <w:rsid w:val="008545F0"/>
    <w:rsid w:val="00854AC5"/>
    <w:rsid w:val="00854ECD"/>
    <w:rsid w:val="008553EF"/>
    <w:rsid w:val="008558E5"/>
    <w:rsid w:val="00855D5A"/>
    <w:rsid w:val="00855FFB"/>
    <w:rsid w:val="00856014"/>
    <w:rsid w:val="00856370"/>
    <w:rsid w:val="008564AA"/>
    <w:rsid w:val="008565E3"/>
    <w:rsid w:val="0085696C"/>
    <w:rsid w:val="00856C78"/>
    <w:rsid w:val="00857212"/>
    <w:rsid w:val="008572B0"/>
    <w:rsid w:val="00857302"/>
    <w:rsid w:val="0085730F"/>
    <w:rsid w:val="008579EE"/>
    <w:rsid w:val="008604AB"/>
    <w:rsid w:val="00860739"/>
    <w:rsid w:val="008608AA"/>
    <w:rsid w:val="00860C67"/>
    <w:rsid w:val="00860CF2"/>
    <w:rsid w:val="00860E4A"/>
    <w:rsid w:val="0086120F"/>
    <w:rsid w:val="00861428"/>
    <w:rsid w:val="008615D4"/>
    <w:rsid w:val="00861E8D"/>
    <w:rsid w:val="008623F5"/>
    <w:rsid w:val="00862790"/>
    <w:rsid w:val="0086287C"/>
    <w:rsid w:val="00862C49"/>
    <w:rsid w:val="008639AA"/>
    <w:rsid w:val="00863A13"/>
    <w:rsid w:val="00863E76"/>
    <w:rsid w:val="008640AB"/>
    <w:rsid w:val="008641B0"/>
    <w:rsid w:val="008642D2"/>
    <w:rsid w:val="00864A68"/>
    <w:rsid w:val="00864B23"/>
    <w:rsid w:val="00864E69"/>
    <w:rsid w:val="008655E6"/>
    <w:rsid w:val="008659E9"/>
    <w:rsid w:val="00865C73"/>
    <w:rsid w:val="00865E14"/>
    <w:rsid w:val="0086669E"/>
    <w:rsid w:val="008668E8"/>
    <w:rsid w:val="00866986"/>
    <w:rsid w:val="00867098"/>
    <w:rsid w:val="008673DB"/>
    <w:rsid w:val="00867C0D"/>
    <w:rsid w:val="00867D49"/>
    <w:rsid w:val="00867DC8"/>
    <w:rsid w:val="00867E70"/>
    <w:rsid w:val="0087007D"/>
    <w:rsid w:val="00870632"/>
    <w:rsid w:val="00870F0F"/>
    <w:rsid w:val="00870FEB"/>
    <w:rsid w:val="00871087"/>
    <w:rsid w:val="00871149"/>
    <w:rsid w:val="0087135F"/>
    <w:rsid w:val="00871888"/>
    <w:rsid w:val="00871967"/>
    <w:rsid w:val="00871A52"/>
    <w:rsid w:val="00871BA3"/>
    <w:rsid w:val="00871EDC"/>
    <w:rsid w:val="00872152"/>
    <w:rsid w:val="00872352"/>
    <w:rsid w:val="00872B5D"/>
    <w:rsid w:val="00872D66"/>
    <w:rsid w:val="00872D94"/>
    <w:rsid w:val="00873040"/>
    <w:rsid w:val="008730D5"/>
    <w:rsid w:val="00873659"/>
    <w:rsid w:val="008736BA"/>
    <w:rsid w:val="00873744"/>
    <w:rsid w:val="00873787"/>
    <w:rsid w:val="00873AEE"/>
    <w:rsid w:val="00873B05"/>
    <w:rsid w:val="008744F6"/>
    <w:rsid w:val="00874A4B"/>
    <w:rsid w:val="00874AB3"/>
    <w:rsid w:val="00874E42"/>
    <w:rsid w:val="00874E54"/>
    <w:rsid w:val="00875324"/>
    <w:rsid w:val="00875586"/>
    <w:rsid w:val="008755D6"/>
    <w:rsid w:val="00875643"/>
    <w:rsid w:val="0087585E"/>
    <w:rsid w:val="00875966"/>
    <w:rsid w:val="00875AC9"/>
    <w:rsid w:val="00875BDE"/>
    <w:rsid w:val="008761DB"/>
    <w:rsid w:val="00876AA3"/>
    <w:rsid w:val="00876E34"/>
    <w:rsid w:val="0087771E"/>
    <w:rsid w:val="00877845"/>
    <w:rsid w:val="00877C8B"/>
    <w:rsid w:val="00877CE3"/>
    <w:rsid w:val="00880364"/>
    <w:rsid w:val="00880A5D"/>
    <w:rsid w:val="00880B6C"/>
    <w:rsid w:val="00880C07"/>
    <w:rsid w:val="00880CF0"/>
    <w:rsid w:val="00881856"/>
    <w:rsid w:val="00881ED4"/>
    <w:rsid w:val="00882799"/>
    <w:rsid w:val="00882A28"/>
    <w:rsid w:val="00882DFA"/>
    <w:rsid w:val="00883375"/>
    <w:rsid w:val="00883969"/>
    <w:rsid w:val="00883B30"/>
    <w:rsid w:val="00883CD6"/>
    <w:rsid w:val="00884229"/>
    <w:rsid w:val="008845D5"/>
    <w:rsid w:val="008846D4"/>
    <w:rsid w:val="00884738"/>
    <w:rsid w:val="008848C1"/>
    <w:rsid w:val="0088493A"/>
    <w:rsid w:val="00884A08"/>
    <w:rsid w:val="00884E2E"/>
    <w:rsid w:val="00885803"/>
    <w:rsid w:val="00885B01"/>
    <w:rsid w:val="00885BBA"/>
    <w:rsid w:val="0088609F"/>
    <w:rsid w:val="0088625F"/>
    <w:rsid w:val="0088634E"/>
    <w:rsid w:val="008866C8"/>
    <w:rsid w:val="00886D19"/>
    <w:rsid w:val="00886D44"/>
    <w:rsid w:val="008875A8"/>
    <w:rsid w:val="008876EE"/>
    <w:rsid w:val="008879D8"/>
    <w:rsid w:val="00887B83"/>
    <w:rsid w:val="00887EC0"/>
    <w:rsid w:val="00890058"/>
    <w:rsid w:val="0089006F"/>
    <w:rsid w:val="00890380"/>
    <w:rsid w:val="0089050F"/>
    <w:rsid w:val="00890ACD"/>
    <w:rsid w:val="00891484"/>
    <w:rsid w:val="008914FB"/>
    <w:rsid w:val="00891592"/>
    <w:rsid w:val="00891A0D"/>
    <w:rsid w:val="00891E9E"/>
    <w:rsid w:val="008924BF"/>
    <w:rsid w:val="00892523"/>
    <w:rsid w:val="00892676"/>
    <w:rsid w:val="008926D0"/>
    <w:rsid w:val="00892FB1"/>
    <w:rsid w:val="00893150"/>
    <w:rsid w:val="00893C49"/>
    <w:rsid w:val="008947FF"/>
    <w:rsid w:val="00895520"/>
    <w:rsid w:val="0089579C"/>
    <w:rsid w:val="00895B98"/>
    <w:rsid w:val="00895EBD"/>
    <w:rsid w:val="00896D68"/>
    <w:rsid w:val="00897907"/>
    <w:rsid w:val="0089793E"/>
    <w:rsid w:val="00897955"/>
    <w:rsid w:val="00897B65"/>
    <w:rsid w:val="00897C02"/>
    <w:rsid w:val="00897DF5"/>
    <w:rsid w:val="00897F78"/>
    <w:rsid w:val="00897FFA"/>
    <w:rsid w:val="008A0303"/>
    <w:rsid w:val="008A050D"/>
    <w:rsid w:val="008A0585"/>
    <w:rsid w:val="008A069D"/>
    <w:rsid w:val="008A084F"/>
    <w:rsid w:val="008A0E1E"/>
    <w:rsid w:val="008A128B"/>
    <w:rsid w:val="008A13F6"/>
    <w:rsid w:val="008A1774"/>
    <w:rsid w:val="008A1914"/>
    <w:rsid w:val="008A1D98"/>
    <w:rsid w:val="008A1DF6"/>
    <w:rsid w:val="008A1F12"/>
    <w:rsid w:val="008A1FA7"/>
    <w:rsid w:val="008A203C"/>
    <w:rsid w:val="008A2183"/>
    <w:rsid w:val="008A2329"/>
    <w:rsid w:val="008A23E6"/>
    <w:rsid w:val="008A251D"/>
    <w:rsid w:val="008A27D3"/>
    <w:rsid w:val="008A2ABB"/>
    <w:rsid w:val="008A2B8A"/>
    <w:rsid w:val="008A2F68"/>
    <w:rsid w:val="008A3555"/>
    <w:rsid w:val="008A37D1"/>
    <w:rsid w:val="008A4952"/>
    <w:rsid w:val="008A4A2D"/>
    <w:rsid w:val="008A4ECF"/>
    <w:rsid w:val="008A50C1"/>
    <w:rsid w:val="008A5229"/>
    <w:rsid w:val="008A58A5"/>
    <w:rsid w:val="008A5917"/>
    <w:rsid w:val="008A5A49"/>
    <w:rsid w:val="008A5DD1"/>
    <w:rsid w:val="008A614A"/>
    <w:rsid w:val="008A6296"/>
    <w:rsid w:val="008A6642"/>
    <w:rsid w:val="008A684B"/>
    <w:rsid w:val="008A6A73"/>
    <w:rsid w:val="008A6B87"/>
    <w:rsid w:val="008A6DC1"/>
    <w:rsid w:val="008A6E54"/>
    <w:rsid w:val="008A7051"/>
    <w:rsid w:val="008A70DF"/>
    <w:rsid w:val="008A70EB"/>
    <w:rsid w:val="008A718A"/>
    <w:rsid w:val="008A74B5"/>
    <w:rsid w:val="008B0217"/>
    <w:rsid w:val="008B0439"/>
    <w:rsid w:val="008B08B4"/>
    <w:rsid w:val="008B0B0B"/>
    <w:rsid w:val="008B0EC8"/>
    <w:rsid w:val="008B0ED6"/>
    <w:rsid w:val="008B13D3"/>
    <w:rsid w:val="008B1AB4"/>
    <w:rsid w:val="008B1C57"/>
    <w:rsid w:val="008B1F1E"/>
    <w:rsid w:val="008B1FD1"/>
    <w:rsid w:val="008B201E"/>
    <w:rsid w:val="008B2100"/>
    <w:rsid w:val="008B2365"/>
    <w:rsid w:val="008B31C4"/>
    <w:rsid w:val="008B350C"/>
    <w:rsid w:val="008B35FB"/>
    <w:rsid w:val="008B3836"/>
    <w:rsid w:val="008B3A98"/>
    <w:rsid w:val="008B3E37"/>
    <w:rsid w:val="008B468A"/>
    <w:rsid w:val="008B4DAB"/>
    <w:rsid w:val="008B4FA6"/>
    <w:rsid w:val="008B5282"/>
    <w:rsid w:val="008B554D"/>
    <w:rsid w:val="008B55F8"/>
    <w:rsid w:val="008B57EE"/>
    <w:rsid w:val="008B5BFF"/>
    <w:rsid w:val="008B5F7A"/>
    <w:rsid w:val="008B6292"/>
    <w:rsid w:val="008B6378"/>
    <w:rsid w:val="008B65A2"/>
    <w:rsid w:val="008B6E04"/>
    <w:rsid w:val="008B710E"/>
    <w:rsid w:val="008B7331"/>
    <w:rsid w:val="008B7340"/>
    <w:rsid w:val="008B740B"/>
    <w:rsid w:val="008B7468"/>
    <w:rsid w:val="008B7C17"/>
    <w:rsid w:val="008C00B1"/>
    <w:rsid w:val="008C01A7"/>
    <w:rsid w:val="008C0810"/>
    <w:rsid w:val="008C085B"/>
    <w:rsid w:val="008C08A4"/>
    <w:rsid w:val="008C0C08"/>
    <w:rsid w:val="008C15B7"/>
    <w:rsid w:val="008C15C2"/>
    <w:rsid w:val="008C1D95"/>
    <w:rsid w:val="008C1E13"/>
    <w:rsid w:val="008C2418"/>
    <w:rsid w:val="008C287F"/>
    <w:rsid w:val="008C2AB3"/>
    <w:rsid w:val="008C2C93"/>
    <w:rsid w:val="008C2D01"/>
    <w:rsid w:val="008C306E"/>
    <w:rsid w:val="008C3455"/>
    <w:rsid w:val="008C40E6"/>
    <w:rsid w:val="008C4131"/>
    <w:rsid w:val="008C4665"/>
    <w:rsid w:val="008C4B9C"/>
    <w:rsid w:val="008C4BAA"/>
    <w:rsid w:val="008C5744"/>
    <w:rsid w:val="008C5BEB"/>
    <w:rsid w:val="008C5EA5"/>
    <w:rsid w:val="008C6040"/>
    <w:rsid w:val="008C62F7"/>
    <w:rsid w:val="008C6748"/>
    <w:rsid w:val="008C6B89"/>
    <w:rsid w:val="008C6D77"/>
    <w:rsid w:val="008C6F29"/>
    <w:rsid w:val="008C70E2"/>
    <w:rsid w:val="008C72F4"/>
    <w:rsid w:val="008C73C2"/>
    <w:rsid w:val="008C7A75"/>
    <w:rsid w:val="008C7B4F"/>
    <w:rsid w:val="008D0149"/>
    <w:rsid w:val="008D0209"/>
    <w:rsid w:val="008D03B5"/>
    <w:rsid w:val="008D050C"/>
    <w:rsid w:val="008D06B5"/>
    <w:rsid w:val="008D0880"/>
    <w:rsid w:val="008D0F7A"/>
    <w:rsid w:val="008D0F7E"/>
    <w:rsid w:val="008D12EB"/>
    <w:rsid w:val="008D15EF"/>
    <w:rsid w:val="008D2B0E"/>
    <w:rsid w:val="008D371A"/>
    <w:rsid w:val="008D3B00"/>
    <w:rsid w:val="008D3D4C"/>
    <w:rsid w:val="008D3DB7"/>
    <w:rsid w:val="008D40D3"/>
    <w:rsid w:val="008D43DA"/>
    <w:rsid w:val="008D4709"/>
    <w:rsid w:val="008D47E2"/>
    <w:rsid w:val="008D4A97"/>
    <w:rsid w:val="008D4DB1"/>
    <w:rsid w:val="008D50DD"/>
    <w:rsid w:val="008D57B5"/>
    <w:rsid w:val="008D5E9F"/>
    <w:rsid w:val="008D61EF"/>
    <w:rsid w:val="008D6679"/>
    <w:rsid w:val="008D68E4"/>
    <w:rsid w:val="008D6B78"/>
    <w:rsid w:val="008D6CEB"/>
    <w:rsid w:val="008D6EA8"/>
    <w:rsid w:val="008D7801"/>
    <w:rsid w:val="008D7820"/>
    <w:rsid w:val="008E0506"/>
    <w:rsid w:val="008E058C"/>
    <w:rsid w:val="008E0622"/>
    <w:rsid w:val="008E06F6"/>
    <w:rsid w:val="008E0CFF"/>
    <w:rsid w:val="008E195B"/>
    <w:rsid w:val="008E1A95"/>
    <w:rsid w:val="008E1F66"/>
    <w:rsid w:val="008E2C8A"/>
    <w:rsid w:val="008E2ED8"/>
    <w:rsid w:val="008E326D"/>
    <w:rsid w:val="008E347F"/>
    <w:rsid w:val="008E3CAE"/>
    <w:rsid w:val="008E40F3"/>
    <w:rsid w:val="008E443F"/>
    <w:rsid w:val="008E4504"/>
    <w:rsid w:val="008E4514"/>
    <w:rsid w:val="008E4750"/>
    <w:rsid w:val="008E4BC1"/>
    <w:rsid w:val="008E4D27"/>
    <w:rsid w:val="008E4E7B"/>
    <w:rsid w:val="008E4EAA"/>
    <w:rsid w:val="008E539F"/>
    <w:rsid w:val="008E540B"/>
    <w:rsid w:val="008E555B"/>
    <w:rsid w:val="008E5B35"/>
    <w:rsid w:val="008E5D6B"/>
    <w:rsid w:val="008E5E4C"/>
    <w:rsid w:val="008E65E7"/>
    <w:rsid w:val="008E6762"/>
    <w:rsid w:val="008E73CB"/>
    <w:rsid w:val="008E7613"/>
    <w:rsid w:val="008E76F0"/>
    <w:rsid w:val="008E7BEF"/>
    <w:rsid w:val="008E7CB2"/>
    <w:rsid w:val="008F006A"/>
    <w:rsid w:val="008F00CF"/>
    <w:rsid w:val="008F03A3"/>
    <w:rsid w:val="008F07CF"/>
    <w:rsid w:val="008F0CBA"/>
    <w:rsid w:val="008F138F"/>
    <w:rsid w:val="008F15FE"/>
    <w:rsid w:val="008F1D3E"/>
    <w:rsid w:val="008F2132"/>
    <w:rsid w:val="008F2D29"/>
    <w:rsid w:val="008F2E28"/>
    <w:rsid w:val="008F33B6"/>
    <w:rsid w:val="008F37E4"/>
    <w:rsid w:val="008F3850"/>
    <w:rsid w:val="008F39FB"/>
    <w:rsid w:val="008F3E83"/>
    <w:rsid w:val="008F4028"/>
    <w:rsid w:val="008F4503"/>
    <w:rsid w:val="008F4671"/>
    <w:rsid w:val="008F4986"/>
    <w:rsid w:val="008F4B15"/>
    <w:rsid w:val="008F50BB"/>
    <w:rsid w:val="008F5187"/>
    <w:rsid w:val="008F5327"/>
    <w:rsid w:val="008F53EA"/>
    <w:rsid w:val="008F5581"/>
    <w:rsid w:val="008F5EB9"/>
    <w:rsid w:val="008F5FB1"/>
    <w:rsid w:val="008F60D8"/>
    <w:rsid w:val="008F65CA"/>
    <w:rsid w:val="008F68B8"/>
    <w:rsid w:val="008F69DA"/>
    <w:rsid w:val="008F6E72"/>
    <w:rsid w:val="008F7288"/>
    <w:rsid w:val="008F72B1"/>
    <w:rsid w:val="008F72B5"/>
    <w:rsid w:val="008F736F"/>
    <w:rsid w:val="008F7430"/>
    <w:rsid w:val="008F7901"/>
    <w:rsid w:val="008F7D82"/>
    <w:rsid w:val="008F7D98"/>
    <w:rsid w:val="009000DC"/>
    <w:rsid w:val="00900239"/>
    <w:rsid w:val="0090063F"/>
    <w:rsid w:val="00900838"/>
    <w:rsid w:val="009009D3"/>
    <w:rsid w:val="00900DFC"/>
    <w:rsid w:val="009013AC"/>
    <w:rsid w:val="00901C4B"/>
    <w:rsid w:val="00901DC0"/>
    <w:rsid w:val="00901FC0"/>
    <w:rsid w:val="00902070"/>
    <w:rsid w:val="00902727"/>
    <w:rsid w:val="00902E4B"/>
    <w:rsid w:val="00902EF3"/>
    <w:rsid w:val="0090312B"/>
    <w:rsid w:val="009031F0"/>
    <w:rsid w:val="00903C5A"/>
    <w:rsid w:val="00903D19"/>
    <w:rsid w:val="00903D1A"/>
    <w:rsid w:val="0090419F"/>
    <w:rsid w:val="009051F7"/>
    <w:rsid w:val="00905673"/>
    <w:rsid w:val="0090599E"/>
    <w:rsid w:val="00905BA3"/>
    <w:rsid w:val="00905DB3"/>
    <w:rsid w:val="00906030"/>
    <w:rsid w:val="009061D1"/>
    <w:rsid w:val="009062D2"/>
    <w:rsid w:val="009067A9"/>
    <w:rsid w:val="009067F4"/>
    <w:rsid w:val="00906A5B"/>
    <w:rsid w:val="00906D54"/>
    <w:rsid w:val="00906D68"/>
    <w:rsid w:val="00906FFF"/>
    <w:rsid w:val="009070F0"/>
    <w:rsid w:val="00907646"/>
    <w:rsid w:val="00907AB3"/>
    <w:rsid w:val="00907F05"/>
    <w:rsid w:val="00910029"/>
    <w:rsid w:val="0091073A"/>
    <w:rsid w:val="00910CEE"/>
    <w:rsid w:val="00910D49"/>
    <w:rsid w:val="009111EE"/>
    <w:rsid w:val="009113D7"/>
    <w:rsid w:val="00911A47"/>
    <w:rsid w:val="00911B31"/>
    <w:rsid w:val="00911F73"/>
    <w:rsid w:val="00911FF0"/>
    <w:rsid w:val="0091209C"/>
    <w:rsid w:val="00912262"/>
    <w:rsid w:val="0091229D"/>
    <w:rsid w:val="009125B2"/>
    <w:rsid w:val="00912618"/>
    <w:rsid w:val="0091276A"/>
    <w:rsid w:val="00912A80"/>
    <w:rsid w:val="00912FB2"/>
    <w:rsid w:val="009135BF"/>
    <w:rsid w:val="009135D0"/>
    <w:rsid w:val="0091377B"/>
    <w:rsid w:val="00913B36"/>
    <w:rsid w:val="0091418E"/>
    <w:rsid w:val="009144A0"/>
    <w:rsid w:val="00914D81"/>
    <w:rsid w:val="0091584A"/>
    <w:rsid w:val="009158B3"/>
    <w:rsid w:val="00915CB9"/>
    <w:rsid w:val="00915D00"/>
    <w:rsid w:val="00916266"/>
    <w:rsid w:val="009164C0"/>
    <w:rsid w:val="009164E9"/>
    <w:rsid w:val="00916A0C"/>
    <w:rsid w:val="0091736D"/>
    <w:rsid w:val="0091756D"/>
    <w:rsid w:val="00917574"/>
    <w:rsid w:val="00917EB3"/>
    <w:rsid w:val="00920476"/>
    <w:rsid w:val="0092075D"/>
    <w:rsid w:val="00920C8E"/>
    <w:rsid w:val="00920FF7"/>
    <w:rsid w:val="009212D9"/>
    <w:rsid w:val="0092150A"/>
    <w:rsid w:val="009215B7"/>
    <w:rsid w:val="009218FA"/>
    <w:rsid w:val="00921E6F"/>
    <w:rsid w:val="009221ED"/>
    <w:rsid w:val="0092275F"/>
    <w:rsid w:val="00923C02"/>
    <w:rsid w:val="00923DFE"/>
    <w:rsid w:val="00924320"/>
    <w:rsid w:val="009244D3"/>
    <w:rsid w:val="00924A9D"/>
    <w:rsid w:val="00924B94"/>
    <w:rsid w:val="00924D13"/>
    <w:rsid w:val="00924E6C"/>
    <w:rsid w:val="0092511A"/>
    <w:rsid w:val="0092545C"/>
    <w:rsid w:val="0092592C"/>
    <w:rsid w:val="00925E58"/>
    <w:rsid w:val="00926155"/>
    <w:rsid w:val="009267FF"/>
    <w:rsid w:val="00926944"/>
    <w:rsid w:val="00926ED7"/>
    <w:rsid w:val="00926F42"/>
    <w:rsid w:val="00926F45"/>
    <w:rsid w:val="00926F7F"/>
    <w:rsid w:val="00926FF3"/>
    <w:rsid w:val="00927418"/>
    <w:rsid w:val="00927AD0"/>
    <w:rsid w:val="00927BE8"/>
    <w:rsid w:val="0093023D"/>
    <w:rsid w:val="0093037A"/>
    <w:rsid w:val="009303AA"/>
    <w:rsid w:val="00930C2B"/>
    <w:rsid w:val="00930D41"/>
    <w:rsid w:val="00931008"/>
    <w:rsid w:val="0093104A"/>
    <w:rsid w:val="00931093"/>
    <w:rsid w:val="009317C1"/>
    <w:rsid w:val="00931E41"/>
    <w:rsid w:val="00931EFC"/>
    <w:rsid w:val="00931F9F"/>
    <w:rsid w:val="009320F6"/>
    <w:rsid w:val="00932317"/>
    <w:rsid w:val="009327BF"/>
    <w:rsid w:val="009327F9"/>
    <w:rsid w:val="00932D5E"/>
    <w:rsid w:val="00933082"/>
    <w:rsid w:val="009330C4"/>
    <w:rsid w:val="00934207"/>
    <w:rsid w:val="0093492E"/>
    <w:rsid w:val="00935161"/>
    <w:rsid w:val="009352B7"/>
    <w:rsid w:val="009355E8"/>
    <w:rsid w:val="0093616E"/>
    <w:rsid w:val="00936209"/>
    <w:rsid w:val="00936CAC"/>
    <w:rsid w:val="00936E7E"/>
    <w:rsid w:val="00937191"/>
    <w:rsid w:val="009371B6"/>
    <w:rsid w:val="0093738A"/>
    <w:rsid w:val="009376F3"/>
    <w:rsid w:val="00937E28"/>
    <w:rsid w:val="00937EAA"/>
    <w:rsid w:val="0094018F"/>
    <w:rsid w:val="00940199"/>
    <w:rsid w:val="00940221"/>
    <w:rsid w:val="00940B46"/>
    <w:rsid w:val="0094154D"/>
    <w:rsid w:val="00941579"/>
    <w:rsid w:val="00941585"/>
    <w:rsid w:val="0094163A"/>
    <w:rsid w:val="009418F0"/>
    <w:rsid w:val="00941FB9"/>
    <w:rsid w:val="0094213A"/>
    <w:rsid w:val="00942C57"/>
    <w:rsid w:val="00942FBA"/>
    <w:rsid w:val="0094338E"/>
    <w:rsid w:val="00943850"/>
    <w:rsid w:val="009447CC"/>
    <w:rsid w:val="00945152"/>
    <w:rsid w:val="00945840"/>
    <w:rsid w:val="00945ECC"/>
    <w:rsid w:val="00945F46"/>
    <w:rsid w:val="00946F60"/>
    <w:rsid w:val="0095046A"/>
    <w:rsid w:val="00950EEB"/>
    <w:rsid w:val="00950FDA"/>
    <w:rsid w:val="0095155F"/>
    <w:rsid w:val="009515D8"/>
    <w:rsid w:val="00951A04"/>
    <w:rsid w:val="00952042"/>
    <w:rsid w:val="009520C6"/>
    <w:rsid w:val="0095245D"/>
    <w:rsid w:val="0095259C"/>
    <w:rsid w:val="009529BC"/>
    <w:rsid w:val="00953206"/>
    <w:rsid w:val="009538B0"/>
    <w:rsid w:val="00953DDF"/>
    <w:rsid w:val="00953ECD"/>
    <w:rsid w:val="009540D3"/>
    <w:rsid w:val="0095429C"/>
    <w:rsid w:val="00954425"/>
    <w:rsid w:val="00954429"/>
    <w:rsid w:val="009550FE"/>
    <w:rsid w:val="00955151"/>
    <w:rsid w:val="00955801"/>
    <w:rsid w:val="009562BD"/>
    <w:rsid w:val="009563CE"/>
    <w:rsid w:val="00956658"/>
    <w:rsid w:val="009567EA"/>
    <w:rsid w:val="00956932"/>
    <w:rsid w:val="00957735"/>
    <w:rsid w:val="009577DB"/>
    <w:rsid w:val="00957888"/>
    <w:rsid w:val="0096001D"/>
    <w:rsid w:val="009600E5"/>
    <w:rsid w:val="0096058F"/>
    <w:rsid w:val="00960BEF"/>
    <w:rsid w:val="00960FBA"/>
    <w:rsid w:val="00961A59"/>
    <w:rsid w:val="00961F17"/>
    <w:rsid w:val="00962296"/>
    <w:rsid w:val="00962843"/>
    <w:rsid w:val="009628CD"/>
    <w:rsid w:val="00962B88"/>
    <w:rsid w:val="00962D30"/>
    <w:rsid w:val="00963085"/>
    <w:rsid w:val="0096347D"/>
    <w:rsid w:val="009638BD"/>
    <w:rsid w:val="009639FB"/>
    <w:rsid w:val="00963AC4"/>
    <w:rsid w:val="00963D19"/>
    <w:rsid w:val="00963D76"/>
    <w:rsid w:val="00964173"/>
    <w:rsid w:val="0096459B"/>
    <w:rsid w:val="009646AC"/>
    <w:rsid w:val="00964AF4"/>
    <w:rsid w:val="00964BDA"/>
    <w:rsid w:val="00965279"/>
    <w:rsid w:val="00965336"/>
    <w:rsid w:val="0096534C"/>
    <w:rsid w:val="00965418"/>
    <w:rsid w:val="009659B5"/>
    <w:rsid w:val="00965CC3"/>
    <w:rsid w:val="00965ED7"/>
    <w:rsid w:val="009666E9"/>
    <w:rsid w:val="00966BA2"/>
    <w:rsid w:val="00966BFE"/>
    <w:rsid w:val="00966D83"/>
    <w:rsid w:val="00967148"/>
    <w:rsid w:val="00967A55"/>
    <w:rsid w:val="00967F04"/>
    <w:rsid w:val="00970607"/>
    <w:rsid w:val="009712F2"/>
    <w:rsid w:val="009714DD"/>
    <w:rsid w:val="00971511"/>
    <w:rsid w:val="009716A1"/>
    <w:rsid w:val="0097213A"/>
    <w:rsid w:val="009725D6"/>
    <w:rsid w:val="009730F2"/>
    <w:rsid w:val="009733F3"/>
    <w:rsid w:val="00973E48"/>
    <w:rsid w:val="00974601"/>
    <w:rsid w:val="009749C6"/>
    <w:rsid w:val="009754CD"/>
    <w:rsid w:val="009756E3"/>
    <w:rsid w:val="0097603A"/>
    <w:rsid w:val="00976159"/>
    <w:rsid w:val="00976328"/>
    <w:rsid w:val="0097680D"/>
    <w:rsid w:val="00976AFA"/>
    <w:rsid w:val="009774AE"/>
    <w:rsid w:val="009778D2"/>
    <w:rsid w:val="0098075F"/>
    <w:rsid w:val="00980778"/>
    <w:rsid w:val="00980B0A"/>
    <w:rsid w:val="00980BE5"/>
    <w:rsid w:val="00980C6B"/>
    <w:rsid w:val="00980C8F"/>
    <w:rsid w:val="00980CDF"/>
    <w:rsid w:val="00980F15"/>
    <w:rsid w:val="00981407"/>
    <w:rsid w:val="00981800"/>
    <w:rsid w:val="00981D69"/>
    <w:rsid w:val="009820FF"/>
    <w:rsid w:val="0098242E"/>
    <w:rsid w:val="00982438"/>
    <w:rsid w:val="00982883"/>
    <w:rsid w:val="00982AA4"/>
    <w:rsid w:val="00982CFA"/>
    <w:rsid w:val="00983635"/>
    <w:rsid w:val="009838C0"/>
    <w:rsid w:val="0098404C"/>
    <w:rsid w:val="0098411C"/>
    <w:rsid w:val="00984181"/>
    <w:rsid w:val="00984806"/>
    <w:rsid w:val="00984A50"/>
    <w:rsid w:val="00984D9E"/>
    <w:rsid w:val="00984F29"/>
    <w:rsid w:val="00985283"/>
    <w:rsid w:val="00986D16"/>
    <w:rsid w:val="00986DCD"/>
    <w:rsid w:val="009874DC"/>
    <w:rsid w:val="009875E3"/>
    <w:rsid w:val="00987A8F"/>
    <w:rsid w:val="00987B93"/>
    <w:rsid w:val="0099017E"/>
    <w:rsid w:val="009901A2"/>
    <w:rsid w:val="00990694"/>
    <w:rsid w:val="009906FF"/>
    <w:rsid w:val="0099094D"/>
    <w:rsid w:val="00990B17"/>
    <w:rsid w:val="0099193C"/>
    <w:rsid w:val="00991BD2"/>
    <w:rsid w:val="00992D03"/>
    <w:rsid w:val="00992E1B"/>
    <w:rsid w:val="0099316F"/>
    <w:rsid w:val="00993CB0"/>
    <w:rsid w:val="00993EAA"/>
    <w:rsid w:val="0099413D"/>
    <w:rsid w:val="00994277"/>
    <w:rsid w:val="0099430E"/>
    <w:rsid w:val="00994446"/>
    <w:rsid w:val="00994DC5"/>
    <w:rsid w:val="0099512F"/>
    <w:rsid w:val="009951F4"/>
    <w:rsid w:val="00995304"/>
    <w:rsid w:val="00995992"/>
    <w:rsid w:val="00995F44"/>
    <w:rsid w:val="00996057"/>
    <w:rsid w:val="0099620B"/>
    <w:rsid w:val="00996365"/>
    <w:rsid w:val="00996560"/>
    <w:rsid w:val="0099688E"/>
    <w:rsid w:val="009971E2"/>
    <w:rsid w:val="00997FE3"/>
    <w:rsid w:val="009A00FF"/>
    <w:rsid w:val="009A03E5"/>
    <w:rsid w:val="009A067F"/>
    <w:rsid w:val="009A06A8"/>
    <w:rsid w:val="009A0EFB"/>
    <w:rsid w:val="009A0F3B"/>
    <w:rsid w:val="009A103B"/>
    <w:rsid w:val="009A194D"/>
    <w:rsid w:val="009A19E7"/>
    <w:rsid w:val="009A1BB4"/>
    <w:rsid w:val="009A1C21"/>
    <w:rsid w:val="009A229A"/>
    <w:rsid w:val="009A2628"/>
    <w:rsid w:val="009A28B1"/>
    <w:rsid w:val="009A3045"/>
    <w:rsid w:val="009A3200"/>
    <w:rsid w:val="009A32A0"/>
    <w:rsid w:val="009A33EC"/>
    <w:rsid w:val="009A3489"/>
    <w:rsid w:val="009A354C"/>
    <w:rsid w:val="009A3682"/>
    <w:rsid w:val="009A36F0"/>
    <w:rsid w:val="009A3A29"/>
    <w:rsid w:val="009A4282"/>
    <w:rsid w:val="009A46A2"/>
    <w:rsid w:val="009A4A31"/>
    <w:rsid w:val="009A4B5F"/>
    <w:rsid w:val="009A521E"/>
    <w:rsid w:val="009A5582"/>
    <w:rsid w:val="009A57D0"/>
    <w:rsid w:val="009A584B"/>
    <w:rsid w:val="009A5DF4"/>
    <w:rsid w:val="009A61D5"/>
    <w:rsid w:val="009A6217"/>
    <w:rsid w:val="009A69B8"/>
    <w:rsid w:val="009A69F6"/>
    <w:rsid w:val="009A7901"/>
    <w:rsid w:val="009A7BB9"/>
    <w:rsid w:val="009A7BEE"/>
    <w:rsid w:val="009B029A"/>
    <w:rsid w:val="009B070F"/>
    <w:rsid w:val="009B0897"/>
    <w:rsid w:val="009B0981"/>
    <w:rsid w:val="009B0D93"/>
    <w:rsid w:val="009B0E57"/>
    <w:rsid w:val="009B1056"/>
    <w:rsid w:val="009B11A5"/>
    <w:rsid w:val="009B12F8"/>
    <w:rsid w:val="009B13CD"/>
    <w:rsid w:val="009B151E"/>
    <w:rsid w:val="009B23D7"/>
    <w:rsid w:val="009B23F3"/>
    <w:rsid w:val="009B27B3"/>
    <w:rsid w:val="009B2C3F"/>
    <w:rsid w:val="009B3321"/>
    <w:rsid w:val="009B350D"/>
    <w:rsid w:val="009B372F"/>
    <w:rsid w:val="009B3B6D"/>
    <w:rsid w:val="009B400B"/>
    <w:rsid w:val="009B425E"/>
    <w:rsid w:val="009B45E0"/>
    <w:rsid w:val="009B476F"/>
    <w:rsid w:val="009B481D"/>
    <w:rsid w:val="009B4E9B"/>
    <w:rsid w:val="009B5044"/>
    <w:rsid w:val="009B50DA"/>
    <w:rsid w:val="009B53CC"/>
    <w:rsid w:val="009B5507"/>
    <w:rsid w:val="009B5630"/>
    <w:rsid w:val="009B57F8"/>
    <w:rsid w:val="009B5F59"/>
    <w:rsid w:val="009B5FEA"/>
    <w:rsid w:val="009B66D8"/>
    <w:rsid w:val="009B6C32"/>
    <w:rsid w:val="009B6DCB"/>
    <w:rsid w:val="009B78F8"/>
    <w:rsid w:val="009B7BD9"/>
    <w:rsid w:val="009B7E0A"/>
    <w:rsid w:val="009B7FF1"/>
    <w:rsid w:val="009C0620"/>
    <w:rsid w:val="009C0789"/>
    <w:rsid w:val="009C0B6D"/>
    <w:rsid w:val="009C18D9"/>
    <w:rsid w:val="009C1B4C"/>
    <w:rsid w:val="009C1ECE"/>
    <w:rsid w:val="009C2016"/>
    <w:rsid w:val="009C22E1"/>
    <w:rsid w:val="009C22E8"/>
    <w:rsid w:val="009C2679"/>
    <w:rsid w:val="009C2686"/>
    <w:rsid w:val="009C283B"/>
    <w:rsid w:val="009C291C"/>
    <w:rsid w:val="009C3708"/>
    <w:rsid w:val="009C3912"/>
    <w:rsid w:val="009C3A50"/>
    <w:rsid w:val="009C3BE2"/>
    <w:rsid w:val="009C3CF6"/>
    <w:rsid w:val="009C3D5E"/>
    <w:rsid w:val="009C3E08"/>
    <w:rsid w:val="009C45AC"/>
    <w:rsid w:val="009C479B"/>
    <w:rsid w:val="009C47E1"/>
    <w:rsid w:val="009C4B31"/>
    <w:rsid w:val="009C4B77"/>
    <w:rsid w:val="009C5097"/>
    <w:rsid w:val="009C5F81"/>
    <w:rsid w:val="009C5F97"/>
    <w:rsid w:val="009C6047"/>
    <w:rsid w:val="009C6077"/>
    <w:rsid w:val="009C628C"/>
    <w:rsid w:val="009C63CD"/>
    <w:rsid w:val="009C65BD"/>
    <w:rsid w:val="009C663B"/>
    <w:rsid w:val="009C692B"/>
    <w:rsid w:val="009C6EDE"/>
    <w:rsid w:val="009C71AD"/>
    <w:rsid w:val="009C7284"/>
    <w:rsid w:val="009C7AAF"/>
    <w:rsid w:val="009C7B4E"/>
    <w:rsid w:val="009C7DD5"/>
    <w:rsid w:val="009D099A"/>
    <w:rsid w:val="009D0CD4"/>
    <w:rsid w:val="009D135C"/>
    <w:rsid w:val="009D1433"/>
    <w:rsid w:val="009D3210"/>
    <w:rsid w:val="009D322F"/>
    <w:rsid w:val="009D32EC"/>
    <w:rsid w:val="009D38C1"/>
    <w:rsid w:val="009D39D8"/>
    <w:rsid w:val="009D3BEA"/>
    <w:rsid w:val="009D3CA5"/>
    <w:rsid w:val="009D3CD8"/>
    <w:rsid w:val="009D3D99"/>
    <w:rsid w:val="009D485C"/>
    <w:rsid w:val="009D498B"/>
    <w:rsid w:val="009D49E8"/>
    <w:rsid w:val="009D4A89"/>
    <w:rsid w:val="009D4B21"/>
    <w:rsid w:val="009D4E88"/>
    <w:rsid w:val="009D5231"/>
    <w:rsid w:val="009D528A"/>
    <w:rsid w:val="009D5432"/>
    <w:rsid w:val="009D5445"/>
    <w:rsid w:val="009D564A"/>
    <w:rsid w:val="009D5B08"/>
    <w:rsid w:val="009D5B59"/>
    <w:rsid w:val="009D5B8E"/>
    <w:rsid w:val="009D5D69"/>
    <w:rsid w:val="009D617F"/>
    <w:rsid w:val="009D6760"/>
    <w:rsid w:val="009D6851"/>
    <w:rsid w:val="009D6AB8"/>
    <w:rsid w:val="009D6B41"/>
    <w:rsid w:val="009D6DD7"/>
    <w:rsid w:val="009D6E0B"/>
    <w:rsid w:val="009D6F7D"/>
    <w:rsid w:val="009D707D"/>
    <w:rsid w:val="009D7316"/>
    <w:rsid w:val="009D774D"/>
    <w:rsid w:val="009D79BA"/>
    <w:rsid w:val="009E01AF"/>
    <w:rsid w:val="009E01DD"/>
    <w:rsid w:val="009E04B3"/>
    <w:rsid w:val="009E04DF"/>
    <w:rsid w:val="009E05F1"/>
    <w:rsid w:val="009E0882"/>
    <w:rsid w:val="009E1324"/>
    <w:rsid w:val="009E16A2"/>
    <w:rsid w:val="009E1835"/>
    <w:rsid w:val="009E18F5"/>
    <w:rsid w:val="009E1931"/>
    <w:rsid w:val="009E1FBA"/>
    <w:rsid w:val="009E227D"/>
    <w:rsid w:val="009E273C"/>
    <w:rsid w:val="009E282F"/>
    <w:rsid w:val="009E2870"/>
    <w:rsid w:val="009E2B03"/>
    <w:rsid w:val="009E2B86"/>
    <w:rsid w:val="009E2BE8"/>
    <w:rsid w:val="009E2D2B"/>
    <w:rsid w:val="009E2DC6"/>
    <w:rsid w:val="009E2DF3"/>
    <w:rsid w:val="009E36D6"/>
    <w:rsid w:val="009E3AFB"/>
    <w:rsid w:val="009E4551"/>
    <w:rsid w:val="009E49AA"/>
    <w:rsid w:val="009E4E36"/>
    <w:rsid w:val="009E4FC1"/>
    <w:rsid w:val="009E5019"/>
    <w:rsid w:val="009E5218"/>
    <w:rsid w:val="009E629F"/>
    <w:rsid w:val="009E6457"/>
    <w:rsid w:val="009E663C"/>
    <w:rsid w:val="009E6F45"/>
    <w:rsid w:val="009E7C58"/>
    <w:rsid w:val="009E7E49"/>
    <w:rsid w:val="009E7F1B"/>
    <w:rsid w:val="009F0073"/>
    <w:rsid w:val="009F0FBB"/>
    <w:rsid w:val="009F1065"/>
    <w:rsid w:val="009F1117"/>
    <w:rsid w:val="009F1140"/>
    <w:rsid w:val="009F11B0"/>
    <w:rsid w:val="009F1399"/>
    <w:rsid w:val="009F1E67"/>
    <w:rsid w:val="009F2314"/>
    <w:rsid w:val="009F232F"/>
    <w:rsid w:val="009F2662"/>
    <w:rsid w:val="009F2C13"/>
    <w:rsid w:val="009F2DAD"/>
    <w:rsid w:val="009F30C1"/>
    <w:rsid w:val="009F327E"/>
    <w:rsid w:val="009F3382"/>
    <w:rsid w:val="009F3605"/>
    <w:rsid w:val="009F3738"/>
    <w:rsid w:val="009F435A"/>
    <w:rsid w:val="009F491D"/>
    <w:rsid w:val="009F5296"/>
    <w:rsid w:val="009F5936"/>
    <w:rsid w:val="009F61FE"/>
    <w:rsid w:val="009F6A99"/>
    <w:rsid w:val="009F6ACB"/>
    <w:rsid w:val="009F73A5"/>
    <w:rsid w:val="009F7630"/>
    <w:rsid w:val="009F7BD7"/>
    <w:rsid w:val="009F7EF4"/>
    <w:rsid w:val="00A00038"/>
    <w:rsid w:val="00A003EF"/>
    <w:rsid w:val="00A00D2F"/>
    <w:rsid w:val="00A01055"/>
    <w:rsid w:val="00A0157A"/>
    <w:rsid w:val="00A020D1"/>
    <w:rsid w:val="00A020E9"/>
    <w:rsid w:val="00A02774"/>
    <w:rsid w:val="00A02988"/>
    <w:rsid w:val="00A02FAB"/>
    <w:rsid w:val="00A03497"/>
    <w:rsid w:val="00A034F0"/>
    <w:rsid w:val="00A039C1"/>
    <w:rsid w:val="00A039DD"/>
    <w:rsid w:val="00A03BB3"/>
    <w:rsid w:val="00A03DB0"/>
    <w:rsid w:val="00A03EB2"/>
    <w:rsid w:val="00A0406E"/>
    <w:rsid w:val="00A04369"/>
    <w:rsid w:val="00A047B8"/>
    <w:rsid w:val="00A049A1"/>
    <w:rsid w:val="00A04F1B"/>
    <w:rsid w:val="00A0501B"/>
    <w:rsid w:val="00A050C9"/>
    <w:rsid w:val="00A051F2"/>
    <w:rsid w:val="00A052F4"/>
    <w:rsid w:val="00A054AB"/>
    <w:rsid w:val="00A054CB"/>
    <w:rsid w:val="00A05650"/>
    <w:rsid w:val="00A05AED"/>
    <w:rsid w:val="00A05F56"/>
    <w:rsid w:val="00A06029"/>
    <w:rsid w:val="00A060A3"/>
    <w:rsid w:val="00A069A9"/>
    <w:rsid w:val="00A06A29"/>
    <w:rsid w:val="00A06DED"/>
    <w:rsid w:val="00A07D8E"/>
    <w:rsid w:val="00A07E09"/>
    <w:rsid w:val="00A1039C"/>
    <w:rsid w:val="00A10669"/>
    <w:rsid w:val="00A10A3D"/>
    <w:rsid w:val="00A10B56"/>
    <w:rsid w:val="00A10F36"/>
    <w:rsid w:val="00A114DD"/>
    <w:rsid w:val="00A115E9"/>
    <w:rsid w:val="00A11B42"/>
    <w:rsid w:val="00A11BD0"/>
    <w:rsid w:val="00A11CFB"/>
    <w:rsid w:val="00A1249A"/>
    <w:rsid w:val="00A1260C"/>
    <w:rsid w:val="00A1264C"/>
    <w:rsid w:val="00A126F9"/>
    <w:rsid w:val="00A1274D"/>
    <w:rsid w:val="00A12804"/>
    <w:rsid w:val="00A129C9"/>
    <w:rsid w:val="00A13341"/>
    <w:rsid w:val="00A13E33"/>
    <w:rsid w:val="00A13E6A"/>
    <w:rsid w:val="00A13F3E"/>
    <w:rsid w:val="00A140D3"/>
    <w:rsid w:val="00A1480A"/>
    <w:rsid w:val="00A14947"/>
    <w:rsid w:val="00A14DD4"/>
    <w:rsid w:val="00A15363"/>
    <w:rsid w:val="00A15698"/>
    <w:rsid w:val="00A1571E"/>
    <w:rsid w:val="00A15746"/>
    <w:rsid w:val="00A15BD6"/>
    <w:rsid w:val="00A15C10"/>
    <w:rsid w:val="00A15E06"/>
    <w:rsid w:val="00A15E33"/>
    <w:rsid w:val="00A16612"/>
    <w:rsid w:val="00A167A6"/>
    <w:rsid w:val="00A16B5F"/>
    <w:rsid w:val="00A17158"/>
    <w:rsid w:val="00A172E7"/>
    <w:rsid w:val="00A17676"/>
    <w:rsid w:val="00A177E7"/>
    <w:rsid w:val="00A17A96"/>
    <w:rsid w:val="00A17B6E"/>
    <w:rsid w:val="00A2015C"/>
    <w:rsid w:val="00A203D6"/>
    <w:rsid w:val="00A20628"/>
    <w:rsid w:val="00A2143F"/>
    <w:rsid w:val="00A21544"/>
    <w:rsid w:val="00A21A90"/>
    <w:rsid w:val="00A2274A"/>
    <w:rsid w:val="00A22894"/>
    <w:rsid w:val="00A22A0D"/>
    <w:rsid w:val="00A22F19"/>
    <w:rsid w:val="00A230B3"/>
    <w:rsid w:val="00A23280"/>
    <w:rsid w:val="00A2357C"/>
    <w:rsid w:val="00A23827"/>
    <w:rsid w:val="00A23C6B"/>
    <w:rsid w:val="00A23E51"/>
    <w:rsid w:val="00A24041"/>
    <w:rsid w:val="00A24F71"/>
    <w:rsid w:val="00A252DE"/>
    <w:rsid w:val="00A25596"/>
    <w:rsid w:val="00A2594C"/>
    <w:rsid w:val="00A25979"/>
    <w:rsid w:val="00A266AE"/>
    <w:rsid w:val="00A26939"/>
    <w:rsid w:val="00A26DD0"/>
    <w:rsid w:val="00A26FE3"/>
    <w:rsid w:val="00A27461"/>
    <w:rsid w:val="00A27956"/>
    <w:rsid w:val="00A27970"/>
    <w:rsid w:val="00A279C7"/>
    <w:rsid w:val="00A27A09"/>
    <w:rsid w:val="00A27E5B"/>
    <w:rsid w:val="00A302D0"/>
    <w:rsid w:val="00A303DC"/>
    <w:rsid w:val="00A30535"/>
    <w:rsid w:val="00A307EA"/>
    <w:rsid w:val="00A309E9"/>
    <w:rsid w:val="00A30E37"/>
    <w:rsid w:val="00A3122C"/>
    <w:rsid w:val="00A3154A"/>
    <w:rsid w:val="00A31918"/>
    <w:rsid w:val="00A31DF3"/>
    <w:rsid w:val="00A32440"/>
    <w:rsid w:val="00A32A83"/>
    <w:rsid w:val="00A32F18"/>
    <w:rsid w:val="00A337B1"/>
    <w:rsid w:val="00A33BDC"/>
    <w:rsid w:val="00A33DAB"/>
    <w:rsid w:val="00A343DE"/>
    <w:rsid w:val="00A349B7"/>
    <w:rsid w:val="00A351E9"/>
    <w:rsid w:val="00A359F7"/>
    <w:rsid w:val="00A35BB2"/>
    <w:rsid w:val="00A35CA1"/>
    <w:rsid w:val="00A368DB"/>
    <w:rsid w:val="00A36B3C"/>
    <w:rsid w:val="00A3789E"/>
    <w:rsid w:val="00A37965"/>
    <w:rsid w:val="00A37DBD"/>
    <w:rsid w:val="00A40224"/>
    <w:rsid w:val="00A40945"/>
    <w:rsid w:val="00A40B16"/>
    <w:rsid w:val="00A419C0"/>
    <w:rsid w:val="00A41CAB"/>
    <w:rsid w:val="00A41E76"/>
    <w:rsid w:val="00A42212"/>
    <w:rsid w:val="00A423AA"/>
    <w:rsid w:val="00A4249A"/>
    <w:rsid w:val="00A429A9"/>
    <w:rsid w:val="00A429B8"/>
    <w:rsid w:val="00A42B32"/>
    <w:rsid w:val="00A434C9"/>
    <w:rsid w:val="00A43868"/>
    <w:rsid w:val="00A43D0A"/>
    <w:rsid w:val="00A43D5B"/>
    <w:rsid w:val="00A43FF1"/>
    <w:rsid w:val="00A44049"/>
    <w:rsid w:val="00A44724"/>
    <w:rsid w:val="00A44B0A"/>
    <w:rsid w:val="00A44EE4"/>
    <w:rsid w:val="00A45374"/>
    <w:rsid w:val="00A4541D"/>
    <w:rsid w:val="00A45548"/>
    <w:rsid w:val="00A46733"/>
    <w:rsid w:val="00A467EE"/>
    <w:rsid w:val="00A468D2"/>
    <w:rsid w:val="00A46A1B"/>
    <w:rsid w:val="00A46A26"/>
    <w:rsid w:val="00A46BBD"/>
    <w:rsid w:val="00A4747C"/>
    <w:rsid w:val="00A47D52"/>
    <w:rsid w:val="00A50A66"/>
    <w:rsid w:val="00A50F1D"/>
    <w:rsid w:val="00A50FDA"/>
    <w:rsid w:val="00A51364"/>
    <w:rsid w:val="00A51A95"/>
    <w:rsid w:val="00A51CD6"/>
    <w:rsid w:val="00A51D62"/>
    <w:rsid w:val="00A51E8F"/>
    <w:rsid w:val="00A52202"/>
    <w:rsid w:val="00A5257D"/>
    <w:rsid w:val="00A52818"/>
    <w:rsid w:val="00A52CED"/>
    <w:rsid w:val="00A52D18"/>
    <w:rsid w:val="00A53BC9"/>
    <w:rsid w:val="00A53D20"/>
    <w:rsid w:val="00A53EC6"/>
    <w:rsid w:val="00A547DE"/>
    <w:rsid w:val="00A54C47"/>
    <w:rsid w:val="00A54CBD"/>
    <w:rsid w:val="00A55339"/>
    <w:rsid w:val="00A55343"/>
    <w:rsid w:val="00A55C0F"/>
    <w:rsid w:val="00A55DA0"/>
    <w:rsid w:val="00A55E6D"/>
    <w:rsid w:val="00A5609B"/>
    <w:rsid w:val="00A5677C"/>
    <w:rsid w:val="00A56B27"/>
    <w:rsid w:val="00A56B89"/>
    <w:rsid w:val="00A572FB"/>
    <w:rsid w:val="00A57566"/>
    <w:rsid w:val="00A57EBA"/>
    <w:rsid w:val="00A601C5"/>
    <w:rsid w:val="00A602AE"/>
    <w:rsid w:val="00A603BC"/>
    <w:rsid w:val="00A60C2B"/>
    <w:rsid w:val="00A612CB"/>
    <w:rsid w:val="00A61488"/>
    <w:rsid w:val="00A61D20"/>
    <w:rsid w:val="00A6202E"/>
    <w:rsid w:val="00A62033"/>
    <w:rsid w:val="00A62080"/>
    <w:rsid w:val="00A624BC"/>
    <w:rsid w:val="00A625FC"/>
    <w:rsid w:val="00A626EF"/>
    <w:rsid w:val="00A62CE7"/>
    <w:rsid w:val="00A62ED6"/>
    <w:rsid w:val="00A63218"/>
    <w:rsid w:val="00A63321"/>
    <w:rsid w:val="00A63578"/>
    <w:rsid w:val="00A637DD"/>
    <w:rsid w:val="00A64851"/>
    <w:rsid w:val="00A64ABD"/>
    <w:rsid w:val="00A64BEB"/>
    <w:rsid w:val="00A65539"/>
    <w:rsid w:val="00A65CDB"/>
    <w:rsid w:val="00A65E19"/>
    <w:rsid w:val="00A65EB3"/>
    <w:rsid w:val="00A660B2"/>
    <w:rsid w:val="00A66243"/>
    <w:rsid w:val="00A66702"/>
    <w:rsid w:val="00A66C9B"/>
    <w:rsid w:val="00A670EE"/>
    <w:rsid w:val="00A67CDB"/>
    <w:rsid w:val="00A703D6"/>
    <w:rsid w:val="00A70498"/>
    <w:rsid w:val="00A70ACD"/>
    <w:rsid w:val="00A70DC4"/>
    <w:rsid w:val="00A71277"/>
    <w:rsid w:val="00A71A35"/>
    <w:rsid w:val="00A71BA9"/>
    <w:rsid w:val="00A71C84"/>
    <w:rsid w:val="00A71D55"/>
    <w:rsid w:val="00A71D5D"/>
    <w:rsid w:val="00A72351"/>
    <w:rsid w:val="00A724F0"/>
    <w:rsid w:val="00A734D7"/>
    <w:rsid w:val="00A738AC"/>
    <w:rsid w:val="00A73AC4"/>
    <w:rsid w:val="00A73F8E"/>
    <w:rsid w:val="00A73FC3"/>
    <w:rsid w:val="00A742D0"/>
    <w:rsid w:val="00A744A9"/>
    <w:rsid w:val="00A74E84"/>
    <w:rsid w:val="00A74E90"/>
    <w:rsid w:val="00A752F1"/>
    <w:rsid w:val="00A7562F"/>
    <w:rsid w:val="00A75F84"/>
    <w:rsid w:val="00A75FA1"/>
    <w:rsid w:val="00A76451"/>
    <w:rsid w:val="00A76585"/>
    <w:rsid w:val="00A7667C"/>
    <w:rsid w:val="00A76692"/>
    <w:rsid w:val="00A76B9D"/>
    <w:rsid w:val="00A76BA4"/>
    <w:rsid w:val="00A76D2D"/>
    <w:rsid w:val="00A76EA8"/>
    <w:rsid w:val="00A774C4"/>
    <w:rsid w:val="00A777F9"/>
    <w:rsid w:val="00A779C1"/>
    <w:rsid w:val="00A77A6F"/>
    <w:rsid w:val="00A77EB0"/>
    <w:rsid w:val="00A77ECC"/>
    <w:rsid w:val="00A77F5A"/>
    <w:rsid w:val="00A80316"/>
    <w:rsid w:val="00A80431"/>
    <w:rsid w:val="00A80611"/>
    <w:rsid w:val="00A80666"/>
    <w:rsid w:val="00A8066B"/>
    <w:rsid w:val="00A808AD"/>
    <w:rsid w:val="00A80A48"/>
    <w:rsid w:val="00A80F26"/>
    <w:rsid w:val="00A810A5"/>
    <w:rsid w:val="00A81757"/>
    <w:rsid w:val="00A819F2"/>
    <w:rsid w:val="00A82153"/>
    <w:rsid w:val="00A82681"/>
    <w:rsid w:val="00A8279D"/>
    <w:rsid w:val="00A82828"/>
    <w:rsid w:val="00A828A9"/>
    <w:rsid w:val="00A82A49"/>
    <w:rsid w:val="00A82B0F"/>
    <w:rsid w:val="00A8345C"/>
    <w:rsid w:val="00A838FB"/>
    <w:rsid w:val="00A84B79"/>
    <w:rsid w:val="00A84F6A"/>
    <w:rsid w:val="00A85013"/>
    <w:rsid w:val="00A85CD4"/>
    <w:rsid w:val="00A863BC"/>
    <w:rsid w:val="00A86567"/>
    <w:rsid w:val="00A86D38"/>
    <w:rsid w:val="00A870FC"/>
    <w:rsid w:val="00A8713F"/>
    <w:rsid w:val="00A87464"/>
    <w:rsid w:val="00A87662"/>
    <w:rsid w:val="00A87931"/>
    <w:rsid w:val="00A87949"/>
    <w:rsid w:val="00A87BCA"/>
    <w:rsid w:val="00A87C82"/>
    <w:rsid w:val="00A90393"/>
    <w:rsid w:val="00A90B6D"/>
    <w:rsid w:val="00A90BA1"/>
    <w:rsid w:val="00A90E6A"/>
    <w:rsid w:val="00A90F40"/>
    <w:rsid w:val="00A910AF"/>
    <w:rsid w:val="00A91444"/>
    <w:rsid w:val="00A91A04"/>
    <w:rsid w:val="00A9248B"/>
    <w:rsid w:val="00A928EE"/>
    <w:rsid w:val="00A92A8A"/>
    <w:rsid w:val="00A92E36"/>
    <w:rsid w:val="00A93149"/>
    <w:rsid w:val="00A9363F"/>
    <w:rsid w:val="00A93A27"/>
    <w:rsid w:val="00A93AF7"/>
    <w:rsid w:val="00A93EE2"/>
    <w:rsid w:val="00A94075"/>
    <w:rsid w:val="00A9465C"/>
    <w:rsid w:val="00A94D85"/>
    <w:rsid w:val="00A95001"/>
    <w:rsid w:val="00A95052"/>
    <w:rsid w:val="00A95138"/>
    <w:rsid w:val="00A9513C"/>
    <w:rsid w:val="00A95302"/>
    <w:rsid w:val="00A958CF"/>
    <w:rsid w:val="00A95909"/>
    <w:rsid w:val="00A961F3"/>
    <w:rsid w:val="00A9667B"/>
    <w:rsid w:val="00A96706"/>
    <w:rsid w:val="00A96F62"/>
    <w:rsid w:val="00A97440"/>
    <w:rsid w:val="00A97573"/>
    <w:rsid w:val="00A977BE"/>
    <w:rsid w:val="00A97890"/>
    <w:rsid w:val="00A97A9A"/>
    <w:rsid w:val="00AA032E"/>
    <w:rsid w:val="00AA0671"/>
    <w:rsid w:val="00AA0698"/>
    <w:rsid w:val="00AA071A"/>
    <w:rsid w:val="00AA0898"/>
    <w:rsid w:val="00AA089E"/>
    <w:rsid w:val="00AA09CC"/>
    <w:rsid w:val="00AA0A44"/>
    <w:rsid w:val="00AA0EFA"/>
    <w:rsid w:val="00AA11C1"/>
    <w:rsid w:val="00AA1324"/>
    <w:rsid w:val="00AA1410"/>
    <w:rsid w:val="00AA14B9"/>
    <w:rsid w:val="00AA14D9"/>
    <w:rsid w:val="00AA1A96"/>
    <w:rsid w:val="00AA1AB6"/>
    <w:rsid w:val="00AA2487"/>
    <w:rsid w:val="00AA24BD"/>
    <w:rsid w:val="00AA2531"/>
    <w:rsid w:val="00AA25C8"/>
    <w:rsid w:val="00AA2941"/>
    <w:rsid w:val="00AA29A5"/>
    <w:rsid w:val="00AA2B07"/>
    <w:rsid w:val="00AA2DB2"/>
    <w:rsid w:val="00AA2EAF"/>
    <w:rsid w:val="00AA3373"/>
    <w:rsid w:val="00AA34A1"/>
    <w:rsid w:val="00AA3A1C"/>
    <w:rsid w:val="00AA3B23"/>
    <w:rsid w:val="00AA3C2A"/>
    <w:rsid w:val="00AA3E8C"/>
    <w:rsid w:val="00AA466A"/>
    <w:rsid w:val="00AA4686"/>
    <w:rsid w:val="00AA48A0"/>
    <w:rsid w:val="00AA4DEC"/>
    <w:rsid w:val="00AA4EFB"/>
    <w:rsid w:val="00AA4F0A"/>
    <w:rsid w:val="00AA510C"/>
    <w:rsid w:val="00AA5374"/>
    <w:rsid w:val="00AA53A5"/>
    <w:rsid w:val="00AA5487"/>
    <w:rsid w:val="00AA5B92"/>
    <w:rsid w:val="00AA5F23"/>
    <w:rsid w:val="00AA6066"/>
    <w:rsid w:val="00AA624C"/>
    <w:rsid w:val="00AA6460"/>
    <w:rsid w:val="00AA67E9"/>
    <w:rsid w:val="00AA68C8"/>
    <w:rsid w:val="00AA6A64"/>
    <w:rsid w:val="00AA6B9C"/>
    <w:rsid w:val="00AA6D40"/>
    <w:rsid w:val="00AA727C"/>
    <w:rsid w:val="00AA7985"/>
    <w:rsid w:val="00AA7AB2"/>
    <w:rsid w:val="00AA7B31"/>
    <w:rsid w:val="00AA7D06"/>
    <w:rsid w:val="00AA7D5A"/>
    <w:rsid w:val="00AA7FDF"/>
    <w:rsid w:val="00AB02A9"/>
    <w:rsid w:val="00AB033A"/>
    <w:rsid w:val="00AB04F6"/>
    <w:rsid w:val="00AB05A0"/>
    <w:rsid w:val="00AB0655"/>
    <w:rsid w:val="00AB0DA1"/>
    <w:rsid w:val="00AB13B4"/>
    <w:rsid w:val="00AB16E5"/>
    <w:rsid w:val="00AB1E09"/>
    <w:rsid w:val="00AB1FD5"/>
    <w:rsid w:val="00AB222C"/>
    <w:rsid w:val="00AB2B02"/>
    <w:rsid w:val="00AB2DEC"/>
    <w:rsid w:val="00AB2FE2"/>
    <w:rsid w:val="00AB3308"/>
    <w:rsid w:val="00AB3A23"/>
    <w:rsid w:val="00AB404B"/>
    <w:rsid w:val="00AB4295"/>
    <w:rsid w:val="00AB4611"/>
    <w:rsid w:val="00AB4AB1"/>
    <w:rsid w:val="00AB4AF8"/>
    <w:rsid w:val="00AB4D81"/>
    <w:rsid w:val="00AB4EAF"/>
    <w:rsid w:val="00AB4FAD"/>
    <w:rsid w:val="00AB5321"/>
    <w:rsid w:val="00AB5330"/>
    <w:rsid w:val="00AB5981"/>
    <w:rsid w:val="00AB5A33"/>
    <w:rsid w:val="00AB5B3A"/>
    <w:rsid w:val="00AB611C"/>
    <w:rsid w:val="00AB62CF"/>
    <w:rsid w:val="00AB65D9"/>
    <w:rsid w:val="00AB7747"/>
    <w:rsid w:val="00AB7CFD"/>
    <w:rsid w:val="00AB7FED"/>
    <w:rsid w:val="00AC0909"/>
    <w:rsid w:val="00AC0B58"/>
    <w:rsid w:val="00AC0D26"/>
    <w:rsid w:val="00AC13C1"/>
    <w:rsid w:val="00AC14CE"/>
    <w:rsid w:val="00AC16E3"/>
    <w:rsid w:val="00AC1878"/>
    <w:rsid w:val="00AC18E6"/>
    <w:rsid w:val="00AC1B3F"/>
    <w:rsid w:val="00AC232E"/>
    <w:rsid w:val="00AC2467"/>
    <w:rsid w:val="00AC2475"/>
    <w:rsid w:val="00AC256A"/>
    <w:rsid w:val="00AC26D2"/>
    <w:rsid w:val="00AC2A56"/>
    <w:rsid w:val="00AC2B3A"/>
    <w:rsid w:val="00AC2B74"/>
    <w:rsid w:val="00AC3091"/>
    <w:rsid w:val="00AC3387"/>
    <w:rsid w:val="00AC379A"/>
    <w:rsid w:val="00AC4015"/>
    <w:rsid w:val="00AC53A5"/>
    <w:rsid w:val="00AC5435"/>
    <w:rsid w:val="00AC5510"/>
    <w:rsid w:val="00AC57F4"/>
    <w:rsid w:val="00AC596B"/>
    <w:rsid w:val="00AC5AFB"/>
    <w:rsid w:val="00AC5C59"/>
    <w:rsid w:val="00AC5DA0"/>
    <w:rsid w:val="00AC680F"/>
    <w:rsid w:val="00AC6A16"/>
    <w:rsid w:val="00AC6F70"/>
    <w:rsid w:val="00AC7008"/>
    <w:rsid w:val="00AC7323"/>
    <w:rsid w:val="00AC7580"/>
    <w:rsid w:val="00AC7AC6"/>
    <w:rsid w:val="00AC7D4B"/>
    <w:rsid w:val="00AC7FDA"/>
    <w:rsid w:val="00AD055E"/>
    <w:rsid w:val="00AD08E1"/>
    <w:rsid w:val="00AD0B27"/>
    <w:rsid w:val="00AD0D02"/>
    <w:rsid w:val="00AD16F6"/>
    <w:rsid w:val="00AD1958"/>
    <w:rsid w:val="00AD1B47"/>
    <w:rsid w:val="00AD1FE5"/>
    <w:rsid w:val="00AD2260"/>
    <w:rsid w:val="00AD26B2"/>
    <w:rsid w:val="00AD2851"/>
    <w:rsid w:val="00AD2B58"/>
    <w:rsid w:val="00AD32BF"/>
    <w:rsid w:val="00AD3438"/>
    <w:rsid w:val="00AD42BF"/>
    <w:rsid w:val="00AD43D5"/>
    <w:rsid w:val="00AD464B"/>
    <w:rsid w:val="00AD46A5"/>
    <w:rsid w:val="00AD47A7"/>
    <w:rsid w:val="00AD4D3E"/>
    <w:rsid w:val="00AD5001"/>
    <w:rsid w:val="00AD6430"/>
    <w:rsid w:val="00AD6468"/>
    <w:rsid w:val="00AD6AE4"/>
    <w:rsid w:val="00AD6CD4"/>
    <w:rsid w:val="00AD6D8F"/>
    <w:rsid w:val="00AD7AC2"/>
    <w:rsid w:val="00AD7DDE"/>
    <w:rsid w:val="00AD7E43"/>
    <w:rsid w:val="00AE0016"/>
    <w:rsid w:val="00AE0063"/>
    <w:rsid w:val="00AE03B1"/>
    <w:rsid w:val="00AE05ED"/>
    <w:rsid w:val="00AE0823"/>
    <w:rsid w:val="00AE09E1"/>
    <w:rsid w:val="00AE0E6B"/>
    <w:rsid w:val="00AE0F7C"/>
    <w:rsid w:val="00AE1018"/>
    <w:rsid w:val="00AE1694"/>
    <w:rsid w:val="00AE1756"/>
    <w:rsid w:val="00AE1925"/>
    <w:rsid w:val="00AE1D41"/>
    <w:rsid w:val="00AE1F5D"/>
    <w:rsid w:val="00AE2630"/>
    <w:rsid w:val="00AE264D"/>
    <w:rsid w:val="00AE2974"/>
    <w:rsid w:val="00AE2C59"/>
    <w:rsid w:val="00AE2D31"/>
    <w:rsid w:val="00AE3910"/>
    <w:rsid w:val="00AE3BE5"/>
    <w:rsid w:val="00AE3E1E"/>
    <w:rsid w:val="00AE42C3"/>
    <w:rsid w:val="00AE4430"/>
    <w:rsid w:val="00AE4C9D"/>
    <w:rsid w:val="00AE4CB8"/>
    <w:rsid w:val="00AE53BB"/>
    <w:rsid w:val="00AE5889"/>
    <w:rsid w:val="00AE5B23"/>
    <w:rsid w:val="00AE5B90"/>
    <w:rsid w:val="00AE5DED"/>
    <w:rsid w:val="00AE5FBB"/>
    <w:rsid w:val="00AE61C8"/>
    <w:rsid w:val="00AE6240"/>
    <w:rsid w:val="00AE62A0"/>
    <w:rsid w:val="00AE6932"/>
    <w:rsid w:val="00AE6967"/>
    <w:rsid w:val="00AE75F6"/>
    <w:rsid w:val="00AE75FA"/>
    <w:rsid w:val="00AF0B64"/>
    <w:rsid w:val="00AF0CBF"/>
    <w:rsid w:val="00AF0D81"/>
    <w:rsid w:val="00AF1219"/>
    <w:rsid w:val="00AF122B"/>
    <w:rsid w:val="00AF12F5"/>
    <w:rsid w:val="00AF15FF"/>
    <w:rsid w:val="00AF257F"/>
    <w:rsid w:val="00AF27F5"/>
    <w:rsid w:val="00AF2A89"/>
    <w:rsid w:val="00AF2C0D"/>
    <w:rsid w:val="00AF2C15"/>
    <w:rsid w:val="00AF3183"/>
    <w:rsid w:val="00AF32B0"/>
    <w:rsid w:val="00AF33CF"/>
    <w:rsid w:val="00AF3463"/>
    <w:rsid w:val="00AF3745"/>
    <w:rsid w:val="00AF3B20"/>
    <w:rsid w:val="00AF3BB0"/>
    <w:rsid w:val="00AF3EAF"/>
    <w:rsid w:val="00AF4795"/>
    <w:rsid w:val="00AF480C"/>
    <w:rsid w:val="00AF4AEF"/>
    <w:rsid w:val="00AF4AFC"/>
    <w:rsid w:val="00AF4D50"/>
    <w:rsid w:val="00AF4D7C"/>
    <w:rsid w:val="00AF4F06"/>
    <w:rsid w:val="00AF5351"/>
    <w:rsid w:val="00AF5E5A"/>
    <w:rsid w:val="00AF6179"/>
    <w:rsid w:val="00AF6192"/>
    <w:rsid w:val="00AF61B7"/>
    <w:rsid w:val="00AF6371"/>
    <w:rsid w:val="00AF6B2D"/>
    <w:rsid w:val="00AF6DB1"/>
    <w:rsid w:val="00AF706B"/>
    <w:rsid w:val="00AF7468"/>
    <w:rsid w:val="00AF7AD8"/>
    <w:rsid w:val="00AF7FB7"/>
    <w:rsid w:val="00B004CE"/>
    <w:rsid w:val="00B0077F"/>
    <w:rsid w:val="00B00A41"/>
    <w:rsid w:val="00B00F82"/>
    <w:rsid w:val="00B01006"/>
    <w:rsid w:val="00B013B2"/>
    <w:rsid w:val="00B01849"/>
    <w:rsid w:val="00B01921"/>
    <w:rsid w:val="00B01982"/>
    <w:rsid w:val="00B01C89"/>
    <w:rsid w:val="00B02064"/>
    <w:rsid w:val="00B02149"/>
    <w:rsid w:val="00B0243B"/>
    <w:rsid w:val="00B02DDD"/>
    <w:rsid w:val="00B02E24"/>
    <w:rsid w:val="00B034A0"/>
    <w:rsid w:val="00B04A50"/>
    <w:rsid w:val="00B05393"/>
    <w:rsid w:val="00B0544B"/>
    <w:rsid w:val="00B0562E"/>
    <w:rsid w:val="00B058E9"/>
    <w:rsid w:val="00B05A34"/>
    <w:rsid w:val="00B05FD1"/>
    <w:rsid w:val="00B06B13"/>
    <w:rsid w:val="00B07261"/>
    <w:rsid w:val="00B0730B"/>
    <w:rsid w:val="00B07487"/>
    <w:rsid w:val="00B07A95"/>
    <w:rsid w:val="00B07D0C"/>
    <w:rsid w:val="00B07D80"/>
    <w:rsid w:val="00B10B99"/>
    <w:rsid w:val="00B115A4"/>
    <w:rsid w:val="00B1163A"/>
    <w:rsid w:val="00B12318"/>
    <w:rsid w:val="00B12353"/>
    <w:rsid w:val="00B12688"/>
    <w:rsid w:val="00B12810"/>
    <w:rsid w:val="00B1295A"/>
    <w:rsid w:val="00B12D84"/>
    <w:rsid w:val="00B12F23"/>
    <w:rsid w:val="00B13139"/>
    <w:rsid w:val="00B133CF"/>
    <w:rsid w:val="00B13403"/>
    <w:rsid w:val="00B1372C"/>
    <w:rsid w:val="00B138D0"/>
    <w:rsid w:val="00B139A2"/>
    <w:rsid w:val="00B13A68"/>
    <w:rsid w:val="00B13CED"/>
    <w:rsid w:val="00B1404F"/>
    <w:rsid w:val="00B1406D"/>
    <w:rsid w:val="00B144D2"/>
    <w:rsid w:val="00B14771"/>
    <w:rsid w:val="00B14F70"/>
    <w:rsid w:val="00B15BDA"/>
    <w:rsid w:val="00B15CED"/>
    <w:rsid w:val="00B161C6"/>
    <w:rsid w:val="00B1622A"/>
    <w:rsid w:val="00B163AA"/>
    <w:rsid w:val="00B16A97"/>
    <w:rsid w:val="00B176F5"/>
    <w:rsid w:val="00B17887"/>
    <w:rsid w:val="00B178A0"/>
    <w:rsid w:val="00B17A12"/>
    <w:rsid w:val="00B17E9B"/>
    <w:rsid w:val="00B202B9"/>
    <w:rsid w:val="00B2074B"/>
    <w:rsid w:val="00B20A45"/>
    <w:rsid w:val="00B20A82"/>
    <w:rsid w:val="00B213FA"/>
    <w:rsid w:val="00B215DA"/>
    <w:rsid w:val="00B2160F"/>
    <w:rsid w:val="00B21CC1"/>
    <w:rsid w:val="00B21DFA"/>
    <w:rsid w:val="00B222D3"/>
    <w:rsid w:val="00B2288B"/>
    <w:rsid w:val="00B22C5C"/>
    <w:rsid w:val="00B22D8A"/>
    <w:rsid w:val="00B235D6"/>
    <w:rsid w:val="00B23635"/>
    <w:rsid w:val="00B23CA0"/>
    <w:rsid w:val="00B24147"/>
    <w:rsid w:val="00B2419D"/>
    <w:rsid w:val="00B243C3"/>
    <w:rsid w:val="00B245BD"/>
    <w:rsid w:val="00B2478B"/>
    <w:rsid w:val="00B248EB"/>
    <w:rsid w:val="00B2493A"/>
    <w:rsid w:val="00B24A22"/>
    <w:rsid w:val="00B24C2B"/>
    <w:rsid w:val="00B24F30"/>
    <w:rsid w:val="00B2521B"/>
    <w:rsid w:val="00B257D7"/>
    <w:rsid w:val="00B25837"/>
    <w:rsid w:val="00B25981"/>
    <w:rsid w:val="00B25A59"/>
    <w:rsid w:val="00B263AA"/>
    <w:rsid w:val="00B26438"/>
    <w:rsid w:val="00B26493"/>
    <w:rsid w:val="00B26A04"/>
    <w:rsid w:val="00B26FD7"/>
    <w:rsid w:val="00B271DF"/>
    <w:rsid w:val="00B27348"/>
    <w:rsid w:val="00B27671"/>
    <w:rsid w:val="00B277E4"/>
    <w:rsid w:val="00B27A8A"/>
    <w:rsid w:val="00B27C2D"/>
    <w:rsid w:val="00B30AD6"/>
    <w:rsid w:val="00B30FB8"/>
    <w:rsid w:val="00B311AA"/>
    <w:rsid w:val="00B3179A"/>
    <w:rsid w:val="00B31ABF"/>
    <w:rsid w:val="00B31BFB"/>
    <w:rsid w:val="00B32245"/>
    <w:rsid w:val="00B325F9"/>
    <w:rsid w:val="00B328B5"/>
    <w:rsid w:val="00B32DBE"/>
    <w:rsid w:val="00B33159"/>
    <w:rsid w:val="00B3328B"/>
    <w:rsid w:val="00B3388C"/>
    <w:rsid w:val="00B33990"/>
    <w:rsid w:val="00B339E3"/>
    <w:rsid w:val="00B33BC0"/>
    <w:rsid w:val="00B33BE3"/>
    <w:rsid w:val="00B33EA4"/>
    <w:rsid w:val="00B33EE8"/>
    <w:rsid w:val="00B34000"/>
    <w:rsid w:val="00B34013"/>
    <w:rsid w:val="00B3439A"/>
    <w:rsid w:val="00B343AC"/>
    <w:rsid w:val="00B34D9A"/>
    <w:rsid w:val="00B34F81"/>
    <w:rsid w:val="00B3559F"/>
    <w:rsid w:val="00B35772"/>
    <w:rsid w:val="00B35880"/>
    <w:rsid w:val="00B359E1"/>
    <w:rsid w:val="00B36262"/>
    <w:rsid w:val="00B36352"/>
    <w:rsid w:val="00B365FB"/>
    <w:rsid w:val="00B3695E"/>
    <w:rsid w:val="00B369CF"/>
    <w:rsid w:val="00B36BD4"/>
    <w:rsid w:val="00B36CAC"/>
    <w:rsid w:val="00B36F7F"/>
    <w:rsid w:val="00B36FF2"/>
    <w:rsid w:val="00B3794F"/>
    <w:rsid w:val="00B37961"/>
    <w:rsid w:val="00B379AC"/>
    <w:rsid w:val="00B37D95"/>
    <w:rsid w:val="00B40ADC"/>
    <w:rsid w:val="00B40E15"/>
    <w:rsid w:val="00B40EBD"/>
    <w:rsid w:val="00B4141D"/>
    <w:rsid w:val="00B41448"/>
    <w:rsid w:val="00B41BB2"/>
    <w:rsid w:val="00B41EEF"/>
    <w:rsid w:val="00B41F31"/>
    <w:rsid w:val="00B42023"/>
    <w:rsid w:val="00B4255C"/>
    <w:rsid w:val="00B42A9E"/>
    <w:rsid w:val="00B43073"/>
    <w:rsid w:val="00B433EC"/>
    <w:rsid w:val="00B43BE5"/>
    <w:rsid w:val="00B43D5C"/>
    <w:rsid w:val="00B43F13"/>
    <w:rsid w:val="00B43F33"/>
    <w:rsid w:val="00B44242"/>
    <w:rsid w:val="00B442D2"/>
    <w:rsid w:val="00B44657"/>
    <w:rsid w:val="00B448F5"/>
    <w:rsid w:val="00B4494D"/>
    <w:rsid w:val="00B44992"/>
    <w:rsid w:val="00B44D7E"/>
    <w:rsid w:val="00B45289"/>
    <w:rsid w:val="00B457FA"/>
    <w:rsid w:val="00B45CD9"/>
    <w:rsid w:val="00B45ED0"/>
    <w:rsid w:val="00B46010"/>
    <w:rsid w:val="00B463A1"/>
    <w:rsid w:val="00B46601"/>
    <w:rsid w:val="00B46DB7"/>
    <w:rsid w:val="00B471B7"/>
    <w:rsid w:val="00B471C1"/>
    <w:rsid w:val="00B472AF"/>
    <w:rsid w:val="00B4769B"/>
    <w:rsid w:val="00B477AC"/>
    <w:rsid w:val="00B47853"/>
    <w:rsid w:val="00B478FB"/>
    <w:rsid w:val="00B479F9"/>
    <w:rsid w:val="00B47BF1"/>
    <w:rsid w:val="00B5040F"/>
    <w:rsid w:val="00B50565"/>
    <w:rsid w:val="00B50700"/>
    <w:rsid w:val="00B50743"/>
    <w:rsid w:val="00B50BC3"/>
    <w:rsid w:val="00B50E26"/>
    <w:rsid w:val="00B50E6D"/>
    <w:rsid w:val="00B50EFA"/>
    <w:rsid w:val="00B516E4"/>
    <w:rsid w:val="00B51A55"/>
    <w:rsid w:val="00B51BCB"/>
    <w:rsid w:val="00B51DAE"/>
    <w:rsid w:val="00B51F65"/>
    <w:rsid w:val="00B52003"/>
    <w:rsid w:val="00B5262F"/>
    <w:rsid w:val="00B52AD9"/>
    <w:rsid w:val="00B52B67"/>
    <w:rsid w:val="00B5349D"/>
    <w:rsid w:val="00B534B7"/>
    <w:rsid w:val="00B53707"/>
    <w:rsid w:val="00B539A8"/>
    <w:rsid w:val="00B53B5D"/>
    <w:rsid w:val="00B53DDE"/>
    <w:rsid w:val="00B54058"/>
    <w:rsid w:val="00B54751"/>
    <w:rsid w:val="00B54E42"/>
    <w:rsid w:val="00B54E76"/>
    <w:rsid w:val="00B54FEA"/>
    <w:rsid w:val="00B550BB"/>
    <w:rsid w:val="00B55434"/>
    <w:rsid w:val="00B5547A"/>
    <w:rsid w:val="00B555FE"/>
    <w:rsid w:val="00B55621"/>
    <w:rsid w:val="00B556F3"/>
    <w:rsid w:val="00B55C91"/>
    <w:rsid w:val="00B55EFC"/>
    <w:rsid w:val="00B563C2"/>
    <w:rsid w:val="00B56E55"/>
    <w:rsid w:val="00B57133"/>
    <w:rsid w:val="00B5799D"/>
    <w:rsid w:val="00B57AE1"/>
    <w:rsid w:val="00B57FBD"/>
    <w:rsid w:val="00B60055"/>
    <w:rsid w:val="00B6032D"/>
    <w:rsid w:val="00B6055E"/>
    <w:rsid w:val="00B6058A"/>
    <w:rsid w:val="00B605E2"/>
    <w:rsid w:val="00B60CDB"/>
    <w:rsid w:val="00B61774"/>
    <w:rsid w:val="00B61942"/>
    <w:rsid w:val="00B61D5E"/>
    <w:rsid w:val="00B61E83"/>
    <w:rsid w:val="00B62A77"/>
    <w:rsid w:val="00B62BD1"/>
    <w:rsid w:val="00B62CA9"/>
    <w:rsid w:val="00B62D5B"/>
    <w:rsid w:val="00B6317D"/>
    <w:rsid w:val="00B632C5"/>
    <w:rsid w:val="00B635D6"/>
    <w:rsid w:val="00B638DD"/>
    <w:rsid w:val="00B63FF4"/>
    <w:rsid w:val="00B64268"/>
    <w:rsid w:val="00B64335"/>
    <w:rsid w:val="00B64339"/>
    <w:rsid w:val="00B6452D"/>
    <w:rsid w:val="00B64DAF"/>
    <w:rsid w:val="00B650F5"/>
    <w:rsid w:val="00B655B9"/>
    <w:rsid w:val="00B66163"/>
    <w:rsid w:val="00B66DA5"/>
    <w:rsid w:val="00B6716D"/>
    <w:rsid w:val="00B67203"/>
    <w:rsid w:val="00B67C20"/>
    <w:rsid w:val="00B67DF7"/>
    <w:rsid w:val="00B7002A"/>
    <w:rsid w:val="00B704FF"/>
    <w:rsid w:val="00B705BC"/>
    <w:rsid w:val="00B707E0"/>
    <w:rsid w:val="00B70E28"/>
    <w:rsid w:val="00B711A4"/>
    <w:rsid w:val="00B7122C"/>
    <w:rsid w:val="00B714F0"/>
    <w:rsid w:val="00B7182A"/>
    <w:rsid w:val="00B71AA2"/>
    <w:rsid w:val="00B71BC1"/>
    <w:rsid w:val="00B71E68"/>
    <w:rsid w:val="00B723F1"/>
    <w:rsid w:val="00B72726"/>
    <w:rsid w:val="00B72957"/>
    <w:rsid w:val="00B72B57"/>
    <w:rsid w:val="00B74564"/>
    <w:rsid w:val="00B74B81"/>
    <w:rsid w:val="00B74C9C"/>
    <w:rsid w:val="00B75A14"/>
    <w:rsid w:val="00B75D83"/>
    <w:rsid w:val="00B75DAD"/>
    <w:rsid w:val="00B75F02"/>
    <w:rsid w:val="00B76315"/>
    <w:rsid w:val="00B76528"/>
    <w:rsid w:val="00B76A94"/>
    <w:rsid w:val="00B76AB3"/>
    <w:rsid w:val="00B76C92"/>
    <w:rsid w:val="00B76CAF"/>
    <w:rsid w:val="00B76D51"/>
    <w:rsid w:val="00B7723F"/>
    <w:rsid w:val="00B80534"/>
    <w:rsid w:val="00B80C16"/>
    <w:rsid w:val="00B80FF1"/>
    <w:rsid w:val="00B81785"/>
    <w:rsid w:val="00B817A2"/>
    <w:rsid w:val="00B81A30"/>
    <w:rsid w:val="00B8208C"/>
    <w:rsid w:val="00B825E5"/>
    <w:rsid w:val="00B82ADE"/>
    <w:rsid w:val="00B82F71"/>
    <w:rsid w:val="00B8305F"/>
    <w:rsid w:val="00B83165"/>
    <w:rsid w:val="00B837FF"/>
    <w:rsid w:val="00B83894"/>
    <w:rsid w:val="00B83953"/>
    <w:rsid w:val="00B83B5F"/>
    <w:rsid w:val="00B8433C"/>
    <w:rsid w:val="00B84913"/>
    <w:rsid w:val="00B8499D"/>
    <w:rsid w:val="00B84D9B"/>
    <w:rsid w:val="00B855C8"/>
    <w:rsid w:val="00B85AEE"/>
    <w:rsid w:val="00B85C50"/>
    <w:rsid w:val="00B867DE"/>
    <w:rsid w:val="00B86B60"/>
    <w:rsid w:val="00B86D85"/>
    <w:rsid w:val="00B86E21"/>
    <w:rsid w:val="00B8727A"/>
    <w:rsid w:val="00B8731C"/>
    <w:rsid w:val="00B8732E"/>
    <w:rsid w:val="00B87491"/>
    <w:rsid w:val="00B87535"/>
    <w:rsid w:val="00B90C9D"/>
    <w:rsid w:val="00B90F5F"/>
    <w:rsid w:val="00B9100D"/>
    <w:rsid w:val="00B9135A"/>
    <w:rsid w:val="00B9194C"/>
    <w:rsid w:val="00B91F50"/>
    <w:rsid w:val="00B920D7"/>
    <w:rsid w:val="00B9215A"/>
    <w:rsid w:val="00B92994"/>
    <w:rsid w:val="00B92B6B"/>
    <w:rsid w:val="00B92F7D"/>
    <w:rsid w:val="00B92FA1"/>
    <w:rsid w:val="00B9360C"/>
    <w:rsid w:val="00B9377C"/>
    <w:rsid w:val="00B93CA7"/>
    <w:rsid w:val="00B94199"/>
    <w:rsid w:val="00B94458"/>
    <w:rsid w:val="00B94476"/>
    <w:rsid w:val="00B946C0"/>
    <w:rsid w:val="00B94773"/>
    <w:rsid w:val="00B947C0"/>
    <w:rsid w:val="00B949AD"/>
    <w:rsid w:val="00B94EB8"/>
    <w:rsid w:val="00B94F5D"/>
    <w:rsid w:val="00B95192"/>
    <w:rsid w:val="00B9598B"/>
    <w:rsid w:val="00B95F5B"/>
    <w:rsid w:val="00B96625"/>
    <w:rsid w:val="00B96C2F"/>
    <w:rsid w:val="00B96CFC"/>
    <w:rsid w:val="00B96D1B"/>
    <w:rsid w:val="00B96F69"/>
    <w:rsid w:val="00B9703A"/>
    <w:rsid w:val="00B97067"/>
    <w:rsid w:val="00B97127"/>
    <w:rsid w:val="00B971E8"/>
    <w:rsid w:val="00B9770C"/>
    <w:rsid w:val="00B97C78"/>
    <w:rsid w:val="00BA025E"/>
    <w:rsid w:val="00BA0DCF"/>
    <w:rsid w:val="00BA1F7E"/>
    <w:rsid w:val="00BA26A1"/>
    <w:rsid w:val="00BA27A2"/>
    <w:rsid w:val="00BA29E9"/>
    <w:rsid w:val="00BA2C4B"/>
    <w:rsid w:val="00BA3AB5"/>
    <w:rsid w:val="00BA4363"/>
    <w:rsid w:val="00BA45B4"/>
    <w:rsid w:val="00BA4B91"/>
    <w:rsid w:val="00BA5287"/>
    <w:rsid w:val="00BA5499"/>
    <w:rsid w:val="00BA54C8"/>
    <w:rsid w:val="00BA5D9D"/>
    <w:rsid w:val="00BA6AB1"/>
    <w:rsid w:val="00BA6ADB"/>
    <w:rsid w:val="00BA6B7B"/>
    <w:rsid w:val="00BA7142"/>
    <w:rsid w:val="00BA77F1"/>
    <w:rsid w:val="00BA7B64"/>
    <w:rsid w:val="00BA7CAF"/>
    <w:rsid w:val="00BB07EF"/>
    <w:rsid w:val="00BB0CD0"/>
    <w:rsid w:val="00BB0E82"/>
    <w:rsid w:val="00BB15D4"/>
    <w:rsid w:val="00BB17F7"/>
    <w:rsid w:val="00BB18AE"/>
    <w:rsid w:val="00BB1EF9"/>
    <w:rsid w:val="00BB1F76"/>
    <w:rsid w:val="00BB213A"/>
    <w:rsid w:val="00BB21A6"/>
    <w:rsid w:val="00BB237C"/>
    <w:rsid w:val="00BB2549"/>
    <w:rsid w:val="00BB2557"/>
    <w:rsid w:val="00BB28B4"/>
    <w:rsid w:val="00BB2928"/>
    <w:rsid w:val="00BB2B97"/>
    <w:rsid w:val="00BB30AA"/>
    <w:rsid w:val="00BB30BA"/>
    <w:rsid w:val="00BB3168"/>
    <w:rsid w:val="00BB316B"/>
    <w:rsid w:val="00BB39D5"/>
    <w:rsid w:val="00BB3A1C"/>
    <w:rsid w:val="00BB3C44"/>
    <w:rsid w:val="00BB41A3"/>
    <w:rsid w:val="00BB427D"/>
    <w:rsid w:val="00BB43BA"/>
    <w:rsid w:val="00BB441F"/>
    <w:rsid w:val="00BB5020"/>
    <w:rsid w:val="00BB57DA"/>
    <w:rsid w:val="00BB581B"/>
    <w:rsid w:val="00BB592E"/>
    <w:rsid w:val="00BB5CE7"/>
    <w:rsid w:val="00BB5DBF"/>
    <w:rsid w:val="00BB6048"/>
    <w:rsid w:val="00BB655E"/>
    <w:rsid w:val="00BB7118"/>
    <w:rsid w:val="00BB71A8"/>
    <w:rsid w:val="00BB77F5"/>
    <w:rsid w:val="00BB781F"/>
    <w:rsid w:val="00BB7864"/>
    <w:rsid w:val="00BB78FD"/>
    <w:rsid w:val="00BB7994"/>
    <w:rsid w:val="00BB7EB5"/>
    <w:rsid w:val="00BC0718"/>
    <w:rsid w:val="00BC07F1"/>
    <w:rsid w:val="00BC14C7"/>
    <w:rsid w:val="00BC1EAB"/>
    <w:rsid w:val="00BC215D"/>
    <w:rsid w:val="00BC2166"/>
    <w:rsid w:val="00BC218D"/>
    <w:rsid w:val="00BC21CD"/>
    <w:rsid w:val="00BC252B"/>
    <w:rsid w:val="00BC262D"/>
    <w:rsid w:val="00BC3255"/>
    <w:rsid w:val="00BC32DC"/>
    <w:rsid w:val="00BC35B6"/>
    <w:rsid w:val="00BC3ED9"/>
    <w:rsid w:val="00BC49EF"/>
    <w:rsid w:val="00BC4A8D"/>
    <w:rsid w:val="00BC4BD3"/>
    <w:rsid w:val="00BC4D0C"/>
    <w:rsid w:val="00BC4D87"/>
    <w:rsid w:val="00BC4DB7"/>
    <w:rsid w:val="00BC5006"/>
    <w:rsid w:val="00BC581B"/>
    <w:rsid w:val="00BC5B03"/>
    <w:rsid w:val="00BC5EDE"/>
    <w:rsid w:val="00BC613A"/>
    <w:rsid w:val="00BC6C97"/>
    <w:rsid w:val="00BC6CC3"/>
    <w:rsid w:val="00BC6D05"/>
    <w:rsid w:val="00BC710A"/>
    <w:rsid w:val="00BC716A"/>
    <w:rsid w:val="00BC734F"/>
    <w:rsid w:val="00BC78F0"/>
    <w:rsid w:val="00BC7947"/>
    <w:rsid w:val="00BC7FAD"/>
    <w:rsid w:val="00BD01FF"/>
    <w:rsid w:val="00BD0437"/>
    <w:rsid w:val="00BD049D"/>
    <w:rsid w:val="00BD04E2"/>
    <w:rsid w:val="00BD0900"/>
    <w:rsid w:val="00BD09D2"/>
    <w:rsid w:val="00BD0C8D"/>
    <w:rsid w:val="00BD0EC4"/>
    <w:rsid w:val="00BD1159"/>
    <w:rsid w:val="00BD1751"/>
    <w:rsid w:val="00BD1B51"/>
    <w:rsid w:val="00BD1B99"/>
    <w:rsid w:val="00BD1C0D"/>
    <w:rsid w:val="00BD22AA"/>
    <w:rsid w:val="00BD28B8"/>
    <w:rsid w:val="00BD2B30"/>
    <w:rsid w:val="00BD2F9F"/>
    <w:rsid w:val="00BD300A"/>
    <w:rsid w:val="00BD33AA"/>
    <w:rsid w:val="00BD3631"/>
    <w:rsid w:val="00BD36F1"/>
    <w:rsid w:val="00BD4158"/>
    <w:rsid w:val="00BD4323"/>
    <w:rsid w:val="00BD4596"/>
    <w:rsid w:val="00BD4615"/>
    <w:rsid w:val="00BD466B"/>
    <w:rsid w:val="00BD4B57"/>
    <w:rsid w:val="00BD4CB6"/>
    <w:rsid w:val="00BD5157"/>
    <w:rsid w:val="00BD5F09"/>
    <w:rsid w:val="00BD5FB7"/>
    <w:rsid w:val="00BD6431"/>
    <w:rsid w:val="00BD65F8"/>
    <w:rsid w:val="00BD66D0"/>
    <w:rsid w:val="00BD7231"/>
    <w:rsid w:val="00BD75EF"/>
    <w:rsid w:val="00BD7BBB"/>
    <w:rsid w:val="00BD7C94"/>
    <w:rsid w:val="00BD7CD9"/>
    <w:rsid w:val="00BD7E4A"/>
    <w:rsid w:val="00BE075B"/>
    <w:rsid w:val="00BE0D87"/>
    <w:rsid w:val="00BE1405"/>
    <w:rsid w:val="00BE158A"/>
    <w:rsid w:val="00BE1A01"/>
    <w:rsid w:val="00BE1DDE"/>
    <w:rsid w:val="00BE2485"/>
    <w:rsid w:val="00BE25E2"/>
    <w:rsid w:val="00BE271E"/>
    <w:rsid w:val="00BE2B0C"/>
    <w:rsid w:val="00BE2B9B"/>
    <w:rsid w:val="00BE2D23"/>
    <w:rsid w:val="00BE2FAB"/>
    <w:rsid w:val="00BE312D"/>
    <w:rsid w:val="00BE31F0"/>
    <w:rsid w:val="00BE3327"/>
    <w:rsid w:val="00BE3546"/>
    <w:rsid w:val="00BE384F"/>
    <w:rsid w:val="00BE3F15"/>
    <w:rsid w:val="00BE4365"/>
    <w:rsid w:val="00BE4981"/>
    <w:rsid w:val="00BE4F32"/>
    <w:rsid w:val="00BE52A8"/>
    <w:rsid w:val="00BE537A"/>
    <w:rsid w:val="00BE53C9"/>
    <w:rsid w:val="00BE5634"/>
    <w:rsid w:val="00BE5F4E"/>
    <w:rsid w:val="00BE5F7D"/>
    <w:rsid w:val="00BE632A"/>
    <w:rsid w:val="00BE640A"/>
    <w:rsid w:val="00BE677D"/>
    <w:rsid w:val="00BE6905"/>
    <w:rsid w:val="00BE6FDE"/>
    <w:rsid w:val="00BE7DD3"/>
    <w:rsid w:val="00BF0488"/>
    <w:rsid w:val="00BF0F99"/>
    <w:rsid w:val="00BF11C3"/>
    <w:rsid w:val="00BF147A"/>
    <w:rsid w:val="00BF14B7"/>
    <w:rsid w:val="00BF19C6"/>
    <w:rsid w:val="00BF1A63"/>
    <w:rsid w:val="00BF1C20"/>
    <w:rsid w:val="00BF2C0A"/>
    <w:rsid w:val="00BF343D"/>
    <w:rsid w:val="00BF35B8"/>
    <w:rsid w:val="00BF3A6E"/>
    <w:rsid w:val="00BF3D10"/>
    <w:rsid w:val="00BF3DD0"/>
    <w:rsid w:val="00BF4281"/>
    <w:rsid w:val="00BF44A7"/>
    <w:rsid w:val="00BF4E8B"/>
    <w:rsid w:val="00BF5554"/>
    <w:rsid w:val="00BF570B"/>
    <w:rsid w:val="00BF59D1"/>
    <w:rsid w:val="00BF60F3"/>
    <w:rsid w:val="00BF6406"/>
    <w:rsid w:val="00BF64EB"/>
    <w:rsid w:val="00BF6620"/>
    <w:rsid w:val="00BF6F2E"/>
    <w:rsid w:val="00BF781D"/>
    <w:rsid w:val="00BF7CDA"/>
    <w:rsid w:val="00C004AE"/>
    <w:rsid w:val="00C00677"/>
    <w:rsid w:val="00C00A4D"/>
    <w:rsid w:val="00C01B73"/>
    <w:rsid w:val="00C02103"/>
    <w:rsid w:val="00C026BC"/>
    <w:rsid w:val="00C02A41"/>
    <w:rsid w:val="00C02BCB"/>
    <w:rsid w:val="00C0386A"/>
    <w:rsid w:val="00C04057"/>
    <w:rsid w:val="00C040B6"/>
    <w:rsid w:val="00C04491"/>
    <w:rsid w:val="00C0514F"/>
    <w:rsid w:val="00C057F1"/>
    <w:rsid w:val="00C05E04"/>
    <w:rsid w:val="00C05F1D"/>
    <w:rsid w:val="00C066F7"/>
    <w:rsid w:val="00C06DE3"/>
    <w:rsid w:val="00C0781E"/>
    <w:rsid w:val="00C07891"/>
    <w:rsid w:val="00C07B55"/>
    <w:rsid w:val="00C07CC7"/>
    <w:rsid w:val="00C07D3E"/>
    <w:rsid w:val="00C1002A"/>
    <w:rsid w:val="00C1013A"/>
    <w:rsid w:val="00C10578"/>
    <w:rsid w:val="00C105CB"/>
    <w:rsid w:val="00C1066F"/>
    <w:rsid w:val="00C107C6"/>
    <w:rsid w:val="00C10B7B"/>
    <w:rsid w:val="00C10CCB"/>
    <w:rsid w:val="00C1112A"/>
    <w:rsid w:val="00C112DA"/>
    <w:rsid w:val="00C115F2"/>
    <w:rsid w:val="00C11950"/>
    <w:rsid w:val="00C11960"/>
    <w:rsid w:val="00C121FE"/>
    <w:rsid w:val="00C124A8"/>
    <w:rsid w:val="00C12D78"/>
    <w:rsid w:val="00C135BC"/>
    <w:rsid w:val="00C13656"/>
    <w:rsid w:val="00C13B07"/>
    <w:rsid w:val="00C13D45"/>
    <w:rsid w:val="00C142A4"/>
    <w:rsid w:val="00C142E5"/>
    <w:rsid w:val="00C146A8"/>
    <w:rsid w:val="00C14B3E"/>
    <w:rsid w:val="00C14C02"/>
    <w:rsid w:val="00C15154"/>
    <w:rsid w:val="00C15567"/>
    <w:rsid w:val="00C15984"/>
    <w:rsid w:val="00C159D0"/>
    <w:rsid w:val="00C15C95"/>
    <w:rsid w:val="00C1688B"/>
    <w:rsid w:val="00C16FA0"/>
    <w:rsid w:val="00C17C9A"/>
    <w:rsid w:val="00C206EA"/>
    <w:rsid w:val="00C20812"/>
    <w:rsid w:val="00C208BA"/>
    <w:rsid w:val="00C209B5"/>
    <w:rsid w:val="00C20B2A"/>
    <w:rsid w:val="00C20DDF"/>
    <w:rsid w:val="00C219B4"/>
    <w:rsid w:val="00C21C29"/>
    <w:rsid w:val="00C21CDA"/>
    <w:rsid w:val="00C21CED"/>
    <w:rsid w:val="00C21F20"/>
    <w:rsid w:val="00C22BA6"/>
    <w:rsid w:val="00C233CD"/>
    <w:rsid w:val="00C23456"/>
    <w:rsid w:val="00C2449D"/>
    <w:rsid w:val="00C24B9C"/>
    <w:rsid w:val="00C25139"/>
    <w:rsid w:val="00C2596A"/>
    <w:rsid w:val="00C26125"/>
    <w:rsid w:val="00C262BA"/>
    <w:rsid w:val="00C26A92"/>
    <w:rsid w:val="00C26E12"/>
    <w:rsid w:val="00C26FDA"/>
    <w:rsid w:val="00C27537"/>
    <w:rsid w:val="00C2753B"/>
    <w:rsid w:val="00C27572"/>
    <w:rsid w:val="00C27A7D"/>
    <w:rsid w:val="00C27C88"/>
    <w:rsid w:val="00C30D8D"/>
    <w:rsid w:val="00C3117C"/>
    <w:rsid w:val="00C3128D"/>
    <w:rsid w:val="00C31A73"/>
    <w:rsid w:val="00C31CB2"/>
    <w:rsid w:val="00C31D26"/>
    <w:rsid w:val="00C31DCD"/>
    <w:rsid w:val="00C3267B"/>
    <w:rsid w:val="00C32709"/>
    <w:rsid w:val="00C3270A"/>
    <w:rsid w:val="00C328FE"/>
    <w:rsid w:val="00C32934"/>
    <w:rsid w:val="00C32C7D"/>
    <w:rsid w:val="00C332D5"/>
    <w:rsid w:val="00C33507"/>
    <w:rsid w:val="00C339B2"/>
    <w:rsid w:val="00C33B00"/>
    <w:rsid w:val="00C3430E"/>
    <w:rsid w:val="00C34507"/>
    <w:rsid w:val="00C34968"/>
    <w:rsid w:val="00C34A05"/>
    <w:rsid w:val="00C34BE5"/>
    <w:rsid w:val="00C34DFC"/>
    <w:rsid w:val="00C3515B"/>
    <w:rsid w:val="00C3561C"/>
    <w:rsid w:val="00C35646"/>
    <w:rsid w:val="00C35DE8"/>
    <w:rsid w:val="00C35E55"/>
    <w:rsid w:val="00C3689D"/>
    <w:rsid w:val="00C369F6"/>
    <w:rsid w:val="00C36C68"/>
    <w:rsid w:val="00C36FC5"/>
    <w:rsid w:val="00C37217"/>
    <w:rsid w:val="00C37652"/>
    <w:rsid w:val="00C37713"/>
    <w:rsid w:val="00C3789A"/>
    <w:rsid w:val="00C37AE4"/>
    <w:rsid w:val="00C37B2D"/>
    <w:rsid w:val="00C37B7A"/>
    <w:rsid w:val="00C37D6A"/>
    <w:rsid w:val="00C37DA1"/>
    <w:rsid w:val="00C407C4"/>
    <w:rsid w:val="00C40A66"/>
    <w:rsid w:val="00C40BF1"/>
    <w:rsid w:val="00C40CFC"/>
    <w:rsid w:val="00C40DD1"/>
    <w:rsid w:val="00C41685"/>
    <w:rsid w:val="00C416EC"/>
    <w:rsid w:val="00C416F0"/>
    <w:rsid w:val="00C418F8"/>
    <w:rsid w:val="00C4256E"/>
    <w:rsid w:val="00C427B0"/>
    <w:rsid w:val="00C427D8"/>
    <w:rsid w:val="00C42FF5"/>
    <w:rsid w:val="00C43234"/>
    <w:rsid w:val="00C433CA"/>
    <w:rsid w:val="00C438FB"/>
    <w:rsid w:val="00C43FD6"/>
    <w:rsid w:val="00C4409D"/>
    <w:rsid w:val="00C44142"/>
    <w:rsid w:val="00C441F1"/>
    <w:rsid w:val="00C442B1"/>
    <w:rsid w:val="00C448DF"/>
    <w:rsid w:val="00C4497A"/>
    <w:rsid w:val="00C44E72"/>
    <w:rsid w:val="00C45A06"/>
    <w:rsid w:val="00C46670"/>
    <w:rsid w:val="00C46693"/>
    <w:rsid w:val="00C46811"/>
    <w:rsid w:val="00C46B21"/>
    <w:rsid w:val="00C472DB"/>
    <w:rsid w:val="00C47725"/>
    <w:rsid w:val="00C47DFE"/>
    <w:rsid w:val="00C47E5B"/>
    <w:rsid w:val="00C5158A"/>
    <w:rsid w:val="00C516A5"/>
    <w:rsid w:val="00C51799"/>
    <w:rsid w:val="00C51A31"/>
    <w:rsid w:val="00C51CDE"/>
    <w:rsid w:val="00C520FE"/>
    <w:rsid w:val="00C52176"/>
    <w:rsid w:val="00C52680"/>
    <w:rsid w:val="00C52A77"/>
    <w:rsid w:val="00C52A87"/>
    <w:rsid w:val="00C535C4"/>
    <w:rsid w:val="00C53A8B"/>
    <w:rsid w:val="00C53B35"/>
    <w:rsid w:val="00C54519"/>
    <w:rsid w:val="00C54D60"/>
    <w:rsid w:val="00C5522D"/>
    <w:rsid w:val="00C55E40"/>
    <w:rsid w:val="00C5609D"/>
    <w:rsid w:val="00C56129"/>
    <w:rsid w:val="00C56FE8"/>
    <w:rsid w:val="00C5729A"/>
    <w:rsid w:val="00C575F9"/>
    <w:rsid w:val="00C577E5"/>
    <w:rsid w:val="00C5790F"/>
    <w:rsid w:val="00C60022"/>
    <w:rsid w:val="00C60B84"/>
    <w:rsid w:val="00C60C4B"/>
    <w:rsid w:val="00C60C9A"/>
    <w:rsid w:val="00C61E4B"/>
    <w:rsid w:val="00C61E6B"/>
    <w:rsid w:val="00C61FB9"/>
    <w:rsid w:val="00C62177"/>
    <w:rsid w:val="00C623D0"/>
    <w:rsid w:val="00C62921"/>
    <w:rsid w:val="00C62D9D"/>
    <w:rsid w:val="00C62F72"/>
    <w:rsid w:val="00C63382"/>
    <w:rsid w:val="00C63431"/>
    <w:rsid w:val="00C63703"/>
    <w:rsid w:val="00C6387A"/>
    <w:rsid w:val="00C63BD9"/>
    <w:rsid w:val="00C63C86"/>
    <w:rsid w:val="00C63E8F"/>
    <w:rsid w:val="00C63FD3"/>
    <w:rsid w:val="00C64BFF"/>
    <w:rsid w:val="00C64FB3"/>
    <w:rsid w:val="00C65D92"/>
    <w:rsid w:val="00C65ED9"/>
    <w:rsid w:val="00C6622F"/>
    <w:rsid w:val="00C662B6"/>
    <w:rsid w:val="00C663F0"/>
    <w:rsid w:val="00C6660C"/>
    <w:rsid w:val="00C667EC"/>
    <w:rsid w:val="00C66CC4"/>
    <w:rsid w:val="00C66F21"/>
    <w:rsid w:val="00C66FD4"/>
    <w:rsid w:val="00C67343"/>
    <w:rsid w:val="00C67DA0"/>
    <w:rsid w:val="00C67F8E"/>
    <w:rsid w:val="00C704E9"/>
    <w:rsid w:val="00C7069C"/>
    <w:rsid w:val="00C7102B"/>
    <w:rsid w:val="00C716BD"/>
    <w:rsid w:val="00C71961"/>
    <w:rsid w:val="00C71A7F"/>
    <w:rsid w:val="00C71E3C"/>
    <w:rsid w:val="00C71EAF"/>
    <w:rsid w:val="00C72058"/>
    <w:rsid w:val="00C724FD"/>
    <w:rsid w:val="00C726D2"/>
    <w:rsid w:val="00C72726"/>
    <w:rsid w:val="00C72E0E"/>
    <w:rsid w:val="00C734A3"/>
    <w:rsid w:val="00C73B68"/>
    <w:rsid w:val="00C74450"/>
    <w:rsid w:val="00C744B2"/>
    <w:rsid w:val="00C747D6"/>
    <w:rsid w:val="00C748F3"/>
    <w:rsid w:val="00C74CEC"/>
    <w:rsid w:val="00C74D06"/>
    <w:rsid w:val="00C74E09"/>
    <w:rsid w:val="00C74F68"/>
    <w:rsid w:val="00C75000"/>
    <w:rsid w:val="00C7539A"/>
    <w:rsid w:val="00C753AD"/>
    <w:rsid w:val="00C754BF"/>
    <w:rsid w:val="00C75889"/>
    <w:rsid w:val="00C75A0C"/>
    <w:rsid w:val="00C75A99"/>
    <w:rsid w:val="00C75D3C"/>
    <w:rsid w:val="00C763C9"/>
    <w:rsid w:val="00C764AA"/>
    <w:rsid w:val="00C7656F"/>
    <w:rsid w:val="00C7675F"/>
    <w:rsid w:val="00C767B8"/>
    <w:rsid w:val="00C76ACC"/>
    <w:rsid w:val="00C76E03"/>
    <w:rsid w:val="00C76E0A"/>
    <w:rsid w:val="00C76F3B"/>
    <w:rsid w:val="00C77352"/>
    <w:rsid w:val="00C773A2"/>
    <w:rsid w:val="00C7740D"/>
    <w:rsid w:val="00C77CB4"/>
    <w:rsid w:val="00C77E7F"/>
    <w:rsid w:val="00C80057"/>
    <w:rsid w:val="00C801CB"/>
    <w:rsid w:val="00C807A1"/>
    <w:rsid w:val="00C80F0B"/>
    <w:rsid w:val="00C80F2A"/>
    <w:rsid w:val="00C814D6"/>
    <w:rsid w:val="00C81AC6"/>
    <w:rsid w:val="00C82232"/>
    <w:rsid w:val="00C82345"/>
    <w:rsid w:val="00C823A7"/>
    <w:rsid w:val="00C82633"/>
    <w:rsid w:val="00C826A6"/>
    <w:rsid w:val="00C826E2"/>
    <w:rsid w:val="00C828D9"/>
    <w:rsid w:val="00C82913"/>
    <w:rsid w:val="00C829F9"/>
    <w:rsid w:val="00C82ABF"/>
    <w:rsid w:val="00C82CC9"/>
    <w:rsid w:val="00C83141"/>
    <w:rsid w:val="00C836E7"/>
    <w:rsid w:val="00C83781"/>
    <w:rsid w:val="00C83AB7"/>
    <w:rsid w:val="00C83D32"/>
    <w:rsid w:val="00C83D51"/>
    <w:rsid w:val="00C83F52"/>
    <w:rsid w:val="00C83FC4"/>
    <w:rsid w:val="00C843E2"/>
    <w:rsid w:val="00C8469F"/>
    <w:rsid w:val="00C846C2"/>
    <w:rsid w:val="00C846E4"/>
    <w:rsid w:val="00C847AC"/>
    <w:rsid w:val="00C8483B"/>
    <w:rsid w:val="00C849CA"/>
    <w:rsid w:val="00C84F08"/>
    <w:rsid w:val="00C84F6E"/>
    <w:rsid w:val="00C858A4"/>
    <w:rsid w:val="00C8597D"/>
    <w:rsid w:val="00C86015"/>
    <w:rsid w:val="00C86056"/>
    <w:rsid w:val="00C8609F"/>
    <w:rsid w:val="00C8691B"/>
    <w:rsid w:val="00C86D67"/>
    <w:rsid w:val="00C8734A"/>
    <w:rsid w:val="00C8739B"/>
    <w:rsid w:val="00C87583"/>
    <w:rsid w:val="00C87924"/>
    <w:rsid w:val="00C87BA9"/>
    <w:rsid w:val="00C87D52"/>
    <w:rsid w:val="00C87F07"/>
    <w:rsid w:val="00C90331"/>
    <w:rsid w:val="00C906CA"/>
    <w:rsid w:val="00C906DE"/>
    <w:rsid w:val="00C90B23"/>
    <w:rsid w:val="00C90D86"/>
    <w:rsid w:val="00C912DC"/>
    <w:rsid w:val="00C91534"/>
    <w:rsid w:val="00C91D18"/>
    <w:rsid w:val="00C92CD0"/>
    <w:rsid w:val="00C92E77"/>
    <w:rsid w:val="00C92F76"/>
    <w:rsid w:val="00C935AA"/>
    <w:rsid w:val="00C935E4"/>
    <w:rsid w:val="00C93ADF"/>
    <w:rsid w:val="00C94584"/>
    <w:rsid w:val="00C94953"/>
    <w:rsid w:val="00C94B00"/>
    <w:rsid w:val="00C94DCF"/>
    <w:rsid w:val="00C95DF1"/>
    <w:rsid w:val="00C9602D"/>
    <w:rsid w:val="00C96081"/>
    <w:rsid w:val="00C96904"/>
    <w:rsid w:val="00C96BF2"/>
    <w:rsid w:val="00C972B1"/>
    <w:rsid w:val="00C976D4"/>
    <w:rsid w:val="00C97807"/>
    <w:rsid w:val="00C978AD"/>
    <w:rsid w:val="00C97A2D"/>
    <w:rsid w:val="00C97F2A"/>
    <w:rsid w:val="00CA01E5"/>
    <w:rsid w:val="00CA0301"/>
    <w:rsid w:val="00CA03D9"/>
    <w:rsid w:val="00CA0510"/>
    <w:rsid w:val="00CA0788"/>
    <w:rsid w:val="00CA0C18"/>
    <w:rsid w:val="00CA112D"/>
    <w:rsid w:val="00CA16B5"/>
    <w:rsid w:val="00CA18B8"/>
    <w:rsid w:val="00CA1A21"/>
    <w:rsid w:val="00CA1AA4"/>
    <w:rsid w:val="00CA1B78"/>
    <w:rsid w:val="00CA1E0C"/>
    <w:rsid w:val="00CA1E3A"/>
    <w:rsid w:val="00CA22E1"/>
    <w:rsid w:val="00CA2A0E"/>
    <w:rsid w:val="00CA2BDA"/>
    <w:rsid w:val="00CA2CCE"/>
    <w:rsid w:val="00CA30DE"/>
    <w:rsid w:val="00CA328E"/>
    <w:rsid w:val="00CA344C"/>
    <w:rsid w:val="00CA3486"/>
    <w:rsid w:val="00CA356C"/>
    <w:rsid w:val="00CA3606"/>
    <w:rsid w:val="00CA3953"/>
    <w:rsid w:val="00CA3BC7"/>
    <w:rsid w:val="00CA430D"/>
    <w:rsid w:val="00CA43FD"/>
    <w:rsid w:val="00CA4AE9"/>
    <w:rsid w:val="00CA5352"/>
    <w:rsid w:val="00CA57AB"/>
    <w:rsid w:val="00CA5AC1"/>
    <w:rsid w:val="00CA5E97"/>
    <w:rsid w:val="00CA5F40"/>
    <w:rsid w:val="00CA62F9"/>
    <w:rsid w:val="00CA66F7"/>
    <w:rsid w:val="00CA6C47"/>
    <w:rsid w:val="00CA6EC1"/>
    <w:rsid w:val="00CA727C"/>
    <w:rsid w:val="00CA732D"/>
    <w:rsid w:val="00CA77D2"/>
    <w:rsid w:val="00CA7ACC"/>
    <w:rsid w:val="00CA7B0D"/>
    <w:rsid w:val="00CA7EF8"/>
    <w:rsid w:val="00CB0A7B"/>
    <w:rsid w:val="00CB0CDD"/>
    <w:rsid w:val="00CB0E54"/>
    <w:rsid w:val="00CB13CB"/>
    <w:rsid w:val="00CB17B8"/>
    <w:rsid w:val="00CB1B08"/>
    <w:rsid w:val="00CB1F58"/>
    <w:rsid w:val="00CB22A7"/>
    <w:rsid w:val="00CB29FA"/>
    <w:rsid w:val="00CB2B03"/>
    <w:rsid w:val="00CB30ED"/>
    <w:rsid w:val="00CB3242"/>
    <w:rsid w:val="00CB325C"/>
    <w:rsid w:val="00CB36DF"/>
    <w:rsid w:val="00CB36E3"/>
    <w:rsid w:val="00CB37A4"/>
    <w:rsid w:val="00CB3969"/>
    <w:rsid w:val="00CB3C23"/>
    <w:rsid w:val="00CB3E97"/>
    <w:rsid w:val="00CB3F8A"/>
    <w:rsid w:val="00CB4504"/>
    <w:rsid w:val="00CB46E2"/>
    <w:rsid w:val="00CB49E0"/>
    <w:rsid w:val="00CB4A23"/>
    <w:rsid w:val="00CB4B18"/>
    <w:rsid w:val="00CB4CBA"/>
    <w:rsid w:val="00CB4CE7"/>
    <w:rsid w:val="00CB4D97"/>
    <w:rsid w:val="00CB4DCC"/>
    <w:rsid w:val="00CB53D8"/>
    <w:rsid w:val="00CB545C"/>
    <w:rsid w:val="00CB586B"/>
    <w:rsid w:val="00CB5A1C"/>
    <w:rsid w:val="00CB5F72"/>
    <w:rsid w:val="00CB6216"/>
    <w:rsid w:val="00CB627A"/>
    <w:rsid w:val="00CB62E2"/>
    <w:rsid w:val="00CB6452"/>
    <w:rsid w:val="00CB64E0"/>
    <w:rsid w:val="00CB69FF"/>
    <w:rsid w:val="00CB6C14"/>
    <w:rsid w:val="00CB6FE0"/>
    <w:rsid w:val="00CB7266"/>
    <w:rsid w:val="00CB7554"/>
    <w:rsid w:val="00CB7574"/>
    <w:rsid w:val="00CB77A8"/>
    <w:rsid w:val="00CB7CA0"/>
    <w:rsid w:val="00CC0332"/>
    <w:rsid w:val="00CC03FF"/>
    <w:rsid w:val="00CC065F"/>
    <w:rsid w:val="00CC077E"/>
    <w:rsid w:val="00CC0856"/>
    <w:rsid w:val="00CC0D5D"/>
    <w:rsid w:val="00CC150A"/>
    <w:rsid w:val="00CC1542"/>
    <w:rsid w:val="00CC19C2"/>
    <w:rsid w:val="00CC20CC"/>
    <w:rsid w:val="00CC2351"/>
    <w:rsid w:val="00CC2515"/>
    <w:rsid w:val="00CC2A92"/>
    <w:rsid w:val="00CC2AF3"/>
    <w:rsid w:val="00CC2D29"/>
    <w:rsid w:val="00CC31B8"/>
    <w:rsid w:val="00CC33EC"/>
    <w:rsid w:val="00CC4182"/>
    <w:rsid w:val="00CC489B"/>
    <w:rsid w:val="00CC4ADA"/>
    <w:rsid w:val="00CC537D"/>
    <w:rsid w:val="00CC54D1"/>
    <w:rsid w:val="00CC5521"/>
    <w:rsid w:val="00CC5FC9"/>
    <w:rsid w:val="00CC5FFD"/>
    <w:rsid w:val="00CC6D68"/>
    <w:rsid w:val="00CC6E41"/>
    <w:rsid w:val="00CC7686"/>
    <w:rsid w:val="00CC77DD"/>
    <w:rsid w:val="00CC78FF"/>
    <w:rsid w:val="00CC7F7E"/>
    <w:rsid w:val="00CD01F6"/>
    <w:rsid w:val="00CD0726"/>
    <w:rsid w:val="00CD10AD"/>
    <w:rsid w:val="00CD1224"/>
    <w:rsid w:val="00CD13C1"/>
    <w:rsid w:val="00CD15D6"/>
    <w:rsid w:val="00CD1D10"/>
    <w:rsid w:val="00CD1D74"/>
    <w:rsid w:val="00CD1EBF"/>
    <w:rsid w:val="00CD23AF"/>
    <w:rsid w:val="00CD2BB0"/>
    <w:rsid w:val="00CD2BCD"/>
    <w:rsid w:val="00CD2DF4"/>
    <w:rsid w:val="00CD316B"/>
    <w:rsid w:val="00CD323E"/>
    <w:rsid w:val="00CD39E9"/>
    <w:rsid w:val="00CD3A4C"/>
    <w:rsid w:val="00CD3CBE"/>
    <w:rsid w:val="00CD4093"/>
    <w:rsid w:val="00CD409A"/>
    <w:rsid w:val="00CD40AE"/>
    <w:rsid w:val="00CD4E9C"/>
    <w:rsid w:val="00CD6061"/>
    <w:rsid w:val="00CD61ED"/>
    <w:rsid w:val="00CD6382"/>
    <w:rsid w:val="00CD67B1"/>
    <w:rsid w:val="00CD6BED"/>
    <w:rsid w:val="00CD717B"/>
    <w:rsid w:val="00CD77C3"/>
    <w:rsid w:val="00CD7F6D"/>
    <w:rsid w:val="00CD7F8E"/>
    <w:rsid w:val="00CE07F6"/>
    <w:rsid w:val="00CE083B"/>
    <w:rsid w:val="00CE0D9B"/>
    <w:rsid w:val="00CE0E71"/>
    <w:rsid w:val="00CE10E9"/>
    <w:rsid w:val="00CE1374"/>
    <w:rsid w:val="00CE1960"/>
    <w:rsid w:val="00CE2118"/>
    <w:rsid w:val="00CE2204"/>
    <w:rsid w:val="00CE22CE"/>
    <w:rsid w:val="00CE2910"/>
    <w:rsid w:val="00CE2934"/>
    <w:rsid w:val="00CE2C09"/>
    <w:rsid w:val="00CE2F78"/>
    <w:rsid w:val="00CE2F7A"/>
    <w:rsid w:val="00CE3188"/>
    <w:rsid w:val="00CE322C"/>
    <w:rsid w:val="00CE33AB"/>
    <w:rsid w:val="00CE3864"/>
    <w:rsid w:val="00CE4660"/>
    <w:rsid w:val="00CE486C"/>
    <w:rsid w:val="00CE4B19"/>
    <w:rsid w:val="00CE5393"/>
    <w:rsid w:val="00CE5554"/>
    <w:rsid w:val="00CE5764"/>
    <w:rsid w:val="00CE5CD2"/>
    <w:rsid w:val="00CE620D"/>
    <w:rsid w:val="00CE6EEB"/>
    <w:rsid w:val="00CE7108"/>
    <w:rsid w:val="00CE7186"/>
    <w:rsid w:val="00CE747A"/>
    <w:rsid w:val="00CE7A24"/>
    <w:rsid w:val="00CE7CC0"/>
    <w:rsid w:val="00CF007D"/>
    <w:rsid w:val="00CF0282"/>
    <w:rsid w:val="00CF03BE"/>
    <w:rsid w:val="00CF0BC5"/>
    <w:rsid w:val="00CF0D3B"/>
    <w:rsid w:val="00CF128D"/>
    <w:rsid w:val="00CF1488"/>
    <w:rsid w:val="00CF162F"/>
    <w:rsid w:val="00CF2002"/>
    <w:rsid w:val="00CF2B18"/>
    <w:rsid w:val="00CF2C78"/>
    <w:rsid w:val="00CF2F1B"/>
    <w:rsid w:val="00CF30B7"/>
    <w:rsid w:val="00CF32E6"/>
    <w:rsid w:val="00CF353E"/>
    <w:rsid w:val="00CF36BE"/>
    <w:rsid w:val="00CF3840"/>
    <w:rsid w:val="00CF3890"/>
    <w:rsid w:val="00CF3944"/>
    <w:rsid w:val="00CF3AA7"/>
    <w:rsid w:val="00CF3B11"/>
    <w:rsid w:val="00CF3FB1"/>
    <w:rsid w:val="00CF412A"/>
    <w:rsid w:val="00CF4522"/>
    <w:rsid w:val="00CF5456"/>
    <w:rsid w:val="00CF58C3"/>
    <w:rsid w:val="00CF6000"/>
    <w:rsid w:val="00CF6049"/>
    <w:rsid w:val="00CF60A9"/>
    <w:rsid w:val="00CF65D5"/>
    <w:rsid w:val="00CF6999"/>
    <w:rsid w:val="00CF6A0F"/>
    <w:rsid w:val="00CF7061"/>
    <w:rsid w:val="00CF7B63"/>
    <w:rsid w:val="00CF7E11"/>
    <w:rsid w:val="00CF7E67"/>
    <w:rsid w:val="00D003F3"/>
    <w:rsid w:val="00D007B3"/>
    <w:rsid w:val="00D00A89"/>
    <w:rsid w:val="00D00CF6"/>
    <w:rsid w:val="00D00CFD"/>
    <w:rsid w:val="00D00F65"/>
    <w:rsid w:val="00D010BE"/>
    <w:rsid w:val="00D01111"/>
    <w:rsid w:val="00D01131"/>
    <w:rsid w:val="00D0119E"/>
    <w:rsid w:val="00D01786"/>
    <w:rsid w:val="00D02A21"/>
    <w:rsid w:val="00D02FEF"/>
    <w:rsid w:val="00D030FC"/>
    <w:rsid w:val="00D032B3"/>
    <w:rsid w:val="00D0347E"/>
    <w:rsid w:val="00D0364F"/>
    <w:rsid w:val="00D0379F"/>
    <w:rsid w:val="00D03CEF"/>
    <w:rsid w:val="00D03D9F"/>
    <w:rsid w:val="00D03EBD"/>
    <w:rsid w:val="00D03FCE"/>
    <w:rsid w:val="00D046E5"/>
    <w:rsid w:val="00D048DD"/>
    <w:rsid w:val="00D0537D"/>
    <w:rsid w:val="00D059DC"/>
    <w:rsid w:val="00D0602E"/>
    <w:rsid w:val="00D0622C"/>
    <w:rsid w:val="00D062BA"/>
    <w:rsid w:val="00D0644A"/>
    <w:rsid w:val="00D064C9"/>
    <w:rsid w:val="00D06834"/>
    <w:rsid w:val="00D069AF"/>
    <w:rsid w:val="00D06A6D"/>
    <w:rsid w:val="00D06BF6"/>
    <w:rsid w:val="00D06C57"/>
    <w:rsid w:val="00D06F63"/>
    <w:rsid w:val="00D1043C"/>
    <w:rsid w:val="00D1069C"/>
    <w:rsid w:val="00D10776"/>
    <w:rsid w:val="00D108FF"/>
    <w:rsid w:val="00D10D57"/>
    <w:rsid w:val="00D1106C"/>
    <w:rsid w:val="00D117E5"/>
    <w:rsid w:val="00D1190F"/>
    <w:rsid w:val="00D1227E"/>
    <w:rsid w:val="00D126D3"/>
    <w:rsid w:val="00D128BD"/>
    <w:rsid w:val="00D12A4E"/>
    <w:rsid w:val="00D13055"/>
    <w:rsid w:val="00D13DE5"/>
    <w:rsid w:val="00D141AA"/>
    <w:rsid w:val="00D14470"/>
    <w:rsid w:val="00D145AA"/>
    <w:rsid w:val="00D14856"/>
    <w:rsid w:val="00D14870"/>
    <w:rsid w:val="00D14A8F"/>
    <w:rsid w:val="00D14BB1"/>
    <w:rsid w:val="00D14CA3"/>
    <w:rsid w:val="00D14D31"/>
    <w:rsid w:val="00D152E1"/>
    <w:rsid w:val="00D15496"/>
    <w:rsid w:val="00D154C2"/>
    <w:rsid w:val="00D15554"/>
    <w:rsid w:val="00D1555E"/>
    <w:rsid w:val="00D159DD"/>
    <w:rsid w:val="00D1628E"/>
    <w:rsid w:val="00D16C95"/>
    <w:rsid w:val="00D16E66"/>
    <w:rsid w:val="00D170B0"/>
    <w:rsid w:val="00D17252"/>
    <w:rsid w:val="00D17775"/>
    <w:rsid w:val="00D17F39"/>
    <w:rsid w:val="00D20286"/>
    <w:rsid w:val="00D2038F"/>
    <w:rsid w:val="00D20596"/>
    <w:rsid w:val="00D20939"/>
    <w:rsid w:val="00D211E5"/>
    <w:rsid w:val="00D21489"/>
    <w:rsid w:val="00D217A1"/>
    <w:rsid w:val="00D21A8B"/>
    <w:rsid w:val="00D21ACC"/>
    <w:rsid w:val="00D21AF0"/>
    <w:rsid w:val="00D21B90"/>
    <w:rsid w:val="00D22048"/>
    <w:rsid w:val="00D22113"/>
    <w:rsid w:val="00D2230E"/>
    <w:rsid w:val="00D23509"/>
    <w:rsid w:val="00D23837"/>
    <w:rsid w:val="00D23993"/>
    <w:rsid w:val="00D23D45"/>
    <w:rsid w:val="00D24264"/>
    <w:rsid w:val="00D248CD"/>
    <w:rsid w:val="00D24A17"/>
    <w:rsid w:val="00D24A96"/>
    <w:rsid w:val="00D24E04"/>
    <w:rsid w:val="00D24E11"/>
    <w:rsid w:val="00D25005"/>
    <w:rsid w:val="00D251DA"/>
    <w:rsid w:val="00D25395"/>
    <w:rsid w:val="00D25398"/>
    <w:rsid w:val="00D2544E"/>
    <w:rsid w:val="00D255B3"/>
    <w:rsid w:val="00D2577A"/>
    <w:rsid w:val="00D25C33"/>
    <w:rsid w:val="00D26704"/>
    <w:rsid w:val="00D26CA1"/>
    <w:rsid w:val="00D274BE"/>
    <w:rsid w:val="00D27505"/>
    <w:rsid w:val="00D277A4"/>
    <w:rsid w:val="00D278E5"/>
    <w:rsid w:val="00D27BAE"/>
    <w:rsid w:val="00D27C0B"/>
    <w:rsid w:val="00D27C37"/>
    <w:rsid w:val="00D30077"/>
    <w:rsid w:val="00D30234"/>
    <w:rsid w:val="00D302EF"/>
    <w:rsid w:val="00D308ED"/>
    <w:rsid w:val="00D30EC4"/>
    <w:rsid w:val="00D316EE"/>
    <w:rsid w:val="00D318D8"/>
    <w:rsid w:val="00D31982"/>
    <w:rsid w:val="00D31C6D"/>
    <w:rsid w:val="00D31CC2"/>
    <w:rsid w:val="00D32030"/>
    <w:rsid w:val="00D321E7"/>
    <w:rsid w:val="00D32237"/>
    <w:rsid w:val="00D3250C"/>
    <w:rsid w:val="00D32CF3"/>
    <w:rsid w:val="00D32D15"/>
    <w:rsid w:val="00D33174"/>
    <w:rsid w:val="00D336EE"/>
    <w:rsid w:val="00D341E5"/>
    <w:rsid w:val="00D34280"/>
    <w:rsid w:val="00D34378"/>
    <w:rsid w:val="00D3437B"/>
    <w:rsid w:val="00D3512D"/>
    <w:rsid w:val="00D355CC"/>
    <w:rsid w:val="00D35A7D"/>
    <w:rsid w:val="00D35CDF"/>
    <w:rsid w:val="00D36644"/>
    <w:rsid w:val="00D36843"/>
    <w:rsid w:val="00D36D86"/>
    <w:rsid w:val="00D36E90"/>
    <w:rsid w:val="00D37300"/>
    <w:rsid w:val="00D37523"/>
    <w:rsid w:val="00D379F9"/>
    <w:rsid w:val="00D40225"/>
    <w:rsid w:val="00D405F6"/>
    <w:rsid w:val="00D4096A"/>
    <w:rsid w:val="00D40D97"/>
    <w:rsid w:val="00D412AE"/>
    <w:rsid w:val="00D412FD"/>
    <w:rsid w:val="00D4159D"/>
    <w:rsid w:val="00D41660"/>
    <w:rsid w:val="00D419CC"/>
    <w:rsid w:val="00D42094"/>
    <w:rsid w:val="00D421EF"/>
    <w:rsid w:val="00D423F6"/>
    <w:rsid w:val="00D428AA"/>
    <w:rsid w:val="00D42912"/>
    <w:rsid w:val="00D42A04"/>
    <w:rsid w:val="00D42B41"/>
    <w:rsid w:val="00D42BED"/>
    <w:rsid w:val="00D43AC2"/>
    <w:rsid w:val="00D4475C"/>
    <w:rsid w:val="00D44824"/>
    <w:rsid w:val="00D45314"/>
    <w:rsid w:val="00D45992"/>
    <w:rsid w:val="00D45C0F"/>
    <w:rsid w:val="00D46300"/>
    <w:rsid w:val="00D46302"/>
    <w:rsid w:val="00D46504"/>
    <w:rsid w:val="00D4662A"/>
    <w:rsid w:val="00D46BB7"/>
    <w:rsid w:val="00D46CB3"/>
    <w:rsid w:val="00D47048"/>
    <w:rsid w:val="00D47291"/>
    <w:rsid w:val="00D4742B"/>
    <w:rsid w:val="00D4786F"/>
    <w:rsid w:val="00D47A2F"/>
    <w:rsid w:val="00D47D6A"/>
    <w:rsid w:val="00D47DE2"/>
    <w:rsid w:val="00D509E8"/>
    <w:rsid w:val="00D50A34"/>
    <w:rsid w:val="00D50BB2"/>
    <w:rsid w:val="00D50F85"/>
    <w:rsid w:val="00D50F92"/>
    <w:rsid w:val="00D513DB"/>
    <w:rsid w:val="00D514B3"/>
    <w:rsid w:val="00D51527"/>
    <w:rsid w:val="00D516AC"/>
    <w:rsid w:val="00D52664"/>
    <w:rsid w:val="00D53197"/>
    <w:rsid w:val="00D5337A"/>
    <w:rsid w:val="00D5342C"/>
    <w:rsid w:val="00D538BD"/>
    <w:rsid w:val="00D538F2"/>
    <w:rsid w:val="00D53DD8"/>
    <w:rsid w:val="00D53E6F"/>
    <w:rsid w:val="00D53EFA"/>
    <w:rsid w:val="00D54178"/>
    <w:rsid w:val="00D5434A"/>
    <w:rsid w:val="00D547F9"/>
    <w:rsid w:val="00D54B5D"/>
    <w:rsid w:val="00D54BEF"/>
    <w:rsid w:val="00D54C46"/>
    <w:rsid w:val="00D54DD0"/>
    <w:rsid w:val="00D54F3A"/>
    <w:rsid w:val="00D55ABB"/>
    <w:rsid w:val="00D5635A"/>
    <w:rsid w:val="00D56618"/>
    <w:rsid w:val="00D56654"/>
    <w:rsid w:val="00D56F71"/>
    <w:rsid w:val="00D5712D"/>
    <w:rsid w:val="00D57462"/>
    <w:rsid w:val="00D574CD"/>
    <w:rsid w:val="00D5772F"/>
    <w:rsid w:val="00D57A2D"/>
    <w:rsid w:val="00D57AC7"/>
    <w:rsid w:val="00D57D04"/>
    <w:rsid w:val="00D57D9A"/>
    <w:rsid w:val="00D606B4"/>
    <w:rsid w:val="00D607D0"/>
    <w:rsid w:val="00D60A62"/>
    <w:rsid w:val="00D60A95"/>
    <w:rsid w:val="00D60F02"/>
    <w:rsid w:val="00D6171F"/>
    <w:rsid w:val="00D6191C"/>
    <w:rsid w:val="00D62183"/>
    <w:rsid w:val="00D62756"/>
    <w:rsid w:val="00D62885"/>
    <w:rsid w:val="00D62A51"/>
    <w:rsid w:val="00D62AF5"/>
    <w:rsid w:val="00D62D2D"/>
    <w:rsid w:val="00D63327"/>
    <w:rsid w:val="00D6419D"/>
    <w:rsid w:val="00D64498"/>
    <w:rsid w:val="00D64844"/>
    <w:rsid w:val="00D64B55"/>
    <w:rsid w:val="00D64E67"/>
    <w:rsid w:val="00D65050"/>
    <w:rsid w:val="00D6536A"/>
    <w:rsid w:val="00D65A97"/>
    <w:rsid w:val="00D65AD1"/>
    <w:rsid w:val="00D65AD9"/>
    <w:rsid w:val="00D66196"/>
    <w:rsid w:val="00D663C6"/>
    <w:rsid w:val="00D66F3E"/>
    <w:rsid w:val="00D671CC"/>
    <w:rsid w:val="00D674E4"/>
    <w:rsid w:val="00D7014F"/>
    <w:rsid w:val="00D7034F"/>
    <w:rsid w:val="00D70562"/>
    <w:rsid w:val="00D70F35"/>
    <w:rsid w:val="00D712C4"/>
    <w:rsid w:val="00D71467"/>
    <w:rsid w:val="00D71642"/>
    <w:rsid w:val="00D71A36"/>
    <w:rsid w:val="00D71B51"/>
    <w:rsid w:val="00D727BA"/>
    <w:rsid w:val="00D72A38"/>
    <w:rsid w:val="00D72E75"/>
    <w:rsid w:val="00D732A8"/>
    <w:rsid w:val="00D73321"/>
    <w:rsid w:val="00D73666"/>
    <w:rsid w:val="00D7385B"/>
    <w:rsid w:val="00D73A84"/>
    <w:rsid w:val="00D74961"/>
    <w:rsid w:val="00D74AC6"/>
    <w:rsid w:val="00D76185"/>
    <w:rsid w:val="00D7673E"/>
    <w:rsid w:val="00D76AEA"/>
    <w:rsid w:val="00D77638"/>
    <w:rsid w:val="00D7792A"/>
    <w:rsid w:val="00D77E6E"/>
    <w:rsid w:val="00D801F3"/>
    <w:rsid w:val="00D802AD"/>
    <w:rsid w:val="00D8065A"/>
    <w:rsid w:val="00D80D6A"/>
    <w:rsid w:val="00D80DC4"/>
    <w:rsid w:val="00D81306"/>
    <w:rsid w:val="00D8153E"/>
    <w:rsid w:val="00D81950"/>
    <w:rsid w:val="00D81AC8"/>
    <w:rsid w:val="00D81DD1"/>
    <w:rsid w:val="00D8211A"/>
    <w:rsid w:val="00D82656"/>
    <w:rsid w:val="00D82CCB"/>
    <w:rsid w:val="00D833EE"/>
    <w:rsid w:val="00D8341A"/>
    <w:rsid w:val="00D83745"/>
    <w:rsid w:val="00D83EFF"/>
    <w:rsid w:val="00D8458F"/>
    <w:rsid w:val="00D84781"/>
    <w:rsid w:val="00D848D9"/>
    <w:rsid w:val="00D849B1"/>
    <w:rsid w:val="00D84A9C"/>
    <w:rsid w:val="00D84B25"/>
    <w:rsid w:val="00D85B06"/>
    <w:rsid w:val="00D86B76"/>
    <w:rsid w:val="00D86EE8"/>
    <w:rsid w:val="00D87441"/>
    <w:rsid w:val="00D87472"/>
    <w:rsid w:val="00D87CE7"/>
    <w:rsid w:val="00D90148"/>
    <w:rsid w:val="00D907BB"/>
    <w:rsid w:val="00D91510"/>
    <w:rsid w:val="00D91A1B"/>
    <w:rsid w:val="00D91A9D"/>
    <w:rsid w:val="00D91AF2"/>
    <w:rsid w:val="00D91F0D"/>
    <w:rsid w:val="00D9219E"/>
    <w:rsid w:val="00D92210"/>
    <w:rsid w:val="00D926B8"/>
    <w:rsid w:val="00D92A70"/>
    <w:rsid w:val="00D92C15"/>
    <w:rsid w:val="00D92C1A"/>
    <w:rsid w:val="00D936DC"/>
    <w:rsid w:val="00D93BBF"/>
    <w:rsid w:val="00D93C24"/>
    <w:rsid w:val="00D945F3"/>
    <w:rsid w:val="00D94943"/>
    <w:rsid w:val="00D94A7C"/>
    <w:rsid w:val="00D94B0B"/>
    <w:rsid w:val="00D9516E"/>
    <w:rsid w:val="00D95399"/>
    <w:rsid w:val="00D954C6"/>
    <w:rsid w:val="00D9563B"/>
    <w:rsid w:val="00D95896"/>
    <w:rsid w:val="00D95A35"/>
    <w:rsid w:val="00D95B6F"/>
    <w:rsid w:val="00D963AA"/>
    <w:rsid w:val="00D96AA6"/>
    <w:rsid w:val="00D96AE1"/>
    <w:rsid w:val="00D96C1F"/>
    <w:rsid w:val="00D96D24"/>
    <w:rsid w:val="00D96DB3"/>
    <w:rsid w:val="00D96F6B"/>
    <w:rsid w:val="00D9727B"/>
    <w:rsid w:val="00D97303"/>
    <w:rsid w:val="00D97599"/>
    <w:rsid w:val="00D97629"/>
    <w:rsid w:val="00D97BD6"/>
    <w:rsid w:val="00DA0213"/>
    <w:rsid w:val="00DA0585"/>
    <w:rsid w:val="00DA088B"/>
    <w:rsid w:val="00DA08B7"/>
    <w:rsid w:val="00DA0CA0"/>
    <w:rsid w:val="00DA0E40"/>
    <w:rsid w:val="00DA0F08"/>
    <w:rsid w:val="00DA1160"/>
    <w:rsid w:val="00DA185D"/>
    <w:rsid w:val="00DA1982"/>
    <w:rsid w:val="00DA1CCE"/>
    <w:rsid w:val="00DA24E3"/>
    <w:rsid w:val="00DA26E1"/>
    <w:rsid w:val="00DA27EE"/>
    <w:rsid w:val="00DA299F"/>
    <w:rsid w:val="00DA2BF7"/>
    <w:rsid w:val="00DA2F37"/>
    <w:rsid w:val="00DA2F72"/>
    <w:rsid w:val="00DA39D3"/>
    <w:rsid w:val="00DA39D4"/>
    <w:rsid w:val="00DA3CD8"/>
    <w:rsid w:val="00DA41A8"/>
    <w:rsid w:val="00DA43AB"/>
    <w:rsid w:val="00DA44E0"/>
    <w:rsid w:val="00DA4502"/>
    <w:rsid w:val="00DA463E"/>
    <w:rsid w:val="00DA46E6"/>
    <w:rsid w:val="00DA481F"/>
    <w:rsid w:val="00DA48DF"/>
    <w:rsid w:val="00DA4B51"/>
    <w:rsid w:val="00DA50A6"/>
    <w:rsid w:val="00DA51AD"/>
    <w:rsid w:val="00DA5390"/>
    <w:rsid w:val="00DA566F"/>
    <w:rsid w:val="00DA6217"/>
    <w:rsid w:val="00DA6333"/>
    <w:rsid w:val="00DA650B"/>
    <w:rsid w:val="00DA6C5D"/>
    <w:rsid w:val="00DA764C"/>
    <w:rsid w:val="00DA7B04"/>
    <w:rsid w:val="00DA7B5F"/>
    <w:rsid w:val="00DB01A1"/>
    <w:rsid w:val="00DB0234"/>
    <w:rsid w:val="00DB0476"/>
    <w:rsid w:val="00DB0490"/>
    <w:rsid w:val="00DB05BC"/>
    <w:rsid w:val="00DB0615"/>
    <w:rsid w:val="00DB078C"/>
    <w:rsid w:val="00DB0976"/>
    <w:rsid w:val="00DB0E2E"/>
    <w:rsid w:val="00DB1199"/>
    <w:rsid w:val="00DB12CE"/>
    <w:rsid w:val="00DB15E5"/>
    <w:rsid w:val="00DB1663"/>
    <w:rsid w:val="00DB18BA"/>
    <w:rsid w:val="00DB21FD"/>
    <w:rsid w:val="00DB269D"/>
    <w:rsid w:val="00DB27BD"/>
    <w:rsid w:val="00DB27CE"/>
    <w:rsid w:val="00DB28B9"/>
    <w:rsid w:val="00DB2983"/>
    <w:rsid w:val="00DB2B2D"/>
    <w:rsid w:val="00DB2DF1"/>
    <w:rsid w:val="00DB2EA6"/>
    <w:rsid w:val="00DB3612"/>
    <w:rsid w:val="00DB38E9"/>
    <w:rsid w:val="00DB3BF9"/>
    <w:rsid w:val="00DB3C11"/>
    <w:rsid w:val="00DB3D10"/>
    <w:rsid w:val="00DB3F2E"/>
    <w:rsid w:val="00DB4A49"/>
    <w:rsid w:val="00DB4E7D"/>
    <w:rsid w:val="00DB5017"/>
    <w:rsid w:val="00DB5292"/>
    <w:rsid w:val="00DB53D0"/>
    <w:rsid w:val="00DB5727"/>
    <w:rsid w:val="00DB5B4D"/>
    <w:rsid w:val="00DB5FD9"/>
    <w:rsid w:val="00DB5FF9"/>
    <w:rsid w:val="00DB60A9"/>
    <w:rsid w:val="00DB61CF"/>
    <w:rsid w:val="00DB6BA1"/>
    <w:rsid w:val="00DB6E67"/>
    <w:rsid w:val="00DB740A"/>
    <w:rsid w:val="00DB7476"/>
    <w:rsid w:val="00DB7C6F"/>
    <w:rsid w:val="00DB7EEF"/>
    <w:rsid w:val="00DC080B"/>
    <w:rsid w:val="00DC0FD2"/>
    <w:rsid w:val="00DC1257"/>
    <w:rsid w:val="00DC13F3"/>
    <w:rsid w:val="00DC1485"/>
    <w:rsid w:val="00DC1CF1"/>
    <w:rsid w:val="00DC1D34"/>
    <w:rsid w:val="00DC1F1C"/>
    <w:rsid w:val="00DC22CE"/>
    <w:rsid w:val="00DC22FD"/>
    <w:rsid w:val="00DC2405"/>
    <w:rsid w:val="00DC26EA"/>
    <w:rsid w:val="00DC2B42"/>
    <w:rsid w:val="00DC3296"/>
    <w:rsid w:val="00DC3DC0"/>
    <w:rsid w:val="00DC3E38"/>
    <w:rsid w:val="00DC406C"/>
    <w:rsid w:val="00DC4225"/>
    <w:rsid w:val="00DC4DF6"/>
    <w:rsid w:val="00DC55AD"/>
    <w:rsid w:val="00DC579E"/>
    <w:rsid w:val="00DC5A40"/>
    <w:rsid w:val="00DC5B2B"/>
    <w:rsid w:val="00DC5C7A"/>
    <w:rsid w:val="00DC61DB"/>
    <w:rsid w:val="00DC6AD9"/>
    <w:rsid w:val="00DC6B91"/>
    <w:rsid w:val="00DC6CA1"/>
    <w:rsid w:val="00DC6CD2"/>
    <w:rsid w:val="00DC6EBD"/>
    <w:rsid w:val="00DC7AA0"/>
    <w:rsid w:val="00DC7C26"/>
    <w:rsid w:val="00DD0309"/>
    <w:rsid w:val="00DD037E"/>
    <w:rsid w:val="00DD0C1D"/>
    <w:rsid w:val="00DD0D58"/>
    <w:rsid w:val="00DD1247"/>
    <w:rsid w:val="00DD1A0D"/>
    <w:rsid w:val="00DD20DE"/>
    <w:rsid w:val="00DD20F6"/>
    <w:rsid w:val="00DD2625"/>
    <w:rsid w:val="00DD318D"/>
    <w:rsid w:val="00DD321A"/>
    <w:rsid w:val="00DD3A0B"/>
    <w:rsid w:val="00DD3C01"/>
    <w:rsid w:val="00DD3FF9"/>
    <w:rsid w:val="00DD4473"/>
    <w:rsid w:val="00DD4523"/>
    <w:rsid w:val="00DD5266"/>
    <w:rsid w:val="00DD5657"/>
    <w:rsid w:val="00DD58A6"/>
    <w:rsid w:val="00DD58EA"/>
    <w:rsid w:val="00DD5C6B"/>
    <w:rsid w:val="00DD5CA7"/>
    <w:rsid w:val="00DD60FF"/>
    <w:rsid w:val="00DD66FE"/>
    <w:rsid w:val="00DD6B46"/>
    <w:rsid w:val="00DD6E61"/>
    <w:rsid w:val="00DD6FE4"/>
    <w:rsid w:val="00DD71E7"/>
    <w:rsid w:val="00DD71F5"/>
    <w:rsid w:val="00DD752C"/>
    <w:rsid w:val="00DD7707"/>
    <w:rsid w:val="00DD7768"/>
    <w:rsid w:val="00DD79AF"/>
    <w:rsid w:val="00DD7A39"/>
    <w:rsid w:val="00DD7D8C"/>
    <w:rsid w:val="00DE04AA"/>
    <w:rsid w:val="00DE0586"/>
    <w:rsid w:val="00DE0A99"/>
    <w:rsid w:val="00DE0CC3"/>
    <w:rsid w:val="00DE0D8C"/>
    <w:rsid w:val="00DE0F15"/>
    <w:rsid w:val="00DE18BA"/>
    <w:rsid w:val="00DE1903"/>
    <w:rsid w:val="00DE2100"/>
    <w:rsid w:val="00DE219A"/>
    <w:rsid w:val="00DE21EA"/>
    <w:rsid w:val="00DE2342"/>
    <w:rsid w:val="00DE2504"/>
    <w:rsid w:val="00DE253E"/>
    <w:rsid w:val="00DE356E"/>
    <w:rsid w:val="00DE3897"/>
    <w:rsid w:val="00DE3CF0"/>
    <w:rsid w:val="00DE3D7C"/>
    <w:rsid w:val="00DE4079"/>
    <w:rsid w:val="00DE4420"/>
    <w:rsid w:val="00DE4DDC"/>
    <w:rsid w:val="00DE5A51"/>
    <w:rsid w:val="00DE5BE1"/>
    <w:rsid w:val="00DE5D73"/>
    <w:rsid w:val="00DE5FBC"/>
    <w:rsid w:val="00DE64E1"/>
    <w:rsid w:val="00DE6532"/>
    <w:rsid w:val="00DE69ED"/>
    <w:rsid w:val="00DE6AA8"/>
    <w:rsid w:val="00DE6D70"/>
    <w:rsid w:val="00DE6EC2"/>
    <w:rsid w:val="00DE7272"/>
    <w:rsid w:val="00DE7650"/>
    <w:rsid w:val="00DE7840"/>
    <w:rsid w:val="00DE7988"/>
    <w:rsid w:val="00DF0426"/>
    <w:rsid w:val="00DF086F"/>
    <w:rsid w:val="00DF0958"/>
    <w:rsid w:val="00DF0B0B"/>
    <w:rsid w:val="00DF0C10"/>
    <w:rsid w:val="00DF13AC"/>
    <w:rsid w:val="00DF173E"/>
    <w:rsid w:val="00DF1B98"/>
    <w:rsid w:val="00DF1C0C"/>
    <w:rsid w:val="00DF1FAF"/>
    <w:rsid w:val="00DF2E12"/>
    <w:rsid w:val="00DF30A7"/>
    <w:rsid w:val="00DF312D"/>
    <w:rsid w:val="00DF3B4D"/>
    <w:rsid w:val="00DF3BFB"/>
    <w:rsid w:val="00DF3C50"/>
    <w:rsid w:val="00DF3CBC"/>
    <w:rsid w:val="00DF3D1E"/>
    <w:rsid w:val="00DF3DED"/>
    <w:rsid w:val="00DF4689"/>
    <w:rsid w:val="00DF4784"/>
    <w:rsid w:val="00DF4B30"/>
    <w:rsid w:val="00DF4E18"/>
    <w:rsid w:val="00DF4F00"/>
    <w:rsid w:val="00DF507F"/>
    <w:rsid w:val="00DF514A"/>
    <w:rsid w:val="00DF5462"/>
    <w:rsid w:val="00DF5667"/>
    <w:rsid w:val="00DF60D0"/>
    <w:rsid w:val="00DF64C6"/>
    <w:rsid w:val="00DF6690"/>
    <w:rsid w:val="00DF6804"/>
    <w:rsid w:val="00DF6913"/>
    <w:rsid w:val="00DF7033"/>
    <w:rsid w:val="00DF7B4D"/>
    <w:rsid w:val="00DF7E6F"/>
    <w:rsid w:val="00E0051D"/>
    <w:rsid w:val="00E00AB5"/>
    <w:rsid w:val="00E00C0C"/>
    <w:rsid w:val="00E00E9E"/>
    <w:rsid w:val="00E010A7"/>
    <w:rsid w:val="00E013C5"/>
    <w:rsid w:val="00E0191D"/>
    <w:rsid w:val="00E01D02"/>
    <w:rsid w:val="00E01F36"/>
    <w:rsid w:val="00E02132"/>
    <w:rsid w:val="00E024C1"/>
    <w:rsid w:val="00E0258E"/>
    <w:rsid w:val="00E0282D"/>
    <w:rsid w:val="00E02DA6"/>
    <w:rsid w:val="00E03392"/>
    <w:rsid w:val="00E0341E"/>
    <w:rsid w:val="00E0358D"/>
    <w:rsid w:val="00E03599"/>
    <w:rsid w:val="00E035E7"/>
    <w:rsid w:val="00E03615"/>
    <w:rsid w:val="00E037FA"/>
    <w:rsid w:val="00E03B1E"/>
    <w:rsid w:val="00E03D16"/>
    <w:rsid w:val="00E04323"/>
    <w:rsid w:val="00E04434"/>
    <w:rsid w:val="00E04A31"/>
    <w:rsid w:val="00E04FDE"/>
    <w:rsid w:val="00E050A1"/>
    <w:rsid w:val="00E05917"/>
    <w:rsid w:val="00E05CAE"/>
    <w:rsid w:val="00E06832"/>
    <w:rsid w:val="00E06965"/>
    <w:rsid w:val="00E06BC5"/>
    <w:rsid w:val="00E06D32"/>
    <w:rsid w:val="00E070A2"/>
    <w:rsid w:val="00E0714C"/>
    <w:rsid w:val="00E07672"/>
    <w:rsid w:val="00E07F34"/>
    <w:rsid w:val="00E07FD6"/>
    <w:rsid w:val="00E100DA"/>
    <w:rsid w:val="00E10140"/>
    <w:rsid w:val="00E10228"/>
    <w:rsid w:val="00E10FF7"/>
    <w:rsid w:val="00E11074"/>
    <w:rsid w:val="00E117A0"/>
    <w:rsid w:val="00E11B6F"/>
    <w:rsid w:val="00E11DDA"/>
    <w:rsid w:val="00E121F1"/>
    <w:rsid w:val="00E125CE"/>
    <w:rsid w:val="00E12DBB"/>
    <w:rsid w:val="00E138C8"/>
    <w:rsid w:val="00E138DA"/>
    <w:rsid w:val="00E140EF"/>
    <w:rsid w:val="00E14674"/>
    <w:rsid w:val="00E14737"/>
    <w:rsid w:val="00E149E3"/>
    <w:rsid w:val="00E14CDC"/>
    <w:rsid w:val="00E15251"/>
    <w:rsid w:val="00E154E8"/>
    <w:rsid w:val="00E15911"/>
    <w:rsid w:val="00E15B1A"/>
    <w:rsid w:val="00E15D5E"/>
    <w:rsid w:val="00E15E7A"/>
    <w:rsid w:val="00E1607A"/>
    <w:rsid w:val="00E1662B"/>
    <w:rsid w:val="00E166DA"/>
    <w:rsid w:val="00E16C3F"/>
    <w:rsid w:val="00E16FEC"/>
    <w:rsid w:val="00E1727D"/>
    <w:rsid w:val="00E17536"/>
    <w:rsid w:val="00E17C64"/>
    <w:rsid w:val="00E17FFD"/>
    <w:rsid w:val="00E205CF"/>
    <w:rsid w:val="00E21EC1"/>
    <w:rsid w:val="00E2222E"/>
    <w:rsid w:val="00E22249"/>
    <w:rsid w:val="00E22799"/>
    <w:rsid w:val="00E22A8E"/>
    <w:rsid w:val="00E22B6E"/>
    <w:rsid w:val="00E230E9"/>
    <w:rsid w:val="00E236DE"/>
    <w:rsid w:val="00E236F1"/>
    <w:rsid w:val="00E23A8F"/>
    <w:rsid w:val="00E23CC3"/>
    <w:rsid w:val="00E23DA0"/>
    <w:rsid w:val="00E24397"/>
    <w:rsid w:val="00E2490B"/>
    <w:rsid w:val="00E24997"/>
    <w:rsid w:val="00E24AFD"/>
    <w:rsid w:val="00E24B4D"/>
    <w:rsid w:val="00E24F07"/>
    <w:rsid w:val="00E250CB"/>
    <w:rsid w:val="00E256C8"/>
    <w:rsid w:val="00E25842"/>
    <w:rsid w:val="00E25FC6"/>
    <w:rsid w:val="00E26040"/>
    <w:rsid w:val="00E2656A"/>
    <w:rsid w:val="00E26593"/>
    <w:rsid w:val="00E27315"/>
    <w:rsid w:val="00E305CC"/>
    <w:rsid w:val="00E307C3"/>
    <w:rsid w:val="00E3089E"/>
    <w:rsid w:val="00E30DCB"/>
    <w:rsid w:val="00E30EAA"/>
    <w:rsid w:val="00E30FDB"/>
    <w:rsid w:val="00E30FE1"/>
    <w:rsid w:val="00E313AB"/>
    <w:rsid w:val="00E316E8"/>
    <w:rsid w:val="00E318C0"/>
    <w:rsid w:val="00E31ED1"/>
    <w:rsid w:val="00E32507"/>
    <w:rsid w:val="00E32718"/>
    <w:rsid w:val="00E32A9D"/>
    <w:rsid w:val="00E33271"/>
    <w:rsid w:val="00E33903"/>
    <w:rsid w:val="00E33D9E"/>
    <w:rsid w:val="00E33E8B"/>
    <w:rsid w:val="00E34961"/>
    <w:rsid w:val="00E349F6"/>
    <w:rsid w:val="00E34D41"/>
    <w:rsid w:val="00E35106"/>
    <w:rsid w:val="00E3599C"/>
    <w:rsid w:val="00E35AB4"/>
    <w:rsid w:val="00E35ABC"/>
    <w:rsid w:val="00E35DF0"/>
    <w:rsid w:val="00E3602E"/>
    <w:rsid w:val="00E3615E"/>
    <w:rsid w:val="00E36B61"/>
    <w:rsid w:val="00E36B90"/>
    <w:rsid w:val="00E36E27"/>
    <w:rsid w:val="00E36E9A"/>
    <w:rsid w:val="00E37219"/>
    <w:rsid w:val="00E3759A"/>
    <w:rsid w:val="00E3792D"/>
    <w:rsid w:val="00E37969"/>
    <w:rsid w:val="00E37CAD"/>
    <w:rsid w:val="00E37ED8"/>
    <w:rsid w:val="00E37F18"/>
    <w:rsid w:val="00E400FD"/>
    <w:rsid w:val="00E40821"/>
    <w:rsid w:val="00E40912"/>
    <w:rsid w:val="00E40A3A"/>
    <w:rsid w:val="00E40E31"/>
    <w:rsid w:val="00E40E61"/>
    <w:rsid w:val="00E412D0"/>
    <w:rsid w:val="00E4140A"/>
    <w:rsid w:val="00E41A67"/>
    <w:rsid w:val="00E41DCD"/>
    <w:rsid w:val="00E42123"/>
    <w:rsid w:val="00E43156"/>
    <w:rsid w:val="00E43425"/>
    <w:rsid w:val="00E43695"/>
    <w:rsid w:val="00E439AA"/>
    <w:rsid w:val="00E43A65"/>
    <w:rsid w:val="00E43CCE"/>
    <w:rsid w:val="00E44375"/>
    <w:rsid w:val="00E4463B"/>
    <w:rsid w:val="00E446F6"/>
    <w:rsid w:val="00E448E2"/>
    <w:rsid w:val="00E449E0"/>
    <w:rsid w:val="00E44DF6"/>
    <w:rsid w:val="00E45BDE"/>
    <w:rsid w:val="00E45D54"/>
    <w:rsid w:val="00E467A3"/>
    <w:rsid w:val="00E47066"/>
    <w:rsid w:val="00E471D0"/>
    <w:rsid w:val="00E5010C"/>
    <w:rsid w:val="00E51241"/>
    <w:rsid w:val="00E51398"/>
    <w:rsid w:val="00E51757"/>
    <w:rsid w:val="00E518E5"/>
    <w:rsid w:val="00E51C4E"/>
    <w:rsid w:val="00E52283"/>
    <w:rsid w:val="00E52584"/>
    <w:rsid w:val="00E529A9"/>
    <w:rsid w:val="00E52ACF"/>
    <w:rsid w:val="00E52F64"/>
    <w:rsid w:val="00E530E8"/>
    <w:rsid w:val="00E533D9"/>
    <w:rsid w:val="00E5467B"/>
    <w:rsid w:val="00E54AB5"/>
    <w:rsid w:val="00E55730"/>
    <w:rsid w:val="00E55E8C"/>
    <w:rsid w:val="00E55FD5"/>
    <w:rsid w:val="00E56322"/>
    <w:rsid w:val="00E566B6"/>
    <w:rsid w:val="00E56950"/>
    <w:rsid w:val="00E56A3B"/>
    <w:rsid w:val="00E56F52"/>
    <w:rsid w:val="00E57012"/>
    <w:rsid w:val="00E57A0F"/>
    <w:rsid w:val="00E57C0D"/>
    <w:rsid w:val="00E60042"/>
    <w:rsid w:val="00E60621"/>
    <w:rsid w:val="00E60982"/>
    <w:rsid w:val="00E60987"/>
    <w:rsid w:val="00E61344"/>
    <w:rsid w:val="00E616A3"/>
    <w:rsid w:val="00E6181F"/>
    <w:rsid w:val="00E61999"/>
    <w:rsid w:val="00E61E02"/>
    <w:rsid w:val="00E622E6"/>
    <w:rsid w:val="00E62C62"/>
    <w:rsid w:val="00E6364D"/>
    <w:rsid w:val="00E63A36"/>
    <w:rsid w:val="00E647ED"/>
    <w:rsid w:val="00E654C1"/>
    <w:rsid w:val="00E65A12"/>
    <w:rsid w:val="00E65D97"/>
    <w:rsid w:val="00E65EB6"/>
    <w:rsid w:val="00E66169"/>
    <w:rsid w:val="00E66428"/>
    <w:rsid w:val="00E666E4"/>
    <w:rsid w:val="00E66BBB"/>
    <w:rsid w:val="00E67021"/>
    <w:rsid w:val="00E67314"/>
    <w:rsid w:val="00E673B1"/>
    <w:rsid w:val="00E67F18"/>
    <w:rsid w:val="00E713D9"/>
    <w:rsid w:val="00E71BC4"/>
    <w:rsid w:val="00E7213D"/>
    <w:rsid w:val="00E726C9"/>
    <w:rsid w:val="00E72732"/>
    <w:rsid w:val="00E72A5A"/>
    <w:rsid w:val="00E72D96"/>
    <w:rsid w:val="00E731B5"/>
    <w:rsid w:val="00E73281"/>
    <w:rsid w:val="00E73354"/>
    <w:rsid w:val="00E73765"/>
    <w:rsid w:val="00E739EE"/>
    <w:rsid w:val="00E743ED"/>
    <w:rsid w:val="00E7446B"/>
    <w:rsid w:val="00E74D1A"/>
    <w:rsid w:val="00E74EA1"/>
    <w:rsid w:val="00E7513B"/>
    <w:rsid w:val="00E75975"/>
    <w:rsid w:val="00E75D9A"/>
    <w:rsid w:val="00E7717C"/>
    <w:rsid w:val="00E77560"/>
    <w:rsid w:val="00E77684"/>
    <w:rsid w:val="00E7789B"/>
    <w:rsid w:val="00E77A45"/>
    <w:rsid w:val="00E77ECE"/>
    <w:rsid w:val="00E805C0"/>
    <w:rsid w:val="00E80728"/>
    <w:rsid w:val="00E80740"/>
    <w:rsid w:val="00E8092F"/>
    <w:rsid w:val="00E8094A"/>
    <w:rsid w:val="00E80963"/>
    <w:rsid w:val="00E80E90"/>
    <w:rsid w:val="00E81240"/>
    <w:rsid w:val="00E81758"/>
    <w:rsid w:val="00E81811"/>
    <w:rsid w:val="00E81907"/>
    <w:rsid w:val="00E81F3D"/>
    <w:rsid w:val="00E81F6B"/>
    <w:rsid w:val="00E82BDC"/>
    <w:rsid w:val="00E82BE1"/>
    <w:rsid w:val="00E82ED8"/>
    <w:rsid w:val="00E83141"/>
    <w:rsid w:val="00E83826"/>
    <w:rsid w:val="00E83F4A"/>
    <w:rsid w:val="00E84197"/>
    <w:rsid w:val="00E84BE2"/>
    <w:rsid w:val="00E84D8E"/>
    <w:rsid w:val="00E8537B"/>
    <w:rsid w:val="00E858E2"/>
    <w:rsid w:val="00E859C6"/>
    <w:rsid w:val="00E85B92"/>
    <w:rsid w:val="00E85E3C"/>
    <w:rsid w:val="00E86481"/>
    <w:rsid w:val="00E8654A"/>
    <w:rsid w:val="00E86AAE"/>
    <w:rsid w:val="00E86DED"/>
    <w:rsid w:val="00E873BE"/>
    <w:rsid w:val="00E876D7"/>
    <w:rsid w:val="00E87BA2"/>
    <w:rsid w:val="00E87CC9"/>
    <w:rsid w:val="00E90577"/>
    <w:rsid w:val="00E907A1"/>
    <w:rsid w:val="00E90D0C"/>
    <w:rsid w:val="00E9135F"/>
    <w:rsid w:val="00E91588"/>
    <w:rsid w:val="00E918A4"/>
    <w:rsid w:val="00E91A93"/>
    <w:rsid w:val="00E9201E"/>
    <w:rsid w:val="00E92064"/>
    <w:rsid w:val="00E920CE"/>
    <w:rsid w:val="00E923DC"/>
    <w:rsid w:val="00E9242D"/>
    <w:rsid w:val="00E925D0"/>
    <w:rsid w:val="00E92686"/>
    <w:rsid w:val="00E92A5F"/>
    <w:rsid w:val="00E92E3E"/>
    <w:rsid w:val="00E92E74"/>
    <w:rsid w:val="00E9305E"/>
    <w:rsid w:val="00E93443"/>
    <w:rsid w:val="00E935A6"/>
    <w:rsid w:val="00E936C0"/>
    <w:rsid w:val="00E93837"/>
    <w:rsid w:val="00E938DE"/>
    <w:rsid w:val="00E93976"/>
    <w:rsid w:val="00E93AE7"/>
    <w:rsid w:val="00E93E19"/>
    <w:rsid w:val="00E93FCB"/>
    <w:rsid w:val="00E94298"/>
    <w:rsid w:val="00E94557"/>
    <w:rsid w:val="00E94708"/>
    <w:rsid w:val="00E94A94"/>
    <w:rsid w:val="00E95026"/>
    <w:rsid w:val="00E9539E"/>
    <w:rsid w:val="00E95A84"/>
    <w:rsid w:val="00E9613C"/>
    <w:rsid w:val="00E96234"/>
    <w:rsid w:val="00E96297"/>
    <w:rsid w:val="00E963D9"/>
    <w:rsid w:val="00E96F76"/>
    <w:rsid w:val="00E97380"/>
    <w:rsid w:val="00E97C3A"/>
    <w:rsid w:val="00EA0512"/>
    <w:rsid w:val="00EA07B2"/>
    <w:rsid w:val="00EA0986"/>
    <w:rsid w:val="00EA0C5A"/>
    <w:rsid w:val="00EA0E03"/>
    <w:rsid w:val="00EA0E92"/>
    <w:rsid w:val="00EA0F07"/>
    <w:rsid w:val="00EA161E"/>
    <w:rsid w:val="00EA1ED9"/>
    <w:rsid w:val="00EA1EE0"/>
    <w:rsid w:val="00EA2171"/>
    <w:rsid w:val="00EA2430"/>
    <w:rsid w:val="00EA2925"/>
    <w:rsid w:val="00EA38D9"/>
    <w:rsid w:val="00EA38F0"/>
    <w:rsid w:val="00EA399A"/>
    <w:rsid w:val="00EA4211"/>
    <w:rsid w:val="00EA46EC"/>
    <w:rsid w:val="00EA4748"/>
    <w:rsid w:val="00EA47C3"/>
    <w:rsid w:val="00EA4D37"/>
    <w:rsid w:val="00EA541A"/>
    <w:rsid w:val="00EA57EF"/>
    <w:rsid w:val="00EA5C25"/>
    <w:rsid w:val="00EA5C36"/>
    <w:rsid w:val="00EA657D"/>
    <w:rsid w:val="00EA6832"/>
    <w:rsid w:val="00EA7164"/>
    <w:rsid w:val="00EA71D7"/>
    <w:rsid w:val="00EA77C3"/>
    <w:rsid w:val="00EA7E48"/>
    <w:rsid w:val="00EB039B"/>
    <w:rsid w:val="00EB0877"/>
    <w:rsid w:val="00EB096D"/>
    <w:rsid w:val="00EB0CE5"/>
    <w:rsid w:val="00EB0D94"/>
    <w:rsid w:val="00EB0DA8"/>
    <w:rsid w:val="00EB1240"/>
    <w:rsid w:val="00EB13B6"/>
    <w:rsid w:val="00EB1D44"/>
    <w:rsid w:val="00EB219C"/>
    <w:rsid w:val="00EB2330"/>
    <w:rsid w:val="00EB282A"/>
    <w:rsid w:val="00EB2B6E"/>
    <w:rsid w:val="00EB2C87"/>
    <w:rsid w:val="00EB326C"/>
    <w:rsid w:val="00EB3303"/>
    <w:rsid w:val="00EB35DD"/>
    <w:rsid w:val="00EB3BDF"/>
    <w:rsid w:val="00EB3F6C"/>
    <w:rsid w:val="00EB44E3"/>
    <w:rsid w:val="00EB44FF"/>
    <w:rsid w:val="00EB45D9"/>
    <w:rsid w:val="00EB47C0"/>
    <w:rsid w:val="00EB47E9"/>
    <w:rsid w:val="00EB4E9C"/>
    <w:rsid w:val="00EB50EB"/>
    <w:rsid w:val="00EB51DC"/>
    <w:rsid w:val="00EB5255"/>
    <w:rsid w:val="00EB533D"/>
    <w:rsid w:val="00EB55F8"/>
    <w:rsid w:val="00EB5614"/>
    <w:rsid w:val="00EB5B41"/>
    <w:rsid w:val="00EB5BB7"/>
    <w:rsid w:val="00EB5C47"/>
    <w:rsid w:val="00EB7500"/>
    <w:rsid w:val="00EB79D3"/>
    <w:rsid w:val="00EC0053"/>
    <w:rsid w:val="00EC007C"/>
    <w:rsid w:val="00EC027D"/>
    <w:rsid w:val="00EC07E2"/>
    <w:rsid w:val="00EC08FF"/>
    <w:rsid w:val="00EC0A0E"/>
    <w:rsid w:val="00EC0CBB"/>
    <w:rsid w:val="00EC0CE5"/>
    <w:rsid w:val="00EC14EA"/>
    <w:rsid w:val="00EC155A"/>
    <w:rsid w:val="00EC1764"/>
    <w:rsid w:val="00EC1772"/>
    <w:rsid w:val="00EC17C2"/>
    <w:rsid w:val="00EC1A73"/>
    <w:rsid w:val="00EC1C38"/>
    <w:rsid w:val="00EC2101"/>
    <w:rsid w:val="00EC2314"/>
    <w:rsid w:val="00EC2827"/>
    <w:rsid w:val="00EC2BDC"/>
    <w:rsid w:val="00EC32A1"/>
    <w:rsid w:val="00EC386E"/>
    <w:rsid w:val="00EC3AAC"/>
    <w:rsid w:val="00EC3ADC"/>
    <w:rsid w:val="00EC43D0"/>
    <w:rsid w:val="00EC4486"/>
    <w:rsid w:val="00EC4622"/>
    <w:rsid w:val="00EC4869"/>
    <w:rsid w:val="00EC518E"/>
    <w:rsid w:val="00EC5C12"/>
    <w:rsid w:val="00EC5E07"/>
    <w:rsid w:val="00EC5F97"/>
    <w:rsid w:val="00EC6723"/>
    <w:rsid w:val="00EC6AA5"/>
    <w:rsid w:val="00EC6D5C"/>
    <w:rsid w:val="00EC6F23"/>
    <w:rsid w:val="00EC6F89"/>
    <w:rsid w:val="00EC6FB9"/>
    <w:rsid w:val="00EC75B8"/>
    <w:rsid w:val="00EC784F"/>
    <w:rsid w:val="00ED006C"/>
    <w:rsid w:val="00ED01A1"/>
    <w:rsid w:val="00ED0639"/>
    <w:rsid w:val="00ED0ADA"/>
    <w:rsid w:val="00ED0C58"/>
    <w:rsid w:val="00ED0D67"/>
    <w:rsid w:val="00ED121A"/>
    <w:rsid w:val="00ED149A"/>
    <w:rsid w:val="00ED1665"/>
    <w:rsid w:val="00ED1A59"/>
    <w:rsid w:val="00ED1F0E"/>
    <w:rsid w:val="00ED2053"/>
    <w:rsid w:val="00ED2175"/>
    <w:rsid w:val="00ED2AB1"/>
    <w:rsid w:val="00ED2E3D"/>
    <w:rsid w:val="00ED34FF"/>
    <w:rsid w:val="00ED395C"/>
    <w:rsid w:val="00ED3CB6"/>
    <w:rsid w:val="00ED3F0D"/>
    <w:rsid w:val="00ED4148"/>
    <w:rsid w:val="00ED468A"/>
    <w:rsid w:val="00ED48B9"/>
    <w:rsid w:val="00ED4EA2"/>
    <w:rsid w:val="00ED51C4"/>
    <w:rsid w:val="00ED5A7E"/>
    <w:rsid w:val="00ED5D08"/>
    <w:rsid w:val="00ED6D54"/>
    <w:rsid w:val="00ED6D89"/>
    <w:rsid w:val="00ED73DB"/>
    <w:rsid w:val="00ED745E"/>
    <w:rsid w:val="00ED772D"/>
    <w:rsid w:val="00ED7988"/>
    <w:rsid w:val="00EE1084"/>
    <w:rsid w:val="00EE133C"/>
    <w:rsid w:val="00EE15B8"/>
    <w:rsid w:val="00EE15D0"/>
    <w:rsid w:val="00EE19BA"/>
    <w:rsid w:val="00EE19DA"/>
    <w:rsid w:val="00EE23FB"/>
    <w:rsid w:val="00EE2525"/>
    <w:rsid w:val="00EE2830"/>
    <w:rsid w:val="00EE2B18"/>
    <w:rsid w:val="00EE2D1F"/>
    <w:rsid w:val="00EE30A2"/>
    <w:rsid w:val="00EE31C9"/>
    <w:rsid w:val="00EE3254"/>
    <w:rsid w:val="00EE373E"/>
    <w:rsid w:val="00EE4013"/>
    <w:rsid w:val="00EE49D6"/>
    <w:rsid w:val="00EE4D91"/>
    <w:rsid w:val="00EE5215"/>
    <w:rsid w:val="00EE586D"/>
    <w:rsid w:val="00EE5959"/>
    <w:rsid w:val="00EE5B9E"/>
    <w:rsid w:val="00EE6294"/>
    <w:rsid w:val="00EE64EC"/>
    <w:rsid w:val="00EE766A"/>
    <w:rsid w:val="00EE79A8"/>
    <w:rsid w:val="00EE7C11"/>
    <w:rsid w:val="00EE7F94"/>
    <w:rsid w:val="00EF0366"/>
    <w:rsid w:val="00EF041A"/>
    <w:rsid w:val="00EF0609"/>
    <w:rsid w:val="00EF0783"/>
    <w:rsid w:val="00EF0912"/>
    <w:rsid w:val="00EF0986"/>
    <w:rsid w:val="00EF098E"/>
    <w:rsid w:val="00EF0CC9"/>
    <w:rsid w:val="00EF18DB"/>
    <w:rsid w:val="00EF1AF3"/>
    <w:rsid w:val="00EF22C7"/>
    <w:rsid w:val="00EF25DC"/>
    <w:rsid w:val="00EF26B1"/>
    <w:rsid w:val="00EF28C1"/>
    <w:rsid w:val="00EF2DA1"/>
    <w:rsid w:val="00EF2FD8"/>
    <w:rsid w:val="00EF2FDE"/>
    <w:rsid w:val="00EF3A08"/>
    <w:rsid w:val="00EF3A7C"/>
    <w:rsid w:val="00EF4081"/>
    <w:rsid w:val="00EF40FD"/>
    <w:rsid w:val="00EF41F4"/>
    <w:rsid w:val="00EF43C2"/>
    <w:rsid w:val="00EF4755"/>
    <w:rsid w:val="00EF50C0"/>
    <w:rsid w:val="00EF51A3"/>
    <w:rsid w:val="00EF68BD"/>
    <w:rsid w:val="00EF6A0D"/>
    <w:rsid w:val="00EF6AC3"/>
    <w:rsid w:val="00EF7135"/>
    <w:rsid w:val="00F003DA"/>
    <w:rsid w:val="00F00673"/>
    <w:rsid w:val="00F00863"/>
    <w:rsid w:val="00F00872"/>
    <w:rsid w:val="00F00A3C"/>
    <w:rsid w:val="00F00A6A"/>
    <w:rsid w:val="00F00B36"/>
    <w:rsid w:val="00F01BD0"/>
    <w:rsid w:val="00F01E2B"/>
    <w:rsid w:val="00F01FAD"/>
    <w:rsid w:val="00F023D5"/>
    <w:rsid w:val="00F027DB"/>
    <w:rsid w:val="00F02885"/>
    <w:rsid w:val="00F029AE"/>
    <w:rsid w:val="00F03628"/>
    <w:rsid w:val="00F03833"/>
    <w:rsid w:val="00F03B8C"/>
    <w:rsid w:val="00F04173"/>
    <w:rsid w:val="00F042A3"/>
    <w:rsid w:val="00F042DC"/>
    <w:rsid w:val="00F047D2"/>
    <w:rsid w:val="00F04900"/>
    <w:rsid w:val="00F049CD"/>
    <w:rsid w:val="00F04C06"/>
    <w:rsid w:val="00F04C1D"/>
    <w:rsid w:val="00F0530D"/>
    <w:rsid w:val="00F054BB"/>
    <w:rsid w:val="00F05D48"/>
    <w:rsid w:val="00F05D66"/>
    <w:rsid w:val="00F05F9F"/>
    <w:rsid w:val="00F05FE2"/>
    <w:rsid w:val="00F060B1"/>
    <w:rsid w:val="00F062DC"/>
    <w:rsid w:val="00F06502"/>
    <w:rsid w:val="00F06C7F"/>
    <w:rsid w:val="00F06C86"/>
    <w:rsid w:val="00F06DC3"/>
    <w:rsid w:val="00F07B09"/>
    <w:rsid w:val="00F07E1A"/>
    <w:rsid w:val="00F10C64"/>
    <w:rsid w:val="00F11384"/>
    <w:rsid w:val="00F11423"/>
    <w:rsid w:val="00F11A6B"/>
    <w:rsid w:val="00F11EFA"/>
    <w:rsid w:val="00F12A71"/>
    <w:rsid w:val="00F12A8C"/>
    <w:rsid w:val="00F12B58"/>
    <w:rsid w:val="00F12E47"/>
    <w:rsid w:val="00F1338C"/>
    <w:rsid w:val="00F137E7"/>
    <w:rsid w:val="00F13B91"/>
    <w:rsid w:val="00F13F9A"/>
    <w:rsid w:val="00F1465F"/>
    <w:rsid w:val="00F146A0"/>
    <w:rsid w:val="00F14A7A"/>
    <w:rsid w:val="00F14B2F"/>
    <w:rsid w:val="00F14C43"/>
    <w:rsid w:val="00F14D2C"/>
    <w:rsid w:val="00F15238"/>
    <w:rsid w:val="00F1550D"/>
    <w:rsid w:val="00F157CE"/>
    <w:rsid w:val="00F15E41"/>
    <w:rsid w:val="00F15F3B"/>
    <w:rsid w:val="00F16149"/>
    <w:rsid w:val="00F16608"/>
    <w:rsid w:val="00F169E3"/>
    <w:rsid w:val="00F175EF"/>
    <w:rsid w:val="00F1785F"/>
    <w:rsid w:val="00F17AF3"/>
    <w:rsid w:val="00F20A4A"/>
    <w:rsid w:val="00F2172F"/>
    <w:rsid w:val="00F219A1"/>
    <w:rsid w:val="00F21E51"/>
    <w:rsid w:val="00F21F09"/>
    <w:rsid w:val="00F22754"/>
    <w:rsid w:val="00F22978"/>
    <w:rsid w:val="00F22985"/>
    <w:rsid w:val="00F22D4C"/>
    <w:rsid w:val="00F2311C"/>
    <w:rsid w:val="00F2328E"/>
    <w:rsid w:val="00F234AC"/>
    <w:rsid w:val="00F23996"/>
    <w:rsid w:val="00F23A95"/>
    <w:rsid w:val="00F24160"/>
    <w:rsid w:val="00F24205"/>
    <w:rsid w:val="00F2421D"/>
    <w:rsid w:val="00F2436C"/>
    <w:rsid w:val="00F249E6"/>
    <w:rsid w:val="00F24BB4"/>
    <w:rsid w:val="00F2518B"/>
    <w:rsid w:val="00F2519F"/>
    <w:rsid w:val="00F251D5"/>
    <w:rsid w:val="00F25598"/>
    <w:rsid w:val="00F25D1B"/>
    <w:rsid w:val="00F25D55"/>
    <w:rsid w:val="00F25E81"/>
    <w:rsid w:val="00F2659B"/>
    <w:rsid w:val="00F26FAA"/>
    <w:rsid w:val="00F27805"/>
    <w:rsid w:val="00F27FC9"/>
    <w:rsid w:val="00F30012"/>
    <w:rsid w:val="00F3004E"/>
    <w:rsid w:val="00F30426"/>
    <w:rsid w:val="00F30A92"/>
    <w:rsid w:val="00F312F7"/>
    <w:rsid w:val="00F31C17"/>
    <w:rsid w:val="00F31FA0"/>
    <w:rsid w:val="00F32089"/>
    <w:rsid w:val="00F32210"/>
    <w:rsid w:val="00F322FE"/>
    <w:rsid w:val="00F3236D"/>
    <w:rsid w:val="00F323D3"/>
    <w:rsid w:val="00F32578"/>
    <w:rsid w:val="00F32787"/>
    <w:rsid w:val="00F332B0"/>
    <w:rsid w:val="00F33367"/>
    <w:rsid w:val="00F3383E"/>
    <w:rsid w:val="00F33C28"/>
    <w:rsid w:val="00F34328"/>
    <w:rsid w:val="00F344A0"/>
    <w:rsid w:val="00F34C19"/>
    <w:rsid w:val="00F34D27"/>
    <w:rsid w:val="00F34EB7"/>
    <w:rsid w:val="00F35063"/>
    <w:rsid w:val="00F35089"/>
    <w:rsid w:val="00F3530D"/>
    <w:rsid w:val="00F3589B"/>
    <w:rsid w:val="00F35B33"/>
    <w:rsid w:val="00F35B54"/>
    <w:rsid w:val="00F35C83"/>
    <w:rsid w:val="00F35CF1"/>
    <w:rsid w:val="00F363CE"/>
    <w:rsid w:val="00F366D6"/>
    <w:rsid w:val="00F3690D"/>
    <w:rsid w:val="00F369F5"/>
    <w:rsid w:val="00F36C53"/>
    <w:rsid w:val="00F37050"/>
    <w:rsid w:val="00F37E89"/>
    <w:rsid w:val="00F37FC8"/>
    <w:rsid w:val="00F400C2"/>
    <w:rsid w:val="00F40668"/>
    <w:rsid w:val="00F40C88"/>
    <w:rsid w:val="00F40E03"/>
    <w:rsid w:val="00F40FF3"/>
    <w:rsid w:val="00F41117"/>
    <w:rsid w:val="00F41776"/>
    <w:rsid w:val="00F418CC"/>
    <w:rsid w:val="00F41A07"/>
    <w:rsid w:val="00F41B40"/>
    <w:rsid w:val="00F42220"/>
    <w:rsid w:val="00F425CC"/>
    <w:rsid w:val="00F42865"/>
    <w:rsid w:val="00F42C36"/>
    <w:rsid w:val="00F42CE3"/>
    <w:rsid w:val="00F42F37"/>
    <w:rsid w:val="00F42F63"/>
    <w:rsid w:val="00F43094"/>
    <w:rsid w:val="00F432DF"/>
    <w:rsid w:val="00F434BB"/>
    <w:rsid w:val="00F435B4"/>
    <w:rsid w:val="00F43B22"/>
    <w:rsid w:val="00F44589"/>
    <w:rsid w:val="00F447F8"/>
    <w:rsid w:val="00F448BB"/>
    <w:rsid w:val="00F44995"/>
    <w:rsid w:val="00F44C7D"/>
    <w:rsid w:val="00F44EC8"/>
    <w:rsid w:val="00F44F3F"/>
    <w:rsid w:val="00F4523B"/>
    <w:rsid w:val="00F4580C"/>
    <w:rsid w:val="00F45834"/>
    <w:rsid w:val="00F45885"/>
    <w:rsid w:val="00F4592F"/>
    <w:rsid w:val="00F45A15"/>
    <w:rsid w:val="00F4612B"/>
    <w:rsid w:val="00F461B7"/>
    <w:rsid w:val="00F46530"/>
    <w:rsid w:val="00F46596"/>
    <w:rsid w:val="00F465A7"/>
    <w:rsid w:val="00F46633"/>
    <w:rsid w:val="00F46A54"/>
    <w:rsid w:val="00F46DFE"/>
    <w:rsid w:val="00F46E40"/>
    <w:rsid w:val="00F46F23"/>
    <w:rsid w:val="00F46F36"/>
    <w:rsid w:val="00F47061"/>
    <w:rsid w:val="00F47086"/>
    <w:rsid w:val="00F47129"/>
    <w:rsid w:val="00F472D7"/>
    <w:rsid w:val="00F4752C"/>
    <w:rsid w:val="00F476EE"/>
    <w:rsid w:val="00F47769"/>
    <w:rsid w:val="00F47B6B"/>
    <w:rsid w:val="00F47DB3"/>
    <w:rsid w:val="00F47E8F"/>
    <w:rsid w:val="00F47FBB"/>
    <w:rsid w:val="00F5004C"/>
    <w:rsid w:val="00F50833"/>
    <w:rsid w:val="00F50B7C"/>
    <w:rsid w:val="00F50F3C"/>
    <w:rsid w:val="00F51117"/>
    <w:rsid w:val="00F51131"/>
    <w:rsid w:val="00F5117E"/>
    <w:rsid w:val="00F513DE"/>
    <w:rsid w:val="00F51823"/>
    <w:rsid w:val="00F51AE4"/>
    <w:rsid w:val="00F524A2"/>
    <w:rsid w:val="00F52A93"/>
    <w:rsid w:val="00F52FEC"/>
    <w:rsid w:val="00F532DC"/>
    <w:rsid w:val="00F534C4"/>
    <w:rsid w:val="00F53D7B"/>
    <w:rsid w:val="00F53DC1"/>
    <w:rsid w:val="00F544AE"/>
    <w:rsid w:val="00F545AF"/>
    <w:rsid w:val="00F547F1"/>
    <w:rsid w:val="00F54B1E"/>
    <w:rsid w:val="00F54CD9"/>
    <w:rsid w:val="00F54D1F"/>
    <w:rsid w:val="00F54F3D"/>
    <w:rsid w:val="00F550E6"/>
    <w:rsid w:val="00F550EE"/>
    <w:rsid w:val="00F55A4D"/>
    <w:rsid w:val="00F55A60"/>
    <w:rsid w:val="00F56159"/>
    <w:rsid w:val="00F563F0"/>
    <w:rsid w:val="00F565C5"/>
    <w:rsid w:val="00F5672E"/>
    <w:rsid w:val="00F569DA"/>
    <w:rsid w:val="00F56DCD"/>
    <w:rsid w:val="00F56E2E"/>
    <w:rsid w:val="00F56FDF"/>
    <w:rsid w:val="00F5716C"/>
    <w:rsid w:val="00F573D5"/>
    <w:rsid w:val="00F574FB"/>
    <w:rsid w:val="00F602AD"/>
    <w:rsid w:val="00F6044A"/>
    <w:rsid w:val="00F60490"/>
    <w:rsid w:val="00F60611"/>
    <w:rsid w:val="00F60714"/>
    <w:rsid w:val="00F60E91"/>
    <w:rsid w:val="00F612C4"/>
    <w:rsid w:val="00F612D9"/>
    <w:rsid w:val="00F613E8"/>
    <w:rsid w:val="00F61432"/>
    <w:rsid w:val="00F6151F"/>
    <w:rsid w:val="00F61F80"/>
    <w:rsid w:val="00F61F90"/>
    <w:rsid w:val="00F621DA"/>
    <w:rsid w:val="00F628F4"/>
    <w:rsid w:val="00F6297D"/>
    <w:rsid w:val="00F62B51"/>
    <w:rsid w:val="00F62C3B"/>
    <w:rsid w:val="00F633B2"/>
    <w:rsid w:val="00F6357C"/>
    <w:rsid w:val="00F63BA8"/>
    <w:rsid w:val="00F65285"/>
    <w:rsid w:val="00F652B5"/>
    <w:rsid w:val="00F6542D"/>
    <w:rsid w:val="00F655A1"/>
    <w:rsid w:val="00F667E7"/>
    <w:rsid w:val="00F66CE5"/>
    <w:rsid w:val="00F672F1"/>
    <w:rsid w:val="00F678CB"/>
    <w:rsid w:val="00F67FC3"/>
    <w:rsid w:val="00F70059"/>
    <w:rsid w:val="00F70562"/>
    <w:rsid w:val="00F70AD7"/>
    <w:rsid w:val="00F70EDB"/>
    <w:rsid w:val="00F71379"/>
    <w:rsid w:val="00F71FAE"/>
    <w:rsid w:val="00F72142"/>
    <w:rsid w:val="00F73026"/>
    <w:rsid w:val="00F730C8"/>
    <w:rsid w:val="00F7330E"/>
    <w:rsid w:val="00F7333F"/>
    <w:rsid w:val="00F738E5"/>
    <w:rsid w:val="00F73ACB"/>
    <w:rsid w:val="00F73C6B"/>
    <w:rsid w:val="00F73D26"/>
    <w:rsid w:val="00F74071"/>
    <w:rsid w:val="00F74345"/>
    <w:rsid w:val="00F7440A"/>
    <w:rsid w:val="00F748D3"/>
    <w:rsid w:val="00F74B03"/>
    <w:rsid w:val="00F74C79"/>
    <w:rsid w:val="00F74F55"/>
    <w:rsid w:val="00F7503C"/>
    <w:rsid w:val="00F7512D"/>
    <w:rsid w:val="00F754A9"/>
    <w:rsid w:val="00F7587A"/>
    <w:rsid w:val="00F75893"/>
    <w:rsid w:val="00F75904"/>
    <w:rsid w:val="00F75A31"/>
    <w:rsid w:val="00F75C53"/>
    <w:rsid w:val="00F75CF0"/>
    <w:rsid w:val="00F75D30"/>
    <w:rsid w:val="00F75FB6"/>
    <w:rsid w:val="00F7610A"/>
    <w:rsid w:val="00F7614D"/>
    <w:rsid w:val="00F7635E"/>
    <w:rsid w:val="00F768BC"/>
    <w:rsid w:val="00F76BF3"/>
    <w:rsid w:val="00F7712C"/>
    <w:rsid w:val="00F77449"/>
    <w:rsid w:val="00F7777A"/>
    <w:rsid w:val="00F77F51"/>
    <w:rsid w:val="00F77F88"/>
    <w:rsid w:val="00F77FD7"/>
    <w:rsid w:val="00F805FF"/>
    <w:rsid w:val="00F80A0A"/>
    <w:rsid w:val="00F80B00"/>
    <w:rsid w:val="00F80D37"/>
    <w:rsid w:val="00F81235"/>
    <w:rsid w:val="00F814C6"/>
    <w:rsid w:val="00F81859"/>
    <w:rsid w:val="00F81AC6"/>
    <w:rsid w:val="00F81B54"/>
    <w:rsid w:val="00F81C94"/>
    <w:rsid w:val="00F81EA8"/>
    <w:rsid w:val="00F81F9C"/>
    <w:rsid w:val="00F82644"/>
    <w:rsid w:val="00F826DD"/>
    <w:rsid w:val="00F826DF"/>
    <w:rsid w:val="00F8283C"/>
    <w:rsid w:val="00F82B19"/>
    <w:rsid w:val="00F83589"/>
    <w:rsid w:val="00F83C90"/>
    <w:rsid w:val="00F844AA"/>
    <w:rsid w:val="00F8452A"/>
    <w:rsid w:val="00F84842"/>
    <w:rsid w:val="00F84A0A"/>
    <w:rsid w:val="00F8580A"/>
    <w:rsid w:val="00F85C48"/>
    <w:rsid w:val="00F86050"/>
    <w:rsid w:val="00F860FF"/>
    <w:rsid w:val="00F865F8"/>
    <w:rsid w:val="00F86E1E"/>
    <w:rsid w:val="00F87833"/>
    <w:rsid w:val="00F87A98"/>
    <w:rsid w:val="00F90338"/>
    <w:rsid w:val="00F90469"/>
    <w:rsid w:val="00F90753"/>
    <w:rsid w:val="00F90D60"/>
    <w:rsid w:val="00F910A2"/>
    <w:rsid w:val="00F910A9"/>
    <w:rsid w:val="00F917BA"/>
    <w:rsid w:val="00F91815"/>
    <w:rsid w:val="00F91A5C"/>
    <w:rsid w:val="00F9212D"/>
    <w:rsid w:val="00F92F14"/>
    <w:rsid w:val="00F93172"/>
    <w:rsid w:val="00F931BF"/>
    <w:rsid w:val="00F93206"/>
    <w:rsid w:val="00F93734"/>
    <w:rsid w:val="00F93BF6"/>
    <w:rsid w:val="00F93C03"/>
    <w:rsid w:val="00F93E50"/>
    <w:rsid w:val="00F9427D"/>
    <w:rsid w:val="00F945D9"/>
    <w:rsid w:val="00F947B1"/>
    <w:rsid w:val="00F94897"/>
    <w:rsid w:val="00F94B44"/>
    <w:rsid w:val="00F94EC9"/>
    <w:rsid w:val="00F94FC4"/>
    <w:rsid w:val="00F9513F"/>
    <w:rsid w:val="00F953E0"/>
    <w:rsid w:val="00F9566C"/>
    <w:rsid w:val="00F959A2"/>
    <w:rsid w:val="00F96065"/>
    <w:rsid w:val="00F963B5"/>
    <w:rsid w:val="00F964FA"/>
    <w:rsid w:val="00F965DA"/>
    <w:rsid w:val="00F9740B"/>
    <w:rsid w:val="00F975F7"/>
    <w:rsid w:val="00F976B3"/>
    <w:rsid w:val="00F97961"/>
    <w:rsid w:val="00F97C34"/>
    <w:rsid w:val="00FA052D"/>
    <w:rsid w:val="00FA0D24"/>
    <w:rsid w:val="00FA1400"/>
    <w:rsid w:val="00FA1A17"/>
    <w:rsid w:val="00FA1BAF"/>
    <w:rsid w:val="00FA1C70"/>
    <w:rsid w:val="00FA2701"/>
    <w:rsid w:val="00FA2756"/>
    <w:rsid w:val="00FA2DA9"/>
    <w:rsid w:val="00FA2E80"/>
    <w:rsid w:val="00FA3042"/>
    <w:rsid w:val="00FA3291"/>
    <w:rsid w:val="00FA3B46"/>
    <w:rsid w:val="00FA3E07"/>
    <w:rsid w:val="00FA406A"/>
    <w:rsid w:val="00FA410B"/>
    <w:rsid w:val="00FA4205"/>
    <w:rsid w:val="00FA426A"/>
    <w:rsid w:val="00FA4559"/>
    <w:rsid w:val="00FA4590"/>
    <w:rsid w:val="00FA4F7D"/>
    <w:rsid w:val="00FA4F8C"/>
    <w:rsid w:val="00FA50D1"/>
    <w:rsid w:val="00FA56F7"/>
    <w:rsid w:val="00FA5DF5"/>
    <w:rsid w:val="00FA60B2"/>
    <w:rsid w:val="00FA6A3A"/>
    <w:rsid w:val="00FA6BB0"/>
    <w:rsid w:val="00FA6EF9"/>
    <w:rsid w:val="00FA7035"/>
    <w:rsid w:val="00FA7176"/>
    <w:rsid w:val="00FA73BD"/>
    <w:rsid w:val="00FA73CE"/>
    <w:rsid w:val="00FA750E"/>
    <w:rsid w:val="00FA779A"/>
    <w:rsid w:val="00FB03F0"/>
    <w:rsid w:val="00FB0416"/>
    <w:rsid w:val="00FB0F25"/>
    <w:rsid w:val="00FB13F8"/>
    <w:rsid w:val="00FB161B"/>
    <w:rsid w:val="00FB170D"/>
    <w:rsid w:val="00FB1CE9"/>
    <w:rsid w:val="00FB1DC4"/>
    <w:rsid w:val="00FB1E5E"/>
    <w:rsid w:val="00FB1EAF"/>
    <w:rsid w:val="00FB2108"/>
    <w:rsid w:val="00FB22DE"/>
    <w:rsid w:val="00FB3326"/>
    <w:rsid w:val="00FB334A"/>
    <w:rsid w:val="00FB352B"/>
    <w:rsid w:val="00FB3704"/>
    <w:rsid w:val="00FB3942"/>
    <w:rsid w:val="00FB3957"/>
    <w:rsid w:val="00FB3CD7"/>
    <w:rsid w:val="00FB3E94"/>
    <w:rsid w:val="00FB3F1E"/>
    <w:rsid w:val="00FB42BC"/>
    <w:rsid w:val="00FB44EA"/>
    <w:rsid w:val="00FB46C7"/>
    <w:rsid w:val="00FB49F9"/>
    <w:rsid w:val="00FB4A97"/>
    <w:rsid w:val="00FB503A"/>
    <w:rsid w:val="00FB508E"/>
    <w:rsid w:val="00FB516C"/>
    <w:rsid w:val="00FB541A"/>
    <w:rsid w:val="00FB5432"/>
    <w:rsid w:val="00FB571B"/>
    <w:rsid w:val="00FB6577"/>
    <w:rsid w:val="00FB6599"/>
    <w:rsid w:val="00FB784B"/>
    <w:rsid w:val="00FB7B17"/>
    <w:rsid w:val="00FB7C6A"/>
    <w:rsid w:val="00FB7DCD"/>
    <w:rsid w:val="00FC03FD"/>
    <w:rsid w:val="00FC0AFA"/>
    <w:rsid w:val="00FC0B6C"/>
    <w:rsid w:val="00FC0B8F"/>
    <w:rsid w:val="00FC0CDD"/>
    <w:rsid w:val="00FC0D7C"/>
    <w:rsid w:val="00FC185F"/>
    <w:rsid w:val="00FC1D9B"/>
    <w:rsid w:val="00FC2872"/>
    <w:rsid w:val="00FC29BF"/>
    <w:rsid w:val="00FC2E74"/>
    <w:rsid w:val="00FC3222"/>
    <w:rsid w:val="00FC44C5"/>
    <w:rsid w:val="00FC49C2"/>
    <w:rsid w:val="00FC4A02"/>
    <w:rsid w:val="00FC4EB6"/>
    <w:rsid w:val="00FC4F9C"/>
    <w:rsid w:val="00FC4FA1"/>
    <w:rsid w:val="00FC4FB7"/>
    <w:rsid w:val="00FC5109"/>
    <w:rsid w:val="00FC51A7"/>
    <w:rsid w:val="00FC51C4"/>
    <w:rsid w:val="00FC5B41"/>
    <w:rsid w:val="00FC5B4A"/>
    <w:rsid w:val="00FC5C57"/>
    <w:rsid w:val="00FC5CE6"/>
    <w:rsid w:val="00FC6091"/>
    <w:rsid w:val="00FC6218"/>
    <w:rsid w:val="00FC675D"/>
    <w:rsid w:val="00FC6989"/>
    <w:rsid w:val="00FC6CC7"/>
    <w:rsid w:val="00FC7408"/>
    <w:rsid w:val="00FC7444"/>
    <w:rsid w:val="00FC7800"/>
    <w:rsid w:val="00FC797F"/>
    <w:rsid w:val="00FD0236"/>
    <w:rsid w:val="00FD0CD0"/>
    <w:rsid w:val="00FD0CEF"/>
    <w:rsid w:val="00FD0FCE"/>
    <w:rsid w:val="00FD106C"/>
    <w:rsid w:val="00FD1242"/>
    <w:rsid w:val="00FD1401"/>
    <w:rsid w:val="00FD18F4"/>
    <w:rsid w:val="00FD1B79"/>
    <w:rsid w:val="00FD1BE6"/>
    <w:rsid w:val="00FD1BEA"/>
    <w:rsid w:val="00FD1DB3"/>
    <w:rsid w:val="00FD2325"/>
    <w:rsid w:val="00FD2785"/>
    <w:rsid w:val="00FD2CD2"/>
    <w:rsid w:val="00FD3025"/>
    <w:rsid w:val="00FD31DA"/>
    <w:rsid w:val="00FD3680"/>
    <w:rsid w:val="00FD379D"/>
    <w:rsid w:val="00FD3F92"/>
    <w:rsid w:val="00FD4174"/>
    <w:rsid w:val="00FD423F"/>
    <w:rsid w:val="00FD4303"/>
    <w:rsid w:val="00FD4B07"/>
    <w:rsid w:val="00FD4BFA"/>
    <w:rsid w:val="00FD5403"/>
    <w:rsid w:val="00FD54A6"/>
    <w:rsid w:val="00FD54DB"/>
    <w:rsid w:val="00FD5A64"/>
    <w:rsid w:val="00FD60A6"/>
    <w:rsid w:val="00FD619F"/>
    <w:rsid w:val="00FD635B"/>
    <w:rsid w:val="00FD667E"/>
    <w:rsid w:val="00FD6C57"/>
    <w:rsid w:val="00FD6F37"/>
    <w:rsid w:val="00FD7B98"/>
    <w:rsid w:val="00FD7DAB"/>
    <w:rsid w:val="00FE06A2"/>
    <w:rsid w:val="00FE06DE"/>
    <w:rsid w:val="00FE0C8F"/>
    <w:rsid w:val="00FE0DCF"/>
    <w:rsid w:val="00FE10EA"/>
    <w:rsid w:val="00FE1104"/>
    <w:rsid w:val="00FE17F9"/>
    <w:rsid w:val="00FE1AF5"/>
    <w:rsid w:val="00FE1F82"/>
    <w:rsid w:val="00FE1FB5"/>
    <w:rsid w:val="00FE31DA"/>
    <w:rsid w:val="00FE38FB"/>
    <w:rsid w:val="00FE3C3E"/>
    <w:rsid w:val="00FE4473"/>
    <w:rsid w:val="00FE45B2"/>
    <w:rsid w:val="00FE4614"/>
    <w:rsid w:val="00FE4733"/>
    <w:rsid w:val="00FE49F6"/>
    <w:rsid w:val="00FE5138"/>
    <w:rsid w:val="00FE5696"/>
    <w:rsid w:val="00FE5976"/>
    <w:rsid w:val="00FE671D"/>
    <w:rsid w:val="00FE676F"/>
    <w:rsid w:val="00FE69DE"/>
    <w:rsid w:val="00FE6DB3"/>
    <w:rsid w:val="00FE7154"/>
    <w:rsid w:val="00FE7390"/>
    <w:rsid w:val="00FE75DA"/>
    <w:rsid w:val="00FE75DB"/>
    <w:rsid w:val="00FE7BEC"/>
    <w:rsid w:val="00FE7F0C"/>
    <w:rsid w:val="00FF0470"/>
    <w:rsid w:val="00FF0472"/>
    <w:rsid w:val="00FF0C43"/>
    <w:rsid w:val="00FF1111"/>
    <w:rsid w:val="00FF14DA"/>
    <w:rsid w:val="00FF17AD"/>
    <w:rsid w:val="00FF1BA1"/>
    <w:rsid w:val="00FF1F7D"/>
    <w:rsid w:val="00FF21DF"/>
    <w:rsid w:val="00FF2497"/>
    <w:rsid w:val="00FF2C6C"/>
    <w:rsid w:val="00FF32D6"/>
    <w:rsid w:val="00FF3482"/>
    <w:rsid w:val="00FF3C72"/>
    <w:rsid w:val="00FF47BF"/>
    <w:rsid w:val="00FF4A93"/>
    <w:rsid w:val="00FF4BC8"/>
    <w:rsid w:val="00FF5498"/>
    <w:rsid w:val="00FF5727"/>
    <w:rsid w:val="00FF5C6A"/>
    <w:rsid w:val="00FF5C80"/>
    <w:rsid w:val="00FF6549"/>
    <w:rsid w:val="00FF655F"/>
    <w:rsid w:val="00FF6D8C"/>
    <w:rsid w:val="00FF7368"/>
    <w:rsid w:val="00FF7918"/>
    <w:rsid w:val="00FF7B68"/>
    <w:rsid w:val="00FF7B79"/>
    <w:rsid w:val="00FF7F16"/>
    <w:rsid w:val="01290F7E"/>
    <w:rsid w:val="015D1E09"/>
    <w:rsid w:val="01C06EC1"/>
    <w:rsid w:val="02697903"/>
    <w:rsid w:val="029224D2"/>
    <w:rsid w:val="02F96569"/>
    <w:rsid w:val="03233936"/>
    <w:rsid w:val="03766107"/>
    <w:rsid w:val="03EA7B21"/>
    <w:rsid w:val="04206142"/>
    <w:rsid w:val="04247911"/>
    <w:rsid w:val="04277401"/>
    <w:rsid w:val="04C31836"/>
    <w:rsid w:val="04D11500"/>
    <w:rsid w:val="04E92342"/>
    <w:rsid w:val="05D843DB"/>
    <w:rsid w:val="05DA03AD"/>
    <w:rsid w:val="05E87545"/>
    <w:rsid w:val="05F83EAE"/>
    <w:rsid w:val="061436FA"/>
    <w:rsid w:val="063127B9"/>
    <w:rsid w:val="063E7D85"/>
    <w:rsid w:val="07293586"/>
    <w:rsid w:val="07295285"/>
    <w:rsid w:val="07636392"/>
    <w:rsid w:val="07770C56"/>
    <w:rsid w:val="07874C35"/>
    <w:rsid w:val="07CA611E"/>
    <w:rsid w:val="07DB4646"/>
    <w:rsid w:val="083420ED"/>
    <w:rsid w:val="085D064D"/>
    <w:rsid w:val="08974B4B"/>
    <w:rsid w:val="08AB0D77"/>
    <w:rsid w:val="08D00A3D"/>
    <w:rsid w:val="08DA4C5A"/>
    <w:rsid w:val="092217DD"/>
    <w:rsid w:val="093A7294"/>
    <w:rsid w:val="09A15F1F"/>
    <w:rsid w:val="0A263993"/>
    <w:rsid w:val="0A2D3AC2"/>
    <w:rsid w:val="0A4E14C8"/>
    <w:rsid w:val="0AA755DF"/>
    <w:rsid w:val="0B120D44"/>
    <w:rsid w:val="0B52459E"/>
    <w:rsid w:val="0B602A5E"/>
    <w:rsid w:val="0B8E39F7"/>
    <w:rsid w:val="0B9D61C8"/>
    <w:rsid w:val="0BD27BF6"/>
    <w:rsid w:val="0BEE71CA"/>
    <w:rsid w:val="0C3B3C7D"/>
    <w:rsid w:val="0C4274CE"/>
    <w:rsid w:val="0CAB2EAE"/>
    <w:rsid w:val="0CC55A09"/>
    <w:rsid w:val="0CD9134E"/>
    <w:rsid w:val="0D3253F4"/>
    <w:rsid w:val="0D621C7D"/>
    <w:rsid w:val="0DBE38D1"/>
    <w:rsid w:val="0E73034D"/>
    <w:rsid w:val="0F13775A"/>
    <w:rsid w:val="0F5F45FE"/>
    <w:rsid w:val="0F9A112B"/>
    <w:rsid w:val="106A2B50"/>
    <w:rsid w:val="106D2F64"/>
    <w:rsid w:val="10B63710"/>
    <w:rsid w:val="10F10820"/>
    <w:rsid w:val="111C2F7A"/>
    <w:rsid w:val="11665CA1"/>
    <w:rsid w:val="11E02882"/>
    <w:rsid w:val="12C62958"/>
    <w:rsid w:val="13951726"/>
    <w:rsid w:val="14396509"/>
    <w:rsid w:val="14DD2C3C"/>
    <w:rsid w:val="16087E1D"/>
    <w:rsid w:val="16315E68"/>
    <w:rsid w:val="1726088C"/>
    <w:rsid w:val="17701D14"/>
    <w:rsid w:val="17735226"/>
    <w:rsid w:val="18155A97"/>
    <w:rsid w:val="189D3C32"/>
    <w:rsid w:val="189F624C"/>
    <w:rsid w:val="1A1C66C0"/>
    <w:rsid w:val="1A42393B"/>
    <w:rsid w:val="1AAD45DE"/>
    <w:rsid w:val="1B046F80"/>
    <w:rsid w:val="1B3267B5"/>
    <w:rsid w:val="1B40161D"/>
    <w:rsid w:val="1B441859"/>
    <w:rsid w:val="1B455F02"/>
    <w:rsid w:val="1B6606B1"/>
    <w:rsid w:val="1B666609"/>
    <w:rsid w:val="1B760F52"/>
    <w:rsid w:val="1BBE3BD5"/>
    <w:rsid w:val="1C102EE7"/>
    <w:rsid w:val="1C5E7925"/>
    <w:rsid w:val="1CFD070F"/>
    <w:rsid w:val="1D5F6196"/>
    <w:rsid w:val="1D6132A5"/>
    <w:rsid w:val="1D8E56D5"/>
    <w:rsid w:val="1E7A43DA"/>
    <w:rsid w:val="1FE7539E"/>
    <w:rsid w:val="20275BF2"/>
    <w:rsid w:val="20671BE0"/>
    <w:rsid w:val="2077343C"/>
    <w:rsid w:val="208044FD"/>
    <w:rsid w:val="20963CB8"/>
    <w:rsid w:val="20A81A1B"/>
    <w:rsid w:val="20B07FB6"/>
    <w:rsid w:val="20B646FB"/>
    <w:rsid w:val="20E41709"/>
    <w:rsid w:val="212A215E"/>
    <w:rsid w:val="213B74B1"/>
    <w:rsid w:val="215A2310"/>
    <w:rsid w:val="21DE318A"/>
    <w:rsid w:val="21EF5B80"/>
    <w:rsid w:val="22075D23"/>
    <w:rsid w:val="222C4ED7"/>
    <w:rsid w:val="22576990"/>
    <w:rsid w:val="22C02AA3"/>
    <w:rsid w:val="22F47480"/>
    <w:rsid w:val="23A7383E"/>
    <w:rsid w:val="23DE1C48"/>
    <w:rsid w:val="240210CD"/>
    <w:rsid w:val="243E6375"/>
    <w:rsid w:val="24BF09F7"/>
    <w:rsid w:val="252D53FE"/>
    <w:rsid w:val="25EC2D81"/>
    <w:rsid w:val="25EE4A38"/>
    <w:rsid w:val="27343A60"/>
    <w:rsid w:val="273A2484"/>
    <w:rsid w:val="277057A2"/>
    <w:rsid w:val="291B11C8"/>
    <w:rsid w:val="29206EB8"/>
    <w:rsid w:val="29372712"/>
    <w:rsid w:val="29415D65"/>
    <w:rsid w:val="29595666"/>
    <w:rsid w:val="29874881"/>
    <w:rsid w:val="29E325E0"/>
    <w:rsid w:val="2A2B087E"/>
    <w:rsid w:val="2A452503"/>
    <w:rsid w:val="2ACA0963"/>
    <w:rsid w:val="2AEA21EB"/>
    <w:rsid w:val="2B293999"/>
    <w:rsid w:val="2BA936A8"/>
    <w:rsid w:val="2C315A5A"/>
    <w:rsid w:val="2C4B1C25"/>
    <w:rsid w:val="2C6576B6"/>
    <w:rsid w:val="2C7C1043"/>
    <w:rsid w:val="2D9E56F5"/>
    <w:rsid w:val="2DBA5B90"/>
    <w:rsid w:val="2E667F96"/>
    <w:rsid w:val="2E8226AB"/>
    <w:rsid w:val="2FAF3120"/>
    <w:rsid w:val="2FD065E6"/>
    <w:rsid w:val="2FD96870"/>
    <w:rsid w:val="30580BC9"/>
    <w:rsid w:val="311E2ED7"/>
    <w:rsid w:val="315619EE"/>
    <w:rsid w:val="315C449C"/>
    <w:rsid w:val="31B82709"/>
    <w:rsid w:val="31D05482"/>
    <w:rsid w:val="31DA0A0C"/>
    <w:rsid w:val="31F475BB"/>
    <w:rsid w:val="32400B34"/>
    <w:rsid w:val="329E6876"/>
    <w:rsid w:val="32B437CB"/>
    <w:rsid w:val="32DA2378"/>
    <w:rsid w:val="333015F2"/>
    <w:rsid w:val="334B6320"/>
    <w:rsid w:val="33A86A5D"/>
    <w:rsid w:val="33D934D4"/>
    <w:rsid w:val="33FE2F6A"/>
    <w:rsid w:val="340E07E5"/>
    <w:rsid w:val="34235BF7"/>
    <w:rsid w:val="34521299"/>
    <w:rsid w:val="34F565DC"/>
    <w:rsid w:val="358242FB"/>
    <w:rsid w:val="358C5FA8"/>
    <w:rsid w:val="359C77E7"/>
    <w:rsid w:val="35C15DF1"/>
    <w:rsid w:val="36074A7F"/>
    <w:rsid w:val="360867E3"/>
    <w:rsid w:val="36923549"/>
    <w:rsid w:val="36B75FBF"/>
    <w:rsid w:val="36BD0C45"/>
    <w:rsid w:val="37E00298"/>
    <w:rsid w:val="3870241E"/>
    <w:rsid w:val="38B302F9"/>
    <w:rsid w:val="38B44D40"/>
    <w:rsid w:val="38D64932"/>
    <w:rsid w:val="38EB663C"/>
    <w:rsid w:val="38F12CD3"/>
    <w:rsid w:val="38F94775"/>
    <w:rsid w:val="392971ED"/>
    <w:rsid w:val="39325651"/>
    <w:rsid w:val="39D92096"/>
    <w:rsid w:val="3A872856"/>
    <w:rsid w:val="3A900C82"/>
    <w:rsid w:val="3A9C74FA"/>
    <w:rsid w:val="3B3763D1"/>
    <w:rsid w:val="3C2F6E1E"/>
    <w:rsid w:val="3C4F64BA"/>
    <w:rsid w:val="3C595BA4"/>
    <w:rsid w:val="3CAB2AA8"/>
    <w:rsid w:val="3CDA245A"/>
    <w:rsid w:val="3D1E06B7"/>
    <w:rsid w:val="3D8759A5"/>
    <w:rsid w:val="3EDA0523"/>
    <w:rsid w:val="3F4D5F76"/>
    <w:rsid w:val="3F774800"/>
    <w:rsid w:val="3F890995"/>
    <w:rsid w:val="40111A9E"/>
    <w:rsid w:val="407A6407"/>
    <w:rsid w:val="41513320"/>
    <w:rsid w:val="417E5BAB"/>
    <w:rsid w:val="41FA6F91"/>
    <w:rsid w:val="4200449D"/>
    <w:rsid w:val="421027DB"/>
    <w:rsid w:val="42334A66"/>
    <w:rsid w:val="423A3BCC"/>
    <w:rsid w:val="423B2D44"/>
    <w:rsid w:val="424E57D2"/>
    <w:rsid w:val="42B26C49"/>
    <w:rsid w:val="431B2125"/>
    <w:rsid w:val="433A6FE6"/>
    <w:rsid w:val="43480868"/>
    <w:rsid w:val="4350713C"/>
    <w:rsid w:val="436653E0"/>
    <w:rsid w:val="43B9661A"/>
    <w:rsid w:val="43BE366B"/>
    <w:rsid w:val="43C4431A"/>
    <w:rsid w:val="44784437"/>
    <w:rsid w:val="44B951CC"/>
    <w:rsid w:val="44CD14E0"/>
    <w:rsid w:val="44F20B0B"/>
    <w:rsid w:val="452E5F4C"/>
    <w:rsid w:val="45505AB1"/>
    <w:rsid w:val="45612018"/>
    <w:rsid w:val="458946E9"/>
    <w:rsid w:val="45A47C0E"/>
    <w:rsid w:val="461F17AF"/>
    <w:rsid w:val="46577FD6"/>
    <w:rsid w:val="46C11179"/>
    <w:rsid w:val="46D955A7"/>
    <w:rsid w:val="47046B53"/>
    <w:rsid w:val="47133957"/>
    <w:rsid w:val="47A07E0C"/>
    <w:rsid w:val="4870272E"/>
    <w:rsid w:val="48790693"/>
    <w:rsid w:val="48B45655"/>
    <w:rsid w:val="49DC7715"/>
    <w:rsid w:val="4A023139"/>
    <w:rsid w:val="4A7B576F"/>
    <w:rsid w:val="4AF561A9"/>
    <w:rsid w:val="4B0D16C0"/>
    <w:rsid w:val="4B175859"/>
    <w:rsid w:val="4B5B0856"/>
    <w:rsid w:val="4B877DE8"/>
    <w:rsid w:val="4C4A0649"/>
    <w:rsid w:val="4C7E5ECA"/>
    <w:rsid w:val="4C876AA5"/>
    <w:rsid w:val="4C9742A4"/>
    <w:rsid w:val="4D0E00FB"/>
    <w:rsid w:val="4D176606"/>
    <w:rsid w:val="4DEC4FB0"/>
    <w:rsid w:val="4E023B63"/>
    <w:rsid w:val="4E075D8A"/>
    <w:rsid w:val="4E0A1098"/>
    <w:rsid w:val="4E254D2E"/>
    <w:rsid w:val="4E52289A"/>
    <w:rsid w:val="4EC00FAD"/>
    <w:rsid w:val="4EF936A2"/>
    <w:rsid w:val="4F7B5EE5"/>
    <w:rsid w:val="4F9843DC"/>
    <w:rsid w:val="4FC62A8C"/>
    <w:rsid w:val="4FE20F0D"/>
    <w:rsid w:val="4FE51552"/>
    <w:rsid w:val="50504C4B"/>
    <w:rsid w:val="509C6E7C"/>
    <w:rsid w:val="50B90A93"/>
    <w:rsid w:val="5162104E"/>
    <w:rsid w:val="51A77AAE"/>
    <w:rsid w:val="527B401A"/>
    <w:rsid w:val="53043B0A"/>
    <w:rsid w:val="535C231E"/>
    <w:rsid w:val="53A039CC"/>
    <w:rsid w:val="53A1505A"/>
    <w:rsid w:val="54063E08"/>
    <w:rsid w:val="540D274B"/>
    <w:rsid w:val="543137BF"/>
    <w:rsid w:val="543437E8"/>
    <w:rsid w:val="545C4E32"/>
    <w:rsid w:val="54C53DC5"/>
    <w:rsid w:val="54F73313"/>
    <w:rsid w:val="54F80955"/>
    <w:rsid w:val="55107FCF"/>
    <w:rsid w:val="554D098D"/>
    <w:rsid w:val="555170A7"/>
    <w:rsid w:val="5587536D"/>
    <w:rsid w:val="559B174B"/>
    <w:rsid w:val="55CE0CF4"/>
    <w:rsid w:val="55DD513F"/>
    <w:rsid w:val="56082DEB"/>
    <w:rsid w:val="56B22A9C"/>
    <w:rsid w:val="56B51C18"/>
    <w:rsid w:val="56B7796F"/>
    <w:rsid w:val="57A253E6"/>
    <w:rsid w:val="57B72A76"/>
    <w:rsid w:val="57C3426C"/>
    <w:rsid w:val="57CE1F93"/>
    <w:rsid w:val="57F27148"/>
    <w:rsid w:val="588743D1"/>
    <w:rsid w:val="5887701A"/>
    <w:rsid w:val="59C0439F"/>
    <w:rsid w:val="59E71C52"/>
    <w:rsid w:val="5A6008D0"/>
    <w:rsid w:val="5ABA497B"/>
    <w:rsid w:val="5ABE2233"/>
    <w:rsid w:val="5B5E4A7C"/>
    <w:rsid w:val="5B646EA6"/>
    <w:rsid w:val="5B6A2DE4"/>
    <w:rsid w:val="5BDF5D95"/>
    <w:rsid w:val="5BFE7528"/>
    <w:rsid w:val="5D6E27D7"/>
    <w:rsid w:val="5E2467F1"/>
    <w:rsid w:val="5F1A2B43"/>
    <w:rsid w:val="5FB837BB"/>
    <w:rsid w:val="60A07495"/>
    <w:rsid w:val="60AA20C1"/>
    <w:rsid w:val="60CC405A"/>
    <w:rsid w:val="61E215D8"/>
    <w:rsid w:val="621B3775"/>
    <w:rsid w:val="62364782"/>
    <w:rsid w:val="6394356A"/>
    <w:rsid w:val="63C61B2C"/>
    <w:rsid w:val="63D40BE9"/>
    <w:rsid w:val="63EB6C79"/>
    <w:rsid w:val="64102431"/>
    <w:rsid w:val="64A5243A"/>
    <w:rsid w:val="64F531DE"/>
    <w:rsid w:val="65373578"/>
    <w:rsid w:val="669730E8"/>
    <w:rsid w:val="66C51BAE"/>
    <w:rsid w:val="671F124A"/>
    <w:rsid w:val="677A27ED"/>
    <w:rsid w:val="677A33C6"/>
    <w:rsid w:val="67944A8D"/>
    <w:rsid w:val="681F6961"/>
    <w:rsid w:val="683D0D40"/>
    <w:rsid w:val="68610A2F"/>
    <w:rsid w:val="68805514"/>
    <w:rsid w:val="69316E2F"/>
    <w:rsid w:val="694C5ADB"/>
    <w:rsid w:val="694E2071"/>
    <w:rsid w:val="696F2DBE"/>
    <w:rsid w:val="69766163"/>
    <w:rsid w:val="697A3B33"/>
    <w:rsid w:val="69C96B7A"/>
    <w:rsid w:val="69D44760"/>
    <w:rsid w:val="6A520EC7"/>
    <w:rsid w:val="6A7E7F43"/>
    <w:rsid w:val="6AF87E20"/>
    <w:rsid w:val="6B322639"/>
    <w:rsid w:val="6C636C38"/>
    <w:rsid w:val="6C7E2DA8"/>
    <w:rsid w:val="6C893CDA"/>
    <w:rsid w:val="6D9370AE"/>
    <w:rsid w:val="6DB34098"/>
    <w:rsid w:val="6DB545B6"/>
    <w:rsid w:val="6DE02FB4"/>
    <w:rsid w:val="6E104E4F"/>
    <w:rsid w:val="6E514CED"/>
    <w:rsid w:val="6E895A0C"/>
    <w:rsid w:val="6EB563D5"/>
    <w:rsid w:val="6ED315C7"/>
    <w:rsid w:val="6ED92677"/>
    <w:rsid w:val="6EF651EE"/>
    <w:rsid w:val="6F225983"/>
    <w:rsid w:val="6FFC5590"/>
    <w:rsid w:val="6FFD3FBC"/>
    <w:rsid w:val="706D1DD0"/>
    <w:rsid w:val="70856B87"/>
    <w:rsid w:val="70C93536"/>
    <w:rsid w:val="70D527EE"/>
    <w:rsid w:val="70E25684"/>
    <w:rsid w:val="70EA4A88"/>
    <w:rsid w:val="710D2D44"/>
    <w:rsid w:val="712E23B2"/>
    <w:rsid w:val="71563247"/>
    <w:rsid w:val="715B5300"/>
    <w:rsid w:val="71D27F8A"/>
    <w:rsid w:val="71D71B91"/>
    <w:rsid w:val="72553024"/>
    <w:rsid w:val="72C032E5"/>
    <w:rsid w:val="73122968"/>
    <w:rsid w:val="731F5D5E"/>
    <w:rsid w:val="737A1DC7"/>
    <w:rsid w:val="73C51AD5"/>
    <w:rsid w:val="741E793C"/>
    <w:rsid w:val="745E3944"/>
    <w:rsid w:val="75153B55"/>
    <w:rsid w:val="752128AF"/>
    <w:rsid w:val="7635099D"/>
    <w:rsid w:val="77762421"/>
    <w:rsid w:val="777A67A7"/>
    <w:rsid w:val="77B56B1F"/>
    <w:rsid w:val="780F09F4"/>
    <w:rsid w:val="78A90480"/>
    <w:rsid w:val="791C79F4"/>
    <w:rsid w:val="7A364017"/>
    <w:rsid w:val="7A8265E1"/>
    <w:rsid w:val="7AB40FFB"/>
    <w:rsid w:val="7B686D42"/>
    <w:rsid w:val="7B841746"/>
    <w:rsid w:val="7C6C5AC7"/>
    <w:rsid w:val="7C8D3DFA"/>
    <w:rsid w:val="7CC6544B"/>
    <w:rsid w:val="7D0239FF"/>
    <w:rsid w:val="7D5E40CD"/>
    <w:rsid w:val="7D9210BF"/>
    <w:rsid w:val="7DCD56F2"/>
    <w:rsid w:val="7E3808B5"/>
    <w:rsid w:val="7E9E53ED"/>
    <w:rsid w:val="7F001CE7"/>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iPriority="0" w:semiHidden="0" w:name="heading 2" w:locked="1"/>
    <w:lsdException w:qFormat="1" w:unhideWhenUsed="0" w:uiPriority="0" w:semiHidden="0" w:name="heading 3" w:locked="1"/>
    <w:lsdException w:qFormat="1" w:unhideWhenUsed="0" w:uiPriority="9" w:semiHidden="0" w:name="heading 4" w:locked="1"/>
    <w:lsdException w:qFormat="1" w:unhideWhenUsed="0" w:uiPriority="0" w:semiHidden="0" w:name="heading 5" w:locked="1"/>
    <w:lsdException w:qFormat="1" w:unhideWhenUsed="0" w:uiPriority="0" w:semiHidden="0" w:name="heading 6" w:locked="1"/>
    <w:lsdException w:qFormat="1" w:unhideWhenUsed="0" w:uiPriority="0" w:semiHidden="0" w:name="heading 7" w:locked="1"/>
    <w:lsdException w:qFormat="1" w:unhideWhenUsed="0" w:uiPriority="0" w:semiHidden="0" w:name="heading 8" w:locked="1"/>
    <w:lsdException w:qFormat="1" w:unhideWhenUsed="0" w:uiPriority="0" w:semiHidden="0" w:name="heading 9" w:locked="1"/>
    <w:lsdException w:qFormat="1" w:unhideWhenUsed="0" w:uiPriority="0" w:semiHidden="0" w:name="index 1" w:locked="1"/>
    <w:lsdException w:qFormat="1" w:unhideWhenUsed="0" w:uiPriority="0" w:semiHidden="0" w:name="index 2" w:locked="1"/>
    <w:lsdException w:qFormat="1" w:unhideWhenUsed="0" w:uiPriority="0" w:semiHidden="0" w:name="index 3" w:locked="1"/>
    <w:lsdException w:qFormat="1" w:unhideWhenUsed="0" w:uiPriority="0" w:semiHidden="0" w:name="index 4" w:locked="1"/>
    <w:lsdException w:qFormat="1" w:unhideWhenUsed="0" w:uiPriority="0" w:semiHidden="0" w:name="index 5" w:locked="1"/>
    <w:lsdException w:qFormat="1" w:unhideWhenUsed="0" w:uiPriority="0" w:semiHidden="0" w:name="index 6" w:locked="1"/>
    <w:lsdException w:qFormat="1" w:unhideWhenUsed="0" w:uiPriority="0" w:semiHidden="0" w:name="index 7" w:locked="1"/>
    <w:lsdException w:qFormat="1" w:unhideWhenUsed="0" w:uiPriority="0" w:semiHidden="0" w:name="index 8" w:locked="1"/>
    <w:lsdException w:qFormat="1" w:unhideWhenUsed="0" w:uiPriority="0" w:semiHidden="0" w:name="index 9" w:locked="1"/>
    <w:lsdException w:qFormat="1" w:unhideWhenUsed="0" w:uiPriority="39" w:semiHidden="0" w:name="toc 1" w:locked="1"/>
    <w:lsdException w:qFormat="1" w:unhideWhenUsed="0" w:uiPriority="39" w:semiHidden="0" w:name="toc 2" w:locked="1"/>
    <w:lsdException w:qFormat="1" w:unhideWhenUsed="0" w:uiPriority="39" w:semiHidden="0" w:name="toc 3" w:locked="1"/>
    <w:lsdException w:qFormat="1" w:uiPriority="39" w:semiHidden="0" w:name="toc 4" w:locked="1"/>
    <w:lsdException w:qFormat="1" w:unhideWhenUsed="0" w:uiPriority="39" w:semiHidden="0" w:name="toc 5" w:locked="1"/>
    <w:lsdException w:qFormat="1" w:unhideWhenUsed="0" w:uiPriority="39" w:semiHidden="0" w:name="toc 6" w:locked="1"/>
    <w:lsdException w:qFormat="1" w:unhideWhenUsed="0" w:uiPriority="39" w:semiHidden="0" w:name="toc 7" w:locked="1"/>
    <w:lsdException w:qFormat="1" w:unhideWhenUsed="0" w:uiPriority="39" w:semiHidden="0" w:name="toc 8" w:locked="1"/>
    <w:lsdException w:qFormat="1" w:unhideWhenUsed="0" w:uiPriority="39" w:semiHidden="0" w:name="toc 9" w:locked="1"/>
    <w:lsdException w:qFormat="1" w:unhideWhenUsed="0" w:uiPriority="0" w:semiHidden="0" w:name="Normal Indent" w:locked="1"/>
    <w:lsdException w:qFormat="1" w:unhideWhenUsed="0" w:uiPriority="0" w:semiHidden="0" w:name="footnote text" w:locked="1"/>
    <w:lsdException w:qFormat="1" w:unhideWhenUsed="0" w:uiPriority="99" w:semiHidden="0" w:name="annotation text"/>
    <w:lsdException w:qFormat="1" w:unhideWhenUsed="0" w:uiPriority="99" w:semiHidden="0" w:name="header"/>
    <w:lsdException w:qFormat="1" w:unhideWhenUsed="0" w:uiPriority="99" w:semiHidden="0" w:name="footer"/>
    <w:lsdException w:qFormat="1" w:unhideWhenUsed="0" w:uiPriority="0" w:semiHidden="0" w:name="index heading" w:locked="1"/>
    <w:lsdException w:qFormat="1" w:unhideWhenUsed="0" w:uiPriority="0" w:semiHidden="0" w:name="caption" w:locked="1"/>
    <w:lsdException w:qFormat="1" w:unhideWhenUsed="0" w:uiPriority="0" w:semiHidden="0" w:name="table of figures" w:locked="1"/>
    <w:lsdException w:qFormat="1" w:unhideWhenUsed="0" w:uiPriority="0" w:semiHidden="0" w:name="envelope address" w:locked="1"/>
    <w:lsdException w:qFormat="1" w:unhideWhenUsed="0" w:uiPriority="0" w:semiHidden="0" w:name="envelope return" w:locked="1"/>
    <w:lsdException w:qFormat="1" w:unhideWhenUsed="0" w:uiPriority="0" w:semiHidden="0" w:name="footnote reference" w:locked="1"/>
    <w:lsdException w:qFormat="1" w:unhideWhenUsed="0" w:uiPriority="99" w:semiHidden="0" w:name="annotation reference"/>
    <w:lsdException w:qFormat="1" w:unhideWhenUsed="0" w:uiPriority="0" w:semiHidden="0" w:name="line number" w:locked="1"/>
    <w:lsdException w:qFormat="1" w:unhideWhenUsed="0" w:uiPriority="0" w:semiHidden="0" w:name="page number" w:locked="1"/>
    <w:lsdException w:qFormat="1" w:unhideWhenUsed="0" w:uiPriority="99" w:semiHidden="0" w:name="endnote reference" w:locked="1"/>
    <w:lsdException w:qFormat="1" w:unhideWhenUsed="0" w:uiPriority="0" w:semiHidden="0" w:name="endnote text" w:locked="1"/>
    <w:lsdException w:qFormat="1" w:unhideWhenUsed="0" w:uiPriority="0" w:semiHidden="0" w:name="table of authorities" w:locked="1"/>
    <w:lsdException w:qFormat="1" w:unhideWhenUsed="0" w:uiPriority="0" w:semiHidden="0" w:name="macro" w:locked="1"/>
    <w:lsdException w:qFormat="1" w:unhideWhenUsed="0" w:uiPriority="0" w:semiHidden="0" w:name="toa heading" w:locked="1"/>
    <w:lsdException w:qFormat="1" w:unhideWhenUsed="0" w:uiPriority="0" w:semiHidden="0" w:name="List" w:locked="1"/>
    <w:lsdException w:qFormat="1" w:unhideWhenUsed="0" w:uiPriority="0" w:semiHidden="0" w:name="List Bullet" w:locked="1"/>
    <w:lsdException w:qFormat="1" w:unhideWhenUsed="0" w:uiPriority="0" w:semiHidden="0" w:name="List Number" w:locked="1"/>
    <w:lsdException w:qFormat="1" w:unhideWhenUsed="0" w:uiPriority="0" w:semiHidden="0" w:name="List 2" w:locked="1"/>
    <w:lsdException w:qFormat="1" w:unhideWhenUsed="0" w:uiPriority="0" w:semiHidden="0" w:name="List 3" w:locked="1"/>
    <w:lsdException w:qFormat="1" w:unhideWhenUsed="0" w:uiPriority="0" w:semiHidden="0" w:name="List 4" w:locked="1"/>
    <w:lsdException w:qFormat="1" w:unhideWhenUsed="0" w:uiPriority="0" w:semiHidden="0" w:name="List 5" w:locked="1"/>
    <w:lsdException w:qFormat="1" w:unhideWhenUsed="0" w:uiPriority="0" w:semiHidden="0" w:name="List Bullet 2" w:locked="1"/>
    <w:lsdException w:qFormat="1" w:unhideWhenUsed="0" w:uiPriority="0" w:semiHidden="0" w:name="List Bullet 3" w:locked="1"/>
    <w:lsdException w:qFormat="1" w:unhideWhenUsed="0" w:uiPriority="0" w:semiHidden="0" w:name="List Bullet 4" w:locked="1"/>
    <w:lsdException w:qFormat="1" w:unhideWhenUsed="0" w:uiPriority="0" w:semiHidden="0" w:name="List Bullet 5" w:locked="1"/>
    <w:lsdException w:qFormat="1" w:unhideWhenUsed="0" w:uiPriority="0" w:semiHidden="0" w:name="List Number 2" w:locked="1"/>
    <w:lsdException w:qFormat="1" w:unhideWhenUsed="0" w:uiPriority="0" w:semiHidden="0" w:name="List Number 3" w:locked="1"/>
    <w:lsdException w:qFormat="1" w:unhideWhenUsed="0" w:uiPriority="0" w:semiHidden="0" w:name="List Number 4" w:locked="1"/>
    <w:lsdException w:qFormat="1" w:unhideWhenUsed="0" w:uiPriority="0" w:semiHidden="0" w:name="List Number 5" w:locked="1"/>
    <w:lsdException w:qFormat="1" w:unhideWhenUsed="0" w:uiPriority="0" w:semiHidden="0" w:name="Title" w:locked="1"/>
    <w:lsdException w:qFormat="1" w:unhideWhenUsed="0" w:uiPriority="0" w:semiHidden="0" w:name="Closing" w:locked="1"/>
    <w:lsdException w:qFormat="1"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qFormat="1" w:unhideWhenUsed="0" w:uiPriority="0" w:semiHidden="0" w:name="List Continue" w:locked="1"/>
    <w:lsdException w:qFormat="1" w:unhideWhenUsed="0" w:uiPriority="0" w:semiHidden="0" w:name="List Continue 2" w:locked="1"/>
    <w:lsdException w:qFormat="1" w:unhideWhenUsed="0" w:uiPriority="0" w:semiHidden="0" w:name="List Continue 3" w:locked="1"/>
    <w:lsdException w:qFormat="1" w:unhideWhenUsed="0" w:uiPriority="0" w:semiHidden="0" w:name="List Continue 4" w:locked="1"/>
    <w:lsdException w:qFormat="1" w:unhideWhenUsed="0" w:uiPriority="0" w:semiHidden="0" w:name="List Continue 5" w:locked="1"/>
    <w:lsdException w:qFormat="1" w:unhideWhenUsed="0" w:uiPriority="0" w:semiHidden="0" w:name="Message Header" w:locked="1"/>
    <w:lsdException w:qFormat="1" w:unhideWhenUsed="0" w:uiPriority="0" w:semiHidden="0" w:name="Subtitle" w:locked="1"/>
    <w:lsdException w:qFormat="1"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qFormat="1" w:unhideWhenUsed="0" w:uiPriority="0" w:semiHidden="0" w:name="Note Heading" w:locked="1"/>
    <w:lsdException w:qFormat="1" w:unhideWhenUsed="0" w:uiPriority="0" w:semiHidden="0" w:name="Body Text 2" w:locked="1"/>
    <w:lsdException w:qFormat="1" w:unhideWhenUsed="0" w:uiPriority="0" w:semiHidden="0" w:name="Body Text 3" w:locked="1"/>
    <w:lsdException w:qFormat="1" w:unhideWhenUsed="0" w:uiPriority="0" w:semiHidden="0" w:name="Body Text Indent 2" w:locked="1"/>
    <w:lsdException w:qFormat="1" w:unhideWhenUsed="0" w:uiPriority="99" w:semiHidden="0" w:name="Body Text Indent 3" w:locked="1"/>
    <w:lsdException w:qFormat="1" w:unhideWhenUsed="0" w:uiPriority="99" w:semiHidden="0" w:name="Block Text" w:locked="1"/>
    <w:lsdException w:qFormat="1" w:unhideWhenUsed="0" w:uiPriority="99" w:semiHidden="0" w:name="Hyperlink" w:locked="1"/>
    <w:lsdException w:qFormat="1" w:unhideWhenUsed="0" w:uiPriority="99" w:semiHidden="0" w:name="FollowedHyperlink" w:locked="1"/>
    <w:lsdException w:qFormat="1" w:unhideWhenUsed="0" w:uiPriority="22" w:semiHidden="0" w:name="Strong" w:locked="1"/>
    <w:lsdException w:qFormat="1" w:unhideWhenUsed="0" w:uiPriority="0" w:semiHidden="0" w:name="Emphasis" w:locked="1"/>
    <w:lsdException w:qFormat="1" w:unhideWhenUsed="0" w:uiPriority="0" w:semiHidden="0" w:name="Document Map" w:locked="1"/>
    <w:lsdException w:qFormat="1" w:unhideWhenUsed="0" w:uiPriority="0" w:semiHidden="0" w:name="Plain Text" w:locked="1"/>
    <w:lsdException w:qFormat="1" w:unhideWhenUsed="0" w:uiPriority="0" w:semiHidden="0" w:name="E-mail Signature" w:locked="1"/>
    <w:lsdException w:qFormat="1" w:unhideWhenUsed="0" w:uiPriority="99" w:semiHidden="0" w:name="Normal (Web)"/>
    <w:lsdException w:qFormat="1" w:unhideWhenUsed="0" w:uiPriority="0" w:semiHidden="0" w:name="HTML Acronym" w:locked="1"/>
    <w:lsdException w:qFormat="1" w:unhideWhenUsed="0" w:uiPriority="0" w:semiHidden="0" w:name="HTML Address" w:locked="1"/>
    <w:lsdException w:qFormat="1" w:unhideWhenUsed="0" w:uiPriority="0" w:semiHidden="0" w:name="HTML Cite" w:locked="1"/>
    <w:lsdException w:qFormat="1" w:unhideWhenUsed="0" w:uiPriority="0" w:semiHidden="0" w:name="HTML Code" w:locked="1"/>
    <w:lsdException w:qFormat="1" w:unhideWhenUsed="0" w:uiPriority="0" w:semiHidden="0" w:name="HTML Definition" w:locked="1"/>
    <w:lsdException w:qFormat="1" w:unhideWhenUsed="0" w:uiPriority="0" w:semiHidden="0" w:name="HTML Keyboard" w:locked="1"/>
    <w:lsdException w:qFormat="1" w:unhideWhenUsed="0" w:uiPriority="0" w:semiHidden="0" w:name="HTML Preformatted" w:locked="1"/>
    <w:lsdException w:qFormat="1" w:unhideWhenUsed="0" w:uiPriority="0" w:semiHidden="0" w:name="HTML Sample" w:locked="1"/>
    <w:lsdException w:qFormat="1" w:unhideWhenUsed="0" w:uiPriority="0" w:semiHidden="0" w:name="HTML Typewriter" w:locked="1"/>
    <w:lsdException w:qFormat="1" w:unhideWhenUsed="0" w:uiPriority="0" w:semiHidden="0" w:name="HTML Variable" w:locked="1"/>
    <w:lsdException w:qFormat="1" w:uiPriority="99" w:name="Normal Table"/>
    <w:lsdException w:qFormat="1" w:unhideWhenUsed="0" w:uiPriority="0" w:semiHidden="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qFormat="1" w:unhideWhenUsed="0" w:uiPriority="0" w:semiHidden="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semiHidden="0" w:name="Balloon Text"/>
    <w:lsdException w:qFormat="1" w:unhideWhenUsed="0" w:uiPriority="39" w:semiHidden="0" w:name="Table Grid"/>
    <w:lsdException w:uiPriority="0" w:name="Table Theme" w:locked="1"/>
    <w:lsdException w:qFormat="1" w:uiPriority="99" w:semiHidden="0"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link w:val="99"/>
    <w:autoRedefine/>
    <w:qFormat/>
    <w:locked/>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4">
    <w:name w:val="heading 2"/>
    <w:basedOn w:val="1"/>
    <w:next w:val="1"/>
    <w:link w:val="100"/>
    <w:autoRedefine/>
    <w:unhideWhenUsed/>
    <w:qFormat/>
    <w:locked/>
    <w:uiPriority w:val="0"/>
    <w:pPr>
      <w:keepNext/>
      <w:keepLines/>
      <w:spacing w:before="260" w:after="260" w:line="416" w:lineRule="auto"/>
      <w:outlineLvl w:val="1"/>
    </w:pPr>
    <w:rPr>
      <w:rFonts w:ascii="Calibri Light" w:hAnsi="Calibri Light"/>
      <w:b/>
      <w:bCs/>
      <w:sz w:val="32"/>
      <w:szCs w:val="32"/>
    </w:rPr>
  </w:style>
  <w:style w:type="paragraph" w:styleId="5">
    <w:name w:val="heading 3"/>
    <w:basedOn w:val="1"/>
    <w:next w:val="1"/>
    <w:link w:val="101"/>
    <w:autoRedefine/>
    <w:qFormat/>
    <w:locked/>
    <w:uiPriority w:val="0"/>
    <w:pPr>
      <w:keepNext/>
      <w:keepLines/>
      <w:spacing w:before="260" w:after="260" w:line="413" w:lineRule="auto"/>
      <w:outlineLvl w:val="2"/>
    </w:pPr>
    <w:rPr>
      <w:b/>
      <w:bCs/>
      <w:sz w:val="32"/>
      <w:szCs w:val="32"/>
    </w:rPr>
  </w:style>
  <w:style w:type="paragraph" w:styleId="6">
    <w:name w:val="heading 4"/>
    <w:basedOn w:val="1"/>
    <w:next w:val="1"/>
    <w:link w:val="102"/>
    <w:autoRedefine/>
    <w:qFormat/>
    <w:locked/>
    <w:uiPriority w:val="9"/>
    <w:pPr>
      <w:keepNext/>
      <w:spacing w:line="520" w:lineRule="exact"/>
      <w:ind w:right="102"/>
      <w:jc w:val="center"/>
      <w:outlineLvl w:val="3"/>
    </w:pPr>
    <w:rPr>
      <w:rFonts w:eastAsia="仿宋_GB2312"/>
      <w:color w:val="FF0000"/>
      <w:sz w:val="28"/>
      <w:szCs w:val="28"/>
    </w:rPr>
  </w:style>
  <w:style w:type="paragraph" w:styleId="7">
    <w:name w:val="heading 5"/>
    <w:basedOn w:val="1"/>
    <w:next w:val="1"/>
    <w:link w:val="103"/>
    <w:autoRedefine/>
    <w:qFormat/>
    <w:locked/>
    <w:uiPriority w:val="0"/>
    <w:pPr>
      <w:keepLines/>
      <w:adjustRightInd w:val="0"/>
      <w:spacing w:before="93" w:beforeLines="30" w:line="500" w:lineRule="exact"/>
      <w:outlineLvl w:val="4"/>
    </w:pPr>
    <w:rPr>
      <w:rFonts w:ascii="宋体" w:hAnsi="宋体"/>
      <w:snapToGrid w:val="0"/>
      <w:kern w:val="0"/>
      <w:sz w:val="28"/>
      <w:szCs w:val="20"/>
    </w:rPr>
  </w:style>
  <w:style w:type="paragraph" w:styleId="8">
    <w:name w:val="heading 6"/>
    <w:basedOn w:val="1"/>
    <w:next w:val="1"/>
    <w:link w:val="104"/>
    <w:autoRedefine/>
    <w:qFormat/>
    <w:locked/>
    <w:uiPriority w:val="0"/>
    <w:pPr>
      <w:keepNext/>
      <w:snapToGrid w:val="0"/>
      <w:spacing w:line="240" w:lineRule="atLeast"/>
      <w:ind w:firstLine="12"/>
      <w:jc w:val="center"/>
      <w:outlineLvl w:val="5"/>
    </w:pPr>
    <w:rPr>
      <w:rFonts w:eastAsia="仿宋_GB2312"/>
      <w:sz w:val="28"/>
    </w:rPr>
  </w:style>
  <w:style w:type="paragraph" w:styleId="9">
    <w:name w:val="heading 7"/>
    <w:basedOn w:val="1"/>
    <w:next w:val="1"/>
    <w:link w:val="232"/>
    <w:autoRedefine/>
    <w:qFormat/>
    <w:locked/>
    <w:uiPriority w:val="0"/>
    <w:pPr>
      <w:keepNext/>
      <w:keepLines/>
      <w:spacing w:before="240" w:after="64" w:line="320" w:lineRule="auto"/>
      <w:outlineLvl w:val="6"/>
    </w:pPr>
    <w:rPr>
      <w:b/>
      <w:bCs/>
      <w:sz w:val="24"/>
      <w:lang w:val="zh-CN"/>
    </w:rPr>
  </w:style>
  <w:style w:type="paragraph" w:styleId="10">
    <w:name w:val="heading 8"/>
    <w:basedOn w:val="1"/>
    <w:next w:val="1"/>
    <w:link w:val="233"/>
    <w:autoRedefine/>
    <w:qFormat/>
    <w:locked/>
    <w:uiPriority w:val="0"/>
    <w:pPr>
      <w:keepNext/>
      <w:keepLines/>
      <w:spacing w:before="240" w:after="64" w:line="320" w:lineRule="auto"/>
      <w:outlineLvl w:val="7"/>
    </w:pPr>
    <w:rPr>
      <w:rFonts w:ascii="Arial" w:hAnsi="Arial" w:eastAsia="黑体"/>
      <w:sz w:val="24"/>
      <w:lang w:val="zh-CN"/>
    </w:rPr>
  </w:style>
  <w:style w:type="paragraph" w:styleId="11">
    <w:name w:val="heading 9"/>
    <w:basedOn w:val="1"/>
    <w:next w:val="12"/>
    <w:link w:val="235"/>
    <w:autoRedefine/>
    <w:qFormat/>
    <w:locked/>
    <w:uiPriority w:val="0"/>
    <w:pPr>
      <w:keepNext/>
      <w:keepLines/>
      <w:tabs>
        <w:tab w:val="left" w:pos="1080"/>
      </w:tabs>
      <w:spacing w:line="319" w:lineRule="auto"/>
      <w:ind w:left="1080" w:hanging="360"/>
      <w:outlineLvl w:val="8"/>
    </w:pPr>
    <w:rPr>
      <w:rFonts w:ascii="Arial" w:hAnsi="Arial" w:eastAsia="黑体"/>
      <w:sz w:val="24"/>
      <w:szCs w:val="20"/>
      <w:lang w:val="zh-CN"/>
    </w:rPr>
  </w:style>
  <w:style w:type="character" w:default="1" w:styleId="80">
    <w:name w:val="Default Paragraph Font"/>
    <w:autoRedefine/>
    <w:semiHidden/>
    <w:unhideWhenUsed/>
    <w:qFormat/>
    <w:uiPriority w:val="1"/>
  </w:style>
  <w:style w:type="table" w:default="1" w:styleId="77">
    <w:name w:val="Normal Table"/>
    <w:autoRedefine/>
    <w:semiHidden/>
    <w:unhideWhenUsed/>
    <w:qFormat/>
    <w:uiPriority w:val="99"/>
    <w:tblPr>
      <w:tblCellMar>
        <w:top w:w="0" w:type="dxa"/>
        <w:left w:w="108" w:type="dxa"/>
        <w:bottom w:w="0" w:type="dxa"/>
        <w:right w:w="108" w:type="dxa"/>
      </w:tblCellMar>
    </w:tblPr>
  </w:style>
  <w:style w:type="paragraph" w:styleId="2">
    <w:name w:val="macro"/>
    <w:link w:val="261"/>
    <w:autoRedefine/>
    <w:qFormat/>
    <w:locked/>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eastAsia="宋体" w:cs="Courier New"/>
      <w:kern w:val="2"/>
      <w:sz w:val="24"/>
      <w:szCs w:val="24"/>
      <w:lang w:val="en-US" w:eastAsia="zh-CN" w:bidi="ar-SA"/>
    </w:rPr>
  </w:style>
  <w:style w:type="paragraph" w:styleId="12">
    <w:name w:val="Normal Indent"/>
    <w:basedOn w:val="1"/>
    <w:link w:val="137"/>
    <w:autoRedefine/>
    <w:qFormat/>
    <w:locked/>
    <w:uiPriority w:val="0"/>
    <w:pPr>
      <w:ind w:firstLine="420" w:firstLineChars="200"/>
    </w:pPr>
  </w:style>
  <w:style w:type="paragraph" w:styleId="13">
    <w:name w:val="List 3"/>
    <w:basedOn w:val="1"/>
    <w:autoRedefine/>
    <w:qFormat/>
    <w:locked/>
    <w:uiPriority w:val="0"/>
    <w:pPr>
      <w:widowControl/>
      <w:ind w:left="100" w:leftChars="400" w:hanging="200" w:hangingChars="200"/>
      <w:jc w:val="left"/>
    </w:pPr>
    <w:rPr>
      <w:kern w:val="0"/>
      <w:sz w:val="24"/>
      <w:szCs w:val="20"/>
    </w:rPr>
  </w:style>
  <w:style w:type="paragraph" w:styleId="14">
    <w:name w:val="List Number 2"/>
    <w:basedOn w:val="1"/>
    <w:autoRedefine/>
    <w:qFormat/>
    <w:locked/>
    <w:uiPriority w:val="0"/>
    <w:pPr>
      <w:tabs>
        <w:tab w:val="left" w:pos="780"/>
      </w:tabs>
      <w:spacing w:before="60"/>
      <w:ind w:left="780" w:hanging="360"/>
    </w:pPr>
    <w:rPr>
      <w:rFonts w:ascii="Arial" w:hAnsi="Arial" w:eastAsia="仿宋_GB2312"/>
      <w:kern w:val="0"/>
      <w:sz w:val="24"/>
      <w:szCs w:val="20"/>
    </w:rPr>
  </w:style>
  <w:style w:type="paragraph" w:styleId="15">
    <w:name w:val="table of authorities"/>
    <w:basedOn w:val="1"/>
    <w:next w:val="1"/>
    <w:autoRedefine/>
    <w:qFormat/>
    <w:locked/>
    <w:uiPriority w:val="0"/>
    <w:pPr>
      <w:ind w:left="420" w:leftChars="200"/>
    </w:pPr>
  </w:style>
  <w:style w:type="paragraph" w:styleId="16">
    <w:name w:val="Note Heading"/>
    <w:basedOn w:val="1"/>
    <w:next w:val="1"/>
    <w:link w:val="237"/>
    <w:autoRedefine/>
    <w:qFormat/>
    <w:locked/>
    <w:uiPriority w:val="0"/>
    <w:pPr>
      <w:adjustRightInd w:val="0"/>
      <w:ind w:right="19" w:rightChars="8"/>
      <w:jc w:val="center"/>
    </w:pPr>
    <w:rPr>
      <w:rFonts w:ascii="宋体" w:hAnsi="宋体"/>
      <w:kern w:val="0"/>
      <w:sz w:val="24"/>
      <w:szCs w:val="20"/>
    </w:rPr>
  </w:style>
  <w:style w:type="paragraph" w:styleId="17">
    <w:name w:val="List Bullet 4"/>
    <w:basedOn w:val="1"/>
    <w:autoRedefine/>
    <w:qFormat/>
    <w:locked/>
    <w:uiPriority w:val="0"/>
    <w:pPr>
      <w:numPr>
        <w:ilvl w:val="0"/>
        <w:numId w:val="1"/>
      </w:numPr>
      <w:spacing w:before="60"/>
    </w:pPr>
    <w:rPr>
      <w:rFonts w:ascii="Arial" w:hAnsi="Arial" w:eastAsia="仿宋_GB2312"/>
      <w:kern w:val="0"/>
      <w:sz w:val="24"/>
      <w:szCs w:val="20"/>
    </w:rPr>
  </w:style>
  <w:style w:type="paragraph" w:styleId="18">
    <w:name w:val="index 8"/>
    <w:basedOn w:val="1"/>
    <w:next w:val="1"/>
    <w:autoRedefine/>
    <w:qFormat/>
    <w:locked/>
    <w:uiPriority w:val="0"/>
    <w:pPr>
      <w:adjustRightInd w:val="0"/>
      <w:snapToGrid w:val="0"/>
      <w:spacing w:line="300" w:lineRule="auto"/>
      <w:ind w:left="1400" w:leftChars="1400"/>
    </w:pPr>
    <w:rPr>
      <w:rFonts w:ascii="仿宋_GB2312" w:eastAsia="仿宋_GB2312"/>
      <w:sz w:val="28"/>
    </w:rPr>
  </w:style>
  <w:style w:type="paragraph" w:styleId="19">
    <w:name w:val="E-mail Signature"/>
    <w:basedOn w:val="1"/>
    <w:link w:val="266"/>
    <w:autoRedefine/>
    <w:qFormat/>
    <w:locked/>
    <w:uiPriority w:val="0"/>
    <w:pPr>
      <w:spacing w:before="60"/>
      <w:ind w:firstLine="482"/>
    </w:pPr>
    <w:rPr>
      <w:rFonts w:ascii="Arial" w:hAnsi="Arial" w:eastAsia="仿宋_GB2312"/>
      <w:kern w:val="0"/>
      <w:sz w:val="20"/>
      <w:szCs w:val="20"/>
      <w:lang w:val="zh-CN"/>
    </w:rPr>
  </w:style>
  <w:style w:type="paragraph" w:styleId="20">
    <w:name w:val="List Number"/>
    <w:basedOn w:val="1"/>
    <w:autoRedefine/>
    <w:qFormat/>
    <w:locked/>
    <w:uiPriority w:val="0"/>
    <w:pPr>
      <w:tabs>
        <w:tab w:val="left" w:pos="360"/>
      </w:tabs>
      <w:ind w:left="360" w:hanging="360"/>
    </w:pPr>
    <w:rPr>
      <w:szCs w:val="21"/>
    </w:rPr>
  </w:style>
  <w:style w:type="paragraph" w:styleId="21">
    <w:name w:val="caption"/>
    <w:basedOn w:val="1"/>
    <w:next w:val="1"/>
    <w:link w:val="268"/>
    <w:autoRedefine/>
    <w:qFormat/>
    <w:locked/>
    <w:uiPriority w:val="0"/>
    <w:rPr>
      <w:rFonts w:ascii="Arial" w:hAnsi="Arial" w:eastAsia="黑体" w:cs="Arial"/>
      <w:sz w:val="20"/>
      <w:szCs w:val="20"/>
    </w:rPr>
  </w:style>
  <w:style w:type="paragraph" w:styleId="22">
    <w:name w:val="index 5"/>
    <w:basedOn w:val="1"/>
    <w:next w:val="1"/>
    <w:autoRedefine/>
    <w:qFormat/>
    <w:locked/>
    <w:uiPriority w:val="0"/>
    <w:pPr>
      <w:adjustRightInd w:val="0"/>
      <w:snapToGrid w:val="0"/>
      <w:spacing w:line="300" w:lineRule="auto"/>
      <w:ind w:left="800" w:leftChars="800"/>
    </w:pPr>
    <w:rPr>
      <w:rFonts w:ascii="仿宋_GB2312" w:eastAsia="仿宋_GB2312"/>
      <w:sz w:val="28"/>
    </w:rPr>
  </w:style>
  <w:style w:type="paragraph" w:styleId="23">
    <w:name w:val="List Bullet"/>
    <w:basedOn w:val="1"/>
    <w:autoRedefine/>
    <w:qFormat/>
    <w:locked/>
    <w:uiPriority w:val="0"/>
    <w:pPr>
      <w:tabs>
        <w:tab w:val="left" w:pos="360"/>
      </w:tabs>
      <w:ind w:left="360" w:hanging="360" w:hangingChars="200"/>
    </w:pPr>
  </w:style>
  <w:style w:type="paragraph" w:styleId="24">
    <w:name w:val="envelope address"/>
    <w:basedOn w:val="1"/>
    <w:autoRedefine/>
    <w:qFormat/>
    <w:locked/>
    <w:uiPriority w:val="0"/>
    <w:pPr>
      <w:snapToGrid w:val="0"/>
      <w:spacing w:before="60"/>
      <w:ind w:left="2880" w:firstLine="482"/>
    </w:pPr>
    <w:rPr>
      <w:rFonts w:ascii="Arial" w:hAnsi="Arial" w:eastAsia="仿宋_GB2312" w:cs="Arial"/>
      <w:kern w:val="0"/>
      <w:sz w:val="24"/>
      <w:szCs w:val="20"/>
    </w:rPr>
  </w:style>
  <w:style w:type="paragraph" w:styleId="25">
    <w:name w:val="Document Map"/>
    <w:basedOn w:val="1"/>
    <w:link w:val="208"/>
    <w:autoRedefine/>
    <w:qFormat/>
    <w:locked/>
    <w:uiPriority w:val="0"/>
    <w:pPr>
      <w:shd w:val="clear" w:color="auto" w:fill="000080"/>
    </w:pPr>
  </w:style>
  <w:style w:type="paragraph" w:styleId="26">
    <w:name w:val="toa heading"/>
    <w:basedOn w:val="1"/>
    <w:next w:val="1"/>
    <w:autoRedefine/>
    <w:qFormat/>
    <w:locked/>
    <w:uiPriority w:val="0"/>
    <w:pPr>
      <w:spacing w:before="120"/>
    </w:pPr>
    <w:rPr>
      <w:rFonts w:ascii="Arial" w:hAnsi="Arial"/>
      <w:sz w:val="24"/>
      <w:szCs w:val="20"/>
    </w:rPr>
  </w:style>
  <w:style w:type="paragraph" w:styleId="27">
    <w:name w:val="annotation text"/>
    <w:basedOn w:val="1"/>
    <w:link w:val="121"/>
    <w:autoRedefine/>
    <w:qFormat/>
    <w:uiPriority w:val="99"/>
    <w:pPr>
      <w:jc w:val="left"/>
    </w:pPr>
    <w:rPr>
      <w:kern w:val="0"/>
      <w:sz w:val="24"/>
      <w:szCs w:val="20"/>
    </w:rPr>
  </w:style>
  <w:style w:type="paragraph" w:styleId="28">
    <w:name w:val="index 6"/>
    <w:basedOn w:val="1"/>
    <w:next w:val="1"/>
    <w:autoRedefine/>
    <w:qFormat/>
    <w:locked/>
    <w:uiPriority w:val="0"/>
    <w:pPr>
      <w:adjustRightInd w:val="0"/>
      <w:snapToGrid w:val="0"/>
      <w:spacing w:line="300" w:lineRule="auto"/>
      <w:ind w:left="1000" w:leftChars="1000"/>
    </w:pPr>
    <w:rPr>
      <w:rFonts w:ascii="仿宋_GB2312" w:eastAsia="仿宋_GB2312"/>
      <w:sz w:val="28"/>
    </w:rPr>
  </w:style>
  <w:style w:type="paragraph" w:styleId="29">
    <w:name w:val="Salutation"/>
    <w:basedOn w:val="1"/>
    <w:next w:val="1"/>
    <w:link w:val="271"/>
    <w:autoRedefine/>
    <w:qFormat/>
    <w:locked/>
    <w:uiPriority w:val="0"/>
    <w:pPr>
      <w:spacing w:before="60"/>
      <w:ind w:firstLine="482"/>
    </w:pPr>
    <w:rPr>
      <w:rFonts w:ascii="Arial" w:hAnsi="Arial" w:eastAsia="仿宋_GB2312"/>
      <w:kern w:val="0"/>
      <w:sz w:val="20"/>
      <w:szCs w:val="20"/>
      <w:lang w:val="zh-CN"/>
    </w:rPr>
  </w:style>
  <w:style w:type="paragraph" w:styleId="30">
    <w:name w:val="Body Text 3"/>
    <w:basedOn w:val="1"/>
    <w:link w:val="206"/>
    <w:autoRedefine/>
    <w:qFormat/>
    <w:locked/>
    <w:uiPriority w:val="0"/>
    <w:pPr>
      <w:spacing w:line="580" w:lineRule="exact"/>
    </w:pPr>
    <w:rPr>
      <w:rFonts w:eastAsia="仿宋_GB2312"/>
      <w:color w:val="000000"/>
      <w:sz w:val="28"/>
      <w:szCs w:val="28"/>
    </w:rPr>
  </w:style>
  <w:style w:type="paragraph" w:styleId="31">
    <w:name w:val="Closing"/>
    <w:basedOn w:val="1"/>
    <w:link w:val="275"/>
    <w:autoRedefine/>
    <w:qFormat/>
    <w:locked/>
    <w:uiPriority w:val="0"/>
    <w:pPr>
      <w:spacing w:before="60"/>
      <w:ind w:left="4320" w:firstLine="482"/>
    </w:pPr>
    <w:rPr>
      <w:rFonts w:ascii="Arial" w:hAnsi="Arial" w:eastAsia="仿宋_GB2312"/>
      <w:kern w:val="0"/>
      <w:sz w:val="20"/>
      <w:szCs w:val="20"/>
      <w:lang w:val="zh-CN"/>
    </w:rPr>
  </w:style>
  <w:style w:type="paragraph" w:styleId="32">
    <w:name w:val="List Bullet 3"/>
    <w:basedOn w:val="1"/>
    <w:autoRedefine/>
    <w:qFormat/>
    <w:locked/>
    <w:uiPriority w:val="0"/>
    <w:pPr>
      <w:tabs>
        <w:tab w:val="left" w:pos="1200"/>
      </w:tabs>
      <w:ind w:left="1200" w:leftChars="400" w:hanging="360" w:hangingChars="200"/>
    </w:pPr>
  </w:style>
  <w:style w:type="paragraph" w:styleId="33">
    <w:name w:val="Body Text"/>
    <w:basedOn w:val="1"/>
    <w:next w:val="1"/>
    <w:link w:val="107"/>
    <w:autoRedefine/>
    <w:qFormat/>
    <w:uiPriority w:val="0"/>
    <w:pPr>
      <w:widowControl/>
      <w:snapToGrid w:val="0"/>
      <w:spacing w:before="60" w:after="160" w:line="259" w:lineRule="auto"/>
      <w:ind w:right="113"/>
    </w:pPr>
    <w:rPr>
      <w:kern w:val="0"/>
      <w:sz w:val="18"/>
      <w:szCs w:val="20"/>
    </w:rPr>
  </w:style>
  <w:style w:type="paragraph" w:styleId="34">
    <w:name w:val="Body Text Indent"/>
    <w:basedOn w:val="1"/>
    <w:link w:val="129"/>
    <w:autoRedefine/>
    <w:qFormat/>
    <w:uiPriority w:val="0"/>
    <w:pPr>
      <w:spacing w:after="120"/>
      <w:ind w:left="420" w:leftChars="200"/>
    </w:pPr>
    <w:rPr>
      <w:kern w:val="0"/>
      <w:sz w:val="24"/>
      <w:szCs w:val="20"/>
    </w:rPr>
  </w:style>
  <w:style w:type="paragraph" w:styleId="35">
    <w:name w:val="List Number 3"/>
    <w:basedOn w:val="1"/>
    <w:autoRedefine/>
    <w:qFormat/>
    <w:locked/>
    <w:uiPriority w:val="0"/>
    <w:pPr>
      <w:numPr>
        <w:ilvl w:val="0"/>
        <w:numId w:val="2"/>
      </w:numPr>
    </w:pPr>
  </w:style>
  <w:style w:type="paragraph" w:styleId="36">
    <w:name w:val="List 2"/>
    <w:basedOn w:val="1"/>
    <w:autoRedefine/>
    <w:qFormat/>
    <w:locked/>
    <w:uiPriority w:val="0"/>
    <w:pPr>
      <w:spacing w:line="360" w:lineRule="exact"/>
      <w:jc w:val="center"/>
    </w:pPr>
    <w:rPr>
      <w:rFonts w:ascii="仿宋_GB2312" w:eastAsia="仿宋_GB2312"/>
      <w:szCs w:val="20"/>
    </w:rPr>
  </w:style>
  <w:style w:type="paragraph" w:styleId="37">
    <w:name w:val="List Continue"/>
    <w:basedOn w:val="1"/>
    <w:autoRedefine/>
    <w:qFormat/>
    <w:locked/>
    <w:uiPriority w:val="0"/>
    <w:pPr>
      <w:spacing w:before="60" w:after="120"/>
      <w:ind w:left="420" w:firstLine="482"/>
    </w:pPr>
    <w:rPr>
      <w:rFonts w:ascii="Arial" w:hAnsi="Arial" w:eastAsia="仿宋_GB2312"/>
      <w:kern w:val="0"/>
      <w:sz w:val="24"/>
      <w:szCs w:val="20"/>
    </w:rPr>
  </w:style>
  <w:style w:type="paragraph" w:styleId="38">
    <w:name w:val="Block Text"/>
    <w:basedOn w:val="1"/>
    <w:autoRedefine/>
    <w:qFormat/>
    <w:locked/>
    <w:uiPriority w:val="99"/>
    <w:pPr>
      <w:spacing w:after="120"/>
      <w:ind w:left="1440" w:leftChars="700" w:right="1440" w:rightChars="700"/>
    </w:pPr>
  </w:style>
  <w:style w:type="paragraph" w:styleId="39">
    <w:name w:val="List Bullet 2"/>
    <w:basedOn w:val="1"/>
    <w:autoRedefine/>
    <w:qFormat/>
    <w:locked/>
    <w:uiPriority w:val="0"/>
    <w:pPr>
      <w:tabs>
        <w:tab w:val="left" w:pos="780"/>
      </w:tabs>
      <w:ind w:left="780" w:leftChars="200" w:hanging="360" w:hangingChars="200"/>
    </w:pPr>
  </w:style>
  <w:style w:type="paragraph" w:styleId="40">
    <w:name w:val="HTML Address"/>
    <w:basedOn w:val="1"/>
    <w:link w:val="278"/>
    <w:autoRedefine/>
    <w:qFormat/>
    <w:locked/>
    <w:uiPriority w:val="0"/>
    <w:pPr>
      <w:spacing w:before="60"/>
      <w:ind w:firstLine="482"/>
    </w:pPr>
    <w:rPr>
      <w:rFonts w:ascii="Arial" w:hAnsi="Arial" w:eastAsia="仿宋_GB2312"/>
      <w:i/>
      <w:iCs/>
      <w:kern w:val="0"/>
      <w:sz w:val="20"/>
      <w:szCs w:val="20"/>
      <w:lang w:val="zh-CN"/>
    </w:rPr>
  </w:style>
  <w:style w:type="paragraph" w:styleId="41">
    <w:name w:val="index 4"/>
    <w:basedOn w:val="1"/>
    <w:next w:val="1"/>
    <w:autoRedefine/>
    <w:qFormat/>
    <w:locked/>
    <w:uiPriority w:val="0"/>
    <w:pPr>
      <w:adjustRightInd w:val="0"/>
      <w:snapToGrid w:val="0"/>
      <w:spacing w:line="300" w:lineRule="auto"/>
      <w:ind w:left="600" w:leftChars="600"/>
    </w:pPr>
    <w:rPr>
      <w:rFonts w:ascii="仿宋_GB2312" w:eastAsia="仿宋_GB2312"/>
      <w:sz w:val="28"/>
    </w:rPr>
  </w:style>
  <w:style w:type="paragraph" w:styleId="42">
    <w:name w:val="Plain Text"/>
    <w:basedOn w:val="1"/>
    <w:link w:val="111"/>
    <w:autoRedefine/>
    <w:qFormat/>
    <w:locked/>
    <w:uiPriority w:val="0"/>
    <w:rPr>
      <w:rFonts w:ascii="宋体" w:hAnsi="Courier New"/>
      <w:szCs w:val="21"/>
    </w:rPr>
  </w:style>
  <w:style w:type="paragraph" w:styleId="43">
    <w:name w:val="List Bullet 5"/>
    <w:basedOn w:val="1"/>
    <w:autoRedefine/>
    <w:qFormat/>
    <w:locked/>
    <w:uiPriority w:val="0"/>
    <w:pPr>
      <w:numPr>
        <w:ilvl w:val="0"/>
        <w:numId w:val="3"/>
      </w:numPr>
      <w:spacing w:before="60"/>
    </w:pPr>
    <w:rPr>
      <w:rFonts w:ascii="Arial" w:hAnsi="Arial" w:eastAsia="仿宋_GB2312"/>
      <w:kern w:val="0"/>
      <w:sz w:val="24"/>
      <w:szCs w:val="20"/>
    </w:rPr>
  </w:style>
  <w:style w:type="paragraph" w:styleId="44">
    <w:name w:val="List Number 4"/>
    <w:basedOn w:val="1"/>
    <w:autoRedefine/>
    <w:qFormat/>
    <w:locked/>
    <w:uiPriority w:val="0"/>
    <w:pPr>
      <w:numPr>
        <w:ilvl w:val="0"/>
        <w:numId w:val="4"/>
      </w:numPr>
      <w:spacing w:before="60"/>
    </w:pPr>
    <w:rPr>
      <w:rFonts w:ascii="Arial" w:hAnsi="Arial" w:eastAsia="仿宋_GB2312"/>
      <w:kern w:val="0"/>
      <w:sz w:val="24"/>
      <w:szCs w:val="20"/>
    </w:rPr>
  </w:style>
  <w:style w:type="paragraph" w:styleId="45">
    <w:name w:val="index 3"/>
    <w:basedOn w:val="1"/>
    <w:next w:val="1"/>
    <w:autoRedefine/>
    <w:qFormat/>
    <w:locked/>
    <w:uiPriority w:val="0"/>
    <w:pPr>
      <w:adjustRightInd w:val="0"/>
      <w:snapToGrid w:val="0"/>
      <w:spacing w:line="300" w:lineRule="auto"/>
      <w:ind w:left="400" w:leftChars="400"/>
    </w:pPr>
    <w:rPr>
      <w:rFonts w:ascii="仿宋_GB2312" w:eastAsia="仿宋_GB2312"/>
      <w:sz w:val="28"/>
    </w:rPr>
  </w:style>
  <w:style w:type="paragraph" w:styleId="46">
    <w:name w:val="Date"/>
    <w:basedOn w:val="1"/>
    <w:next w:val="1"/>
    <w:link w:val="114"/>
    <w:autoRedefine/>
    <w:qFormat/>
    <w:uiPriority w:val="0"/>
    <w:pPr>
      <w:ind w:left="100" w:leftChars="2500"/>
    </w:pPr>
    <w:rPr>
      <w:kern w:val="0"/>
      <w:sz w:val="24"/>
      <w:szCs w:val="20"/>
    </w:rPr>
  </w:style>
  <w:style w:type="paragraph" w:styleId="47">
    <w:name w:val="Body Text Indent 2"/>
    <w:basedOn w:val="1"/>
    <w:link w:val="198"/>
    <w:autoRedefine/>
    <w:qFormat/>
    <w:locked/>
    <w:uiPriority w:val="0"/>
    <w:pPr>
      <w:spacing w:line="640" w:lineRule="exact"/>
      <w:ind w:left="-130" w:firstLine="600"/>
    </w:pPr>
    <w:rPr>
      <w:rFonts w:eastAsia="仿宋_GB2312"/>
      <w:kern w:val="0"/>
      <w:sz w:val="30"/>
      <w:szCs w:val="20"/>
    </w:rPr>
  </w:style>
  <w:style w:type="paragraph" w:styleId="48">
    <w:name w:val="endnote text"/>
    <w:basedOn w:val="1"/>
    <w:link w:val="283"/>
    <w:autoRedefine/>
    <w:qFormat/>
    <w:locked/>
    <w:uiPriority w:val="0"/>
    <w:pPr>
      <w:adjustRightInd w:val="0"/>
      <w:snapToGrid w:val="0"/>
      <w:spacing w:line="300" w:lineRule="auto"/>
      <w:jc w:val="left"/>
    </w:pPr>
    <w:rPr>
      <w:rFonts w:ascii="仿宋_GB2312" w:eastAsia="仿宋_GB2312"/>
      <w:kern w:val="0"/>
      <w:sz w:val="28"/>
      <w:lang w:val="zh-CN"/>
    </w:rPr>
  </w:style>
  <w:style w:type="paragraph" w:styleId="49">
    <w:name w:val="List Continue 5"/>
    <w:basedOn w:val="1"/>
    <w:autoRedefine/>
    <w:qFormat/>
    <w:locked/>
    <w:uiPriority w:val="0"/>
    <w:pPr>
      <w:spacing w:before="60" w:after="120"/>
      <w:ind w:left="2100" w:firstLine="482"/>
    </w:pPr>
    <w:rPr>
      <w:rFonts w:ascii="Arial" w:hAnsi="Arial" w:eastAsia="仿宋_GB2312"/>
      <w:kern w:val="0"/>
      <w:sz w:val="24"/>
      <w:szCs w:val="20"/>
    </w:rPr>
  </w:style>
  <w:style w:type="paragraph" w:styleId="50">
    <w:name w:val="Balloon Text"/>
    <w:basedOn w:val="1"/>
    <w:link w:val="119"/>
    <w:autoRedefine/>
    <w:qFormat/>
    <w:uiPriority w:val="0"/>
    <w:rPr>
      <w:kern w:val="0"/>
      <w:sz w:val="18"/>
      <w:szCs w:val="20"/>
    </w:rPr>
  </w:style>
  <w:style w:type="paragraph" w:styleId="51">
    <w:name w:val="footer"/>
    <w:basedOn w:val="1"/>
    <w:link w:val="106"/>
    <w:autoRedefine/>
    <w:qFormat/>
    <w:uiPriority w:val="99"/>
    <w:pPr>
      <w:tabs>
        <w:tab w:val="center" w:pos="4153"/>
        <w:tab w:val="right" w:pos="8306"/>
      </w:tabs>
      <w:snapToGrid w:val="0"/>
      <w:jc w:val="left"/>
    </w:pPr>
    <w:rPr>
      <w:kern w:val="0"/>
      <w:sz w:val="18"/>
      <w:szCs w:val="20"/>
    </w:rPr>
  </w:style>
  <w:style w:type="paragraph" w:styleId="52">
    <w:name w:val="envelope return"/>
    <w:basedOn w:val="1"/>
    <w:autoRedefine/>
    <w:qFormat/>
    <w:locked/>
    <w:uiPriority w:val="0"/>
    <w:pPr>
      <w:snapToGrid w:val="0"/>
      <w:spacing w:before="60"/>
      <w:ind w:firstLine="482"/>
    </w:pPr>
    <w:rPr>
      <w:rFonts w:ascii="Arial" w:hAnsi="Arial" w:eastAsia="仿宋_GB2312" w:cs="Arial"/>
      <w:kern w:val="0"/>
      <w:sz w:val="24"/>
      <w:szCs w:val="20"/>
    </w:rPr>
  </w:style>
  <w:style w:type="paragraph" w:styleId="53">
    <w:name w:val="header"/>
    <w:basedOn w:val="1"/>
    <w:link w:val="112"/>
    <w:autoRedefine/>
    <w:qFormat/>
    <w:uiPriority w:val="99"/>
    <w:pPr>
      <w:pBdr>
        <w:bottom w:val="single" w:color="auto" w:sz="6" w:space="1"/>
      </w:pBdr>
      <w:tabs>
        <w:tab w:val="center" w:pos="4153"/>
        <w:tab w:val="right" w:pos="8306"/>
      </w:tabs>
      <w:snapToGrid w:val="0"/>
      <w:jc w:val="center"/>
    </w:pPr>
    <w:rPr>
      <w:kern w:val="0"/>
      <w:sz w:val="18"/>
      <w:szCs w:val="20"/>
    </w:rPr>
  </w:style>
  <w:style w:type="paragraph" w:styleId="54">
    <w:name w:val="Signature"/>
    <w:basedOn w:val="1"/>
    <w:link w:val="286"/>
    <w:autoRedefine/>
    <w:qFormat/>
    <w:locked/>
    <w:uiPriority w:val="0"/>
    <w:pPr>
      <w:spacing w:before="60"/>
      <w:ind w:left="4320" w:firstLine="482"/>
    </w:pPr>
    <w:rPr>
      <w:rFonts w:ascii="Arial" w:hAnsi="Arial" w:eastAsia="仿宋_GB2312"/>
      <w:kern w:val="0"/>
      <w:sz w:val="20"/>
      <w:szCs w:val="20"/>
      <w:lang w:val="zh-CN"/>
    </w:rPr>
  </w:style>
  <w:style w:type="paragraph" w:styleId="55">
    <w:name w:val="List Continue 4"/>
    <w:basedOn w:val="1"/>
    <w:autoRedefine/>
    <w:qFormat/>
    <w:locked/>
    <w:uiPriority w:val="0"/>
    <w:pPr>
      <w:spacing w:before="60" w:after="120"/>
      <w:ind w:left="1680" w:firstLine="482"/>
    </w:pPr>
    <w:rPr>
      <w:rFonts w:ascii="Arial" w:hAnsi="Arial" w:eastAsia="仿宋_GB2312"/>
      <w:kern w:val="0"/>
      <w:sz w:val="24"/>
      <w:szCs w:val="20"/>
    </w:rPr>
  </w:style>
  <w:style w:type="paragraph" w:styleId="56">
    <w:name w:val="index heading"/>
    <w:basedOn w:val="1"/>
    <w:next w:val="1"/>
    <w:autoRedefine/>
    <w:qFormat/>
    <w:locked/>
    <w:uiPriority w:val="0"/>
  </w:style>
  <w:style w:type="paragraph" w:styleId="57">
    <w:name w:val="Subtitle"/>
    <w:basedOn w:val="1"/>
    <w:next w:val="1"/>
    <w:link w:val="291"/>
    <w:autoRedefine/>
    <w:qFormat/>
    <w:locked/>
    <w:uiPriority w:val="0"/>
    <w:pPr>
      <w:widowControl/>
      <w:spacing w:after="60"/>
      <w:jc w:val="center"/>
      <w:outlineLvl w:val="1"/>
    </w:pPr>
    <w:rPr>
      <w:rFonts w:ascii="Cambria" w:hAnsi="Cambria"/>
      <w:kern w:val="0"/>
      <w:sz w:val="24"/>
      <w:lang w:val="zh-CN"/>
    </w:rPr>
  </w:style>
  <w:style w:type="paragraph" w:styleId="58">
    <w:name w:val="List Number 5"/>
    <w:basedOn w:val="1"/>
    <w:autoRedefine/>
    <w:qFormat/>
    <w:locked/>
    <w:uiPriority w:val="0"/>
    <w:pPr>
      <w:numPr>
        <w:ilvl w:val="0"/>
        <w:numId w:val="5"/>
      </w:numPr>
      <w:tabs>
        <w:tab w:val="left" w:pos="420"/>
      </w:tabs>
      <w:spacing w:before="60"/>
      <w:ind w:left="420" w:hanging="420"/>
    </w:pPr>
    <w:rPr>
      <w:rFonts w:ascii="Arial" w:hAnsi="Arial" w:eastAsia="仿宋_GB2312"/>
      <w:kern w:val="0"/>
      <w:sz w:val="24"/>
      <w:szCs w:val="20"/>
    </w:rPr>
  </w:style>
  <w:style w:type="paragraph" w:styleId="59">
    <w:name w:val="List"/>
    <w:basedOn w:val="1"/>
    <w:autoRedefine/>
    <w:qFormat/>
    <w:locked/>
    <w:uiPriority w:val="0"/>
    <w:pPr>
      <w:ind w:left="200" w:hanging="200" w:hangingChars="200"/>
    </w:pPr>
  </w:style>
  <w:style w:type="paragraph" w:styleId="60">
    <w:name w:val="footnote text"/>
    <w:basedOn w:val="1"/>
    <w:link w:val="293"/>
    <w:autoRedefine/>
    <w:qFormat/>
    <w:locked/>
    <w:uiPriority w:val="0"/>
    <w:pPr>
      <w:snapToGrid w:val="0"/>
      <w:spacing w:before="60"/>
      <w:ind w:firstLine="482"/>
      <w:jc w:val="left"/>
    </w:pPr>
    <w:rPr>
      <w:rFonts w:ascii="Arial" w:hAnsi="Arial" w:eastAsia="仿宋_GB2312"/>
      <w:kern w:val="0"/>
      <w:sz w:val="18"/>
      <w:szCs w:val="18"/>
      <w:lang w:val="zh-CN"/>
    </w:rPr>
  </w:style>
  <w:style w:type="paragraph" w:styleId="61">
    <w:name w:val="List 5"/>
    <w:basedOn w:val="1"/>
    <w:autoRedefine/>
    <w:qFormat/>
    <w:locked/>
    <w:uiPriority w:val="0"/>
    <w:pPr>
      <w:spacing w:before="60"/>
      <w:ind w:left="2100" w:hanging="420"/>
    </w:pPr>
    <w:rPr>
      <w:rFonts w:ascii="Arial" w:hAnsi="Arial" w:eastAsia="仿宋_GB2312"/>
      <w:kern w:val="0"/>
      <w:sz w:val="24"/>
      <w:szCs w:val="20"/>
    </w:rPr>
  </w:style>
  <w:style w:type="paragraph" w:styleId="62">
    <w:name w:val="Body Text Indent 3"/>
    <w:basedOn w:val="1"/>
    <w:link w:val="193"/>
    <w:autoRedefine/>
    <w:qFormat/>
    <w:locked/>
    <w:uiPriority w:val="99"/>
    <w:pPr>
      <w:spacing w:line="640" w:lineRule="exact"/>
      <w:ind w:left="-164" w:firstLine="791"/>
    </w:pPr>
    <w:rPr>
      <w:rFonts w:ascii="仿宋_GB2312" w:eastAsia="仿宋_GB2312"/>
      <w:sz w:val="30"/>
      <w:szCs w:val="20"/>
    </w:rPr>
  </w:style>
  <w:style w:type="paragraph" w:styleId="63">
    <w:name w:val="index 7"/>
    <w:basedOn w:val="1"/>
    <w:next w:val="1"/>
    <w:autoRedefine/>
    <w:qFormat/>
    <w:locked/>
    <w:uiPriority w:val="0"/>
    <w:pPr>
      <w:adjustRightInd w:val="0"/>
      <w:snapToGrid w:val="0"/>
      <w:spacing w:line="300" w:lineRule="auto"/>
      <w:ind w:left="1200" w:leftChars="1200"/>
    </w:pPr>
    <w:rPr>
      <w:rFonts w:ascii="仿宋_GB2312" w:eastAsia="仿宋_GB2312"/>
      <w:sz w:val="28"/>
    </w:rPr>
  </w:style>
  <w:style w:type="paragraph" w:styleId="64">
    <w:name w:val="index 9"/>
    <w:basedOn w:val="1"/>
    <w:next w:val="1"/>
    <w:autoRedefine/>
    <w:qFormat/>
    <w:locked/>
    <w:uiPriority w:val="0"/>
    <w:pPr>
      <w:adjustRightInd w:val="0"/>
      <w:snapToGrid w:val="0"/>
      <w:spacing w:line="300" w:lineRule="auto"/>
      <w:ind w:left="1600" w:leftChars="1600"/>
    </w:pPr>
    <w:rPr>
      <w:rFonts w:ascii="仿宋_GB2312" w:eastAsia="仿宋_GB2312"/>
      <w:sz w:val="28"/>
    </w:rPr>
  </w:style>
  <w:style w:type="paragraph" w:styleId="65">
    <w:name w:val="table of figures"/>
    <w:basedOn w:val="1"/>
    <w:next w:val="1"/>
    <w:autoRedefine/>
    <w:qFormat/>
    <w:locked/>
    <w:uiPriority w:val="0"/>
    <w:pPr>
      <w:ind w:left="420" w:hanging="420"/>
      <w:jc w:val="left"/>
    </w:pPr>
    <w:rPr>
      <w:smallCaps/>
      <w:sz w:val="20"/>
      <w:szCs w:val="20"/>
    </w:rPr>
  </w:style>
  <w:style w:type="paragraph" w:styleId="66">
    <w:name w:val="Body Text 2"/>
    <w:basedOn w:val="1"/>
    <w:link w:val="214"/>
    <w:autoRedefine/>
    <w:qFormat/>
    <w:locked/>
    <w:uiPriority w:val="0"/>
    <w:rPr>
      <w:sz w:val="28"/>
      <w:szCs w:val="20"/>
    </w:rPr>
  </w:style>
  <w:style w:type="paragraph" w:styleId="67">
    <w:name w:val="List 4"/>
    <w:basedOn w:val="1"/>
    <w:autoRedefine/>
    <w:qFormat/>
    <w:locked/>
    <w:uiPriority w:val="0"/>
    <w:pPr>
      <w:spacing w:before="60"/>
      <w:ind w:left="1680" w:hanging="420"/>
    </w:pPr>
    <w:rPr>
      <w:rFonts w:ascii="Arial" w:hAnsi="Arial" w:eastAsia="仿宋_GB2312"/>
      <w:kern w:val="0"/>
      <w:sz w:val="24"/>
      <w:szCs w:val="20"/>
    </w:rPr>
  </w:style>
  <w:style w:type="paragraph" w:styleId="68">
    <w:name w:val="List Continue 2"/>
    <w:basedOn w:val="1"/>
    <w:autoRedefine/>
    <w:qFormat/>
    <w:locked/>
    <w:uiPriority w:val="0"/>
    <w:pPr>
      <w:widowControl/>
      <w:spacing w:after="120"/>
      <w:ind w:left="840" w:leftChars="400"/>
      <w:jc w:val="left"/>
    </w:pPr>
    <w:rPr>
      <w:kern w:val="0"/>
      <w:sz w:val="24"/>
      <w:szCs w:val="20"/>
    </w:rPr>
  </w:style>
  <w:style w:type="paragraph" w:styleId="69">
    <w:name w:val="Message Header"/>
    <w:basedOn w:val="1"/>
    <w:link w:val="301"/>
    <w:autoRedefine/>
    <w:qFormat/>
    <w:locked/>
    <w:uiPriority w:val="0"/>
    <w:pPr>
      <w:pBdr>
        <w:top w:val="single" w:color="auto" w:sz="6" w:space="1"/>
        <w:left w:val="single" w:color="auto" w:sz="6" w:space="1"/>
        <w:bottom w:val="single" w:color="auto" w:sz="6" w:space="1"/>
        <w:right w:val="single" w:color="auto" w:sz="6" w:space="1"/>
      </w:pBdr>
      <w:shd w:val="pct20" w:color="auto" w:fill="auto"/>
      <w:spacing w:before="60"/>
      <w:ind w:left="1080" w:hanging="1080"/>
    </w:pPr>
    <w:rPr>
      <w:rFonts w:ascii="Arial" w:hAnsi="Arial" w:eastAsia="仿宋_GB2312"/>
      <w:kern w:val="0"/>
      <w:sz w:val="20"/>
      <w:szCs w:val="20"/>
      <w:shd w:val="pct20" w:color="auto" w:fill="auto"/>
      <w:lang w:val="zh-CN"/>
    </w:rPr>
  </w:style>
  <w:style w:type="paragraph" w:styleId="70">
    <w:name w:val="HTML Preformatted"/>
    <w:basedOn w:val="1"/>
    <w:link w:val="204"/>
    <w:autoRedefine/>
    <w:qFormat/>
    <w:locked/>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jc w:val="left"/>
    </w:pPr>
    <w:rPr>
      <w:rFonts w:ascii="Arial" w:hAnsi="Arial" w:cs="Arial"/>
      <w:kern w:val="0"/>
      <w:szCs w:val="21"/>
    </w:rPr>
  </w:style>
  <w:style w:type="paragraph" w:styleId="71">
    <w:name w:val="Normal (Web)"/>
    <w:basedOn w:val="1"/>
    <w:link w:val="138"/>
    <w:autoRedefine/>
    <w:qFormat/>
    <w:uiPriority w:val="99"/>
    <w:pPr>
      <w:widowControl/>
      <w:spacing w:before="100" w:beforeAutospacing="1" w:after="100" w:afterAutospacing="1"/>
      <w:jc w:val="left"/>
    </w:pPr>
    <w:rPr>
      <w:rFonts w:ascii="宋体" w:hAnsi="宋体"/>
      <w:kern w:val="0"/>
      <w:sz w:val="24"/>
      <w:szCs w:val="20"/>
    </w:rPr>
  </w:style>
  <w:style w:type="paragraph" w:styleId="72">
    <w:name w:val="List Continue 3"/>
    <w:basedOn w:val="1"/>
    <w:autoRedefine/>
    <w:qFormat/>
    <w:locked/>
    <w:uiPriority w:val="0"/>
    <w:pPr>
      <w:spacing w:before="60" w:after="120"/>
      <w:ind w:left="1260" w:firstLine="482"/>
    </w:pPr>
    <w:rPr>
      <w:rFonts w:ascii="Arial" w:hAnsi="Arial" w:eastAsia="仿宋_GB2312"/>
      <w:kern w:val="0"/>
      <w:sz w:val="24"/>
      <w:szCs w:val="20"/>
    </w:rPr>
  </w:style>
  <w:style w:type="paragraph" w:styleId="73">
    <w:name w:val="index 1"/>
    <w:basedOn w:val="1"/>
    <w:next w:val="1"/>
    <w:autoRedefine/>
    <w:qFormat/>
    <w:locked/>
    <w:uiPriority w:val="0"/>
  </w:style>
  <w:style w:type="paragraph" w:styleId="74">
    <w:name w:val="index 2"/>
    <w:basedOn w:val="1"/>
    <w:next w:val="1"/>
    <w:autoRedefine/>
    <w:qFormat/>
    <w:locked/>
    <w:uiPriority w:val="0"/>
    <w:pPr>
      <w:adjustRightInd w:val="0"/>
      <w:snapToGrid w:val="0"/>
      <w:spacing w:line="300" w:lineRule="auto"/>
      <w:ind w:left="200" w:leftChars="200"/>
    </w:pPr>
    <w:rPr>
      <w:rFonts w:ascii="仿宋_GB2312" w:eastAsia="仿宋_GB2312"/>
      <w:sz w:val="28"/>
    </w:rPr>
  </w:style>
  <w:style w:type="paragraph" w:styleId="75">
    <w:name w:val="Title"/>
    <w:basedOn w:val="1"/>
    <w:link w:val="305"/>
    <w:autoRedefine/>
    <w:qFormat/>
    <w:locked/>
    <w:uiPriority w:val="0"/>
    <w:pPr>
      <w:spacing w:before="240" w:after="60"/>
      <w:jc w:val="center"/>
      <w:outlineLvl w:val="0"/>
    </w:pPr>
    <w:rPr>
      <w:rFonts w:ascii="Arial" w:hAnsi="Arial"/>
      <w:b/>
      <w:bCs/>
      <w:sz w:val="32"/>
      <w:szCs w:val="32"/>
      <w:lang w:val="zh-CN"/>
    </w:rPr>
  </w:style>
  <w:style w:type="paragraph" w:styleId="76">
    <w:name w:val="annotation subject"/>
    <w:basedOn w:val="27"/>
    <w:next w:val="27"/>
    <w:link w:val="139"/>
    <w:autoRedefine/>
    <w:qFormat/>
    <w:uiPriority w:val="0"/>
    <w:rPr>
      <w:b/>
      <w:kern w:val="2"/>
    </w:rPr>
  </w:style>
  <w:style w:type="table" w:styleId="78">
    <w:name w:val="Table Grid"/>
    <w:basedOn w:val="77"/>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79">
    <w:name w:val="Table Grid 1"/>
    <w:basedOn w:val="77"/>
    <w:autoRedefine/>
    <w:qFormat/>
    <w:locked/>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color="000000" w:sz="6" w:space="0"/>
          <w:tr2bl w:val="nil"/>
        </w:tcBorders>
      </w:tcPr>
    </w:tblStylePr>
  </w:style>
  <w:style w:type="character" w:styleId="81">
    <w:name w:val="Strong"/>
    <w:autoRedefine/>
    <w:qFormat/>
    <w:locked/>
    <w:uiPriority w:val="22"/>
    <w:rPr>
      <w:b/>
      <w:bCs/>
    </w:rPr>
  </w:style>
  <w:style w:type="character" w:styleId="82">
    <w:name w:val="endnote reference"/>
    <w:autoRedefine/>
    <w:qFormat/>
    <w:locked/>
    <w:uiPriority w:val="99"/>
    <w:rPr>
      <w:rFonts w:cs="Times New Roman"/>
      <w:vertAlign w:val="superscript"/>
    </w:rPr>
  </w:style>
  <w:style w:type="character" w:styleId="83">
    <w:name w:val="page number"/>
    <w:basedOn w:val="80"/>
    <w:autoRedefine/>
    <w:qFormat/>
    <w:locked/>
    <w:uiPriority w:val="0"/>
  </w:style>
  <w:style w:type="character" w:styleId="84">
    <w:name w:val="FollowedHyperlink"/>
    <w:autoRedefine/>
    <w:qFormat/>
    <w:locked/>
    <w:uiPriority w:val="99"/>
    <w:rPr>
      <w:color w:val="800080"/>
      <w:sz w:val="21"/>
      <w:szCs w:val="21"/>
      <w:u w:val="none"/>
    </w:rPr>
  </w:style>
  <w:style w:type="character" w:styleId="85">
    <w:name w:val="Emphasis"/>
    <w:autoRedefine/>
    <w:qFormat/>
    <w:locked/>
    <w:uiPriority w:val="0"/>
    <w:rPr>
      <w:i/>
      <w:iCs/>
    </w:rPr>
  </w:style>
  <w:style w:type="character" w:styleId="86">
    <w:name w:val="line number"/>
    <w:autoRedefine/>
    <w:qFormat/>
    <w:locked/>
    <w:uiPriority w:val="0"/>
    <w:rPr>
      <w:rFonts w:ascii="宋体" w:hAnsi="宋体" w:eastAsia="宋体" w:cs="Courier New"/>
      <w:kern w:val="2"/>
      <w:sz w:val="32"/>
      <w:szCs w:val="32"/>
      <w:lang w:val="en-US" w:eastAsia="zh-CN" w:bidi="ar-SA"/>
    </w:rPr>
  </w:style>
  <w:style w:type="character" w:styleId="87">
    <w:name w:val="HTML Definition"/>
    <w:autoRedefine/>
    <w:qFormat/>
    <w:locked/>
    <w:uiPriority w:val="0"/>
    <w:rPr>
      <w:rFonts w:ascii="宋体" w:hAnsi="宋体" w:eastAsia="宋体" w:cs="Courier New"/>
      <w:i/>
      <w:iCs/>
      <w:kern w:val="2"/>
      <w:sz w:val="32"/>
      <w:szCs w:val="32"/>
      <w:lang w:val="en-US" w:eastAsia="zh-CN" w:bidi="ar-SA"/>
    </w:rPr>
  </w:style>
  <w:style w:type="character" w:styleId="88">
    <w:name w:val="HTML Typewriter"/>
    <w:autoRedefine/>
    <w:qFormat/>
    <w:locked/>
    <w:uiPriority w:val="0"/>
    <w:rPr>
      <w:rFonts w:ascii="黑体" w:hAnsi="Courier New" w:eastAsia="黑体" w:cs="Courier New"/>
      <w:sz w:val="18"/>
      <w:szCs w:val="18"/>
    </w:rPr>
  </w:style>
  <w:style w:type="character" w:styleId="89">
    <w:name w:val="HTML Acronym"/>
    <w:autoRedefine/>
    <w:qFormat/>
    <w:locked/>
    <w:uiPriority w:val="0"/>
    <w:rPr>
      <w:rFonts w:ascii="宋体" w:hAnsi="宋体" w:eastAsia="宋体" w:cs="Courier New"/>
      <w:kern w:val="2"/>
      <w:sz w:val="32"/>
      <w:szCs w:val="32"/>
      <w:lang w:val="en-US" w:eastAsia="zh-CN" w:bidi="ar-SA"/>
    </w:rPr>
  </w:style>
  <w:style w:type="character" w:styleId="90">
    <w:name w:val="HTML Variable"/>
    <w:autoRedefine/>
    <w:qFormat/>
    <w:locked/>
    <w:uiPriority w:val="0"/>
    <w:rPr>
      <w:rFonts w:ascii="宋体" w:hAnsi="宋体" w:eastAsia="宋体" w:cs="Courier New"/>
      <w:i/>
      <w:iCs/>
      <w:kern w:val="2"/>
      <w:sz w:val="32"/>
      <w:szCs w:val="32"/>
      <w:lang w:val="en-US" w:eastAsia="zh-CN" w:bidi="ar-SA"/>
    </w:rPr>
  </w:style>
  <w:style w:type="character" w:styleId="91">
    <w:name w:val="Hyperlink"/>
    <w:autoRedefine/>
    <w:qFormat/>
    <w:locked/>
    <w:uiPriority w:val="99"/>
    <w:rPr>
      <w:color w:val="0000FF"/>
      <w:sz w:val="21"/>
      <w:szCs w:val="21"/>
      <w:u w:val="none"/>
    </w:rPr>
  </w:style>
  <w:style w:type="character" w:styleId="92">
    <w:name w:val="HTML Code"/>
    <w:autoRedefine/>
    <w:qFormat/>
    <w:locked/>
    <w:uiPriority w:val="0"/>
    <w:rPr>
      <w:rFonts w:ascii="黑体" w:hAnsi="Courier New" w:eastAsia="黑体" w:cs="Courier New"/>
      <w:sz w:val="20"/>
      <w:szCs w:val="20"/>
    </w:rPr>
  </w:style>
  <w:style w:type="character" w:styleId="93">
    <w:name w:val="annotation reference"/>
    <w:autoRedefine/>
    <w:qFormat/>
    <w:uiPriority w:val="99"/>
    <w:rPr>
      <w:sz w:val="21"/>
    </w:rPr>
  </w:style>
  <w:style w:type="character" w:styleId="94">
    <w:name w:val="HTML Cite"/>
    <w:autoRedefine/>
    <w:qFormat/>
    <w:locked/>
    <w:uiPriority w:val="0"/>
    <w:rPr>
      <w:rFonts w:ascii="宋体" w:hAnsi="宋体" w:eastAsia="宋体" w:cs="Courier New"/>
      <w:i/>
      <w:iCs/>
      <w:kern w:val="2"/>
      <w:sz w:val="32"/>
      <w:szCs w:val="32"/>
      <w:lang w:val="en-US" w:eastAsia="zh-CN" w:bidi="ar-SA"/>
    </w:rPr>
  </w:style>
  <w:style w:type="character" w:styleId="95">
    <w:name w:val="footnote reference"/>
    <w:autoRedefine/>
    <w:qFormat/>
    <w:locked/>
    <w:uiPriority w:val="0"/>
    <w:rPr>
      <w:vertAlign w:val="superscript"/>
    </w:rPr>
  </w:style>
  <w:style w:type="character" w:styleId="96">
    <w:name w:val="HTML Keyboard"/>
    <w:autoRedefine/>
    <w:qFormat/>
    <w:locked/>
    <w:uiPriority w:val="0"/>
    <w:rPr>
      <w:rFonts w:ascii="Courier New" w:hAnsi="Courier New" w:cs="Courier New"/>
      <w:sz w:val="20"/>
      <w:szCs w:val="20"/>
    </w:rPr>
  </w:style>
  <w:style w:type="character" w:styleId="97">
    <w:name w:val="HTML Sample"/>
    <w:autoRedefine/>
    <w:qFormat/>
    <w:locked/>
    <w:uiPriority w:val="0"/>
    <w:rPr>
      <w:rFonts w:ascii="Courier New" w:hAnsi="Courier New" w:eastAsia="宋体" w:cs="Courier New"/>
      <w:kern w:val="2"/>
      <w:sz w:val="32"/>
      <w:szCs w:val="32"/>
      <w:lang w:val="en-US" w:eastAsia="zh-CN" w:bidi="ar-SA"/>
    </w:rPr>
  </w:style>
  <w:style w:type="paragraph" w:customStyle="1" w:styleId="98">
    <w:name w:val="Default1"/>
    <w:autoRedefine/>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character" w:customStyle="1" w:styleId="99">
    <w:name w:val="标题 1 字符4"/>
    <w:link w:val="3"/>
    <w:autoRedefine/>
    <w:qFormat/>
    <w:uiPriority w:val="9"/>
    <w:rPr>
      <w:rFonts w:eastAsia="黑体"/>
      <w:b/>
      <w:bCs/>
      <w:color w:val="000000"/>
      <w:kern w:val="44"/>
      <w:sz w:val="30"/>
      <w:szCs w:val="30"/>
    </w:rPr>
  </w:style>
  <w:style w:type="character" w:customStyle="1" w:styleId="100">
    <w:name w:val="标题 2 字符3"/>
    <w:link w:val="4"/>
    <w:autoRedefine/>
    <w:qFormat/>
    <w:uiPriority w:val="0"/>
    <w:rPr>
      <w:rFonts w:ascii="Calibri Light" w:hAnsi="Calibri Light" w:eastAsia="宋体" w:cs="Times New Roman"/>
      <w:b/>
      <w:bCs/>
      <w:kern w:val="2"/>
      <w:sz w:val="32"/>
      <w:szCs w:val="32"/>
    </w:rPr>
  </w:style>
  <w:style w:type="character" w:customStyle="1" w:styleId="101">
    <w:name w:val="标题 3 字符3"/>
    <w:link w:val="5"/>
    <w:autoRedefine/>
    <w:qFormat/>
    <w:uiPriority w:val="0"/>
    <w:rPr>
      <w:b/>
      <w:bCs/>
      <w:kern w:val="2"/>
      <w:sz w:val="32"/>
      <w:szCs w:val="32"/>
    </w:rPr>
  </w:style>
  <w:style w:type="character" w:customStyle="1" w:styleId="102">
    <w:name w:val="标题 4 字符2"/>
    <w:link w:val="6"/>
    <w:autoRedefine/>
    <w:qFormat/>
    <w:uiPriority w:val="9"/>
    <w:rPr>
      <w:rFonts w:eastAsia="仿宋_GB2312"/>
      <w:color w:val="FF0000"/>
      <w:kern w:val="2"/>
      <w:sz w:val="28"/>
      <w:szCs w:val="28"/>
    </w:rPr>
  </w:style>
  <w:style w:type="character" w:customStyle="1" w:styleId="103">
    <w:name w:val="标题 5 字符3"/>
    <w:link w:val="7"/>
    <w:autoRedefine/>
    <w:qFormat/>
    <w:uiPriority w:val="9"/>
    <w:rPr>
      <w:rFonts w:ascii="宋体" w:hAnsi="宋体"/>
      <w:snapToGrid w:val="0"/>
      <w:sz w:val="28"/>
    </w:rPr>
  </w:style>
  <w:style w:type="character" w:customStyle="1" w:styleId="104">
    <w:name w:val="标题 6 字符3"/>
    <w:link w:val="8"/>
    <w:autoRedefine/>
    <w:qFormat/>
    <w:uiPriority w:val="0"/>
    <w:rPr>
      <w:rFonts w:eastAsia="仿宋_GB2312"/>
      <w:kern w:val="2"/>
      <w:sz w:val="28"/>
      <w:szCs w:val="24"/>
    </w:rPr>
  </w:style>
  <w:style w:type="character" w:customStyle="1" w:styleId="105">
    <w:name w:val="批注文字 Char1"/>
    <w:autoRedefine/>
    <w:qFormat/>
    <w:uiPriority w:val="0"/>
    <w:rPr>
      <w:sz w:val="24"/>
    </w:rPr>
  </w:style>
  <w:style w:type="character" w:customStyle="1" w:styleId="106">
    <w:name w:val="页脚 字符3"/>
    <w:link w:val="51"/>
    <w:autoRedefine/>
    <w:qFormat/>
    <w:locked/>
    <w:uiPriority w:val="99"/>
    <w:rPr>
      <w:sz w:val="18"/>
    </w:rPr>
  </w:style>
  <w:style w:type="character" w:customStyle="1" w:styleId="107">
    <w:name w:val="正文文本 字符3"/>
    <w:link w:val="33"/>
    <w:autoRedefine/>
    <w:qFormat/>
    <w:locked/>
    <w:uiPriority w:val="0"/>
    <w:rPr>
      <w:sz w:val="18"/>
    </w:rPr>
  </w:style>
  <w:style w:type="character" w:customStyle="1" w:styleId="108">
    <w:name w:val="正文样式 Char"/>
    <w:link w:val="109"/>
    <w:autoRedefine/>
    <w:qFormat/>
    <w:uiPriority w:val="0"/>
    <w:rPr>
      <w:bCs/>
      <w:kern w:val="2"/>
      <w:sz w:val="24"/>
      <w:szCs w:val="24"/>
    </w:rPr>
  </w:style>
  <w:style w:type="paragraph" w:customStyle="1" w:styleId="109">
    <w:name w:val="正文样式"/>
    <w:basedOn w:val="1"/>
    <w:link w:val="108"/>
    <w:autoRedefine/>
    <w:qFormat/>
    <w:uiPriority w:val="0"/>
    <w:pPr>
      <w:spacing w:line="460" w:lineRule="exact"/>
      <w:ind w:firstLine="480" w:firstLineChars="200"/>
    </w:pPr>
    <w:rPr>
      <w:bCs/>
      <w:sz w:val="24"/>
    </w:rPr>
  </w:style>
  <w:style w:type="character" w:customStyle="1" w:styleId="110">
    <w:name w:val="正文文本 字符1"/>
    <w:autoRedefine/>
    <w:qFormat/>
    <w:uiPriority w:val="0"/>
    <w:rPr>
      <w:rFonts w:ascii="Times New Roman" w:hAnsi="Times New Roman" w:eastAsia="宋体"/>
      <w:sz w:val="24"/>
    </w:rPr>
  </w:style>
  <w:style w:type="character" w:customStyle="1" w:styleId="111">
    <w:name w:val="纯文本 字符2"/>
    <w:link w:val="42"/>
    <w:autoRedefine/>
    <w:qFormat/>
    <w:uiPriority w:val="0"/>
    <w:rPr>
      <w:rFonts w:ascii="宋体" w:hAnsi="Courier New" w:cs="Courier New"/>
      <w:kern w:val="2"/>
      <w:sz w:val="21"/>
      <w:szCs w:val="21"/>
    </w:rPr>
  </w:style>
  <w:style w:type="character" w:customStyle="1" w:styleId="112">
    <w:name w:val="页眉 字符3"/>
    <w:link w:val="53"/>
    <w:autoRedefine/>
    <w:qFormat/>
    <w:locked/>
    <w:uiPriority w:val="0"/>
    <w:rPr>
      <w:sz w:val="18"/>
    </w:rPr>
  </w:style>
  <w:style w:type="character" w:customStyle="1" w:styleId="113">
    <w:name w:val="font11"/>
    <w:autoRedefine/>
    <w:qFormat/>
    <w:uiPriority w:val="0"/>
    <w:rPr>
      <w:rFonts w:hint="default" w:ascii="Times New Roman" w:hAnsi="Times New Roman" w:cs="Times New Roman"/>
      <w:color w:val="000000"/>
      <w:sz w:val="14"/>
      <w:szCs w:val="14"/>
      <w:u w:val="none"/>
    </w:rPr>
  </w:style>
  <w:style w:type="character" w:customStyle="1" w:styleId="114">
    <w:name w:val="日期 字符3"/>
    <w:link w:val="46"/>
    <w:autoRedefine/>
    <w:qFormat/>
    <w:locked/>
    <w:uiPriority w:val="0"/>
    <w:rPr>
      <w:rFonts w:ascii="Times New Roman" w:hAnsi="Times New Roman" w:eastAsia="宋体"/>
      <w:sz w:val="24"/>
    </w:rPr>
  </w:style>
  <w:style w:type="character" w:customStyle="1" w:styleId="115">
    <w:name w:val="正文内容 Char Char"/>
    <w:link w:val="116"/>
    <w:autoRedefine/>
    <w:qFormat/>
    <w:uiPriority w:val="0"/>
    <w:rPr>
      <w:sz w:val="24"/>
      <w:szCs w:val="24"/>
    </w:rPr>
  </w:style>
  <w:style w:type="paragraph" w:customStyle="1" w:styleId="116">
    <w:name w:val="正文内容"/>
    <w:basedOn w:val="1"/>
    <w:next w:val="1"/>
    <w:link w:val="115"/>
    <w:autoRedefine/>
    <w:qFormat/>
    <w:uiPriority w:val="0"/>
    <w:pPr>
      <w:snapToGrid w:val="0"/>
      <w:spacing w:before="120" w:beforeLines="25" w:after="120" w:afterLines="25" w:line="440" w:lineRule="exact"/>
      <w:ind w:firstLine="200" w:firstLineChars="200"/>
    </w:pPr>
    <w:rPr>
      <w:kern w:val="0"/>
      <w:sz w:val="24"/>
    </w:rPr>
  </w:style>
  <w:style w:type="character" w:customStyle="1" w:styleId="117">
    <w:name w:val="宗兴正文 Char"/>
    <w:link w:val="118"/>
    <w:autoRedefine/>
    <w:qFormat/>
    <w:locked/>
    <w:uiPriority w:val="0"/>
    <w:rPr>
      <w:kern w:val="2"/>
      <w:sz w:val="24"/>
      <w:szCs w:val="24"/>
    </w:rPr>
  </w:style>
  <w:style w:type="paragraph" w:customStyle="1" w:styleId="118">
    <w:name w:val="宗兴正文"/>
    <w:basedOn w:val="1"/>
    <w:link w:val="117"/>
    <w:autoRedefine/>
    <w:qFormat/>
    <w:uiPriority w:val="0"/>
    <w:pPr>
      <w:spacing w:line="360" w:lineRule="auto"/>
      <w:ind w:firstLine="480" w:firstLineChars="200"/>
      <w:jc w:val="left"/>
    </w:pPr>
    <w:rPr>
      <w:sz w:val="24"/>
    </w:rPr>
  </w:style>
  <w:style w:type="character" w:customStyle="1" w:styleId="119">
    <w:name w:val="批注框文本 字符2"/>
    <w:link w:val="50"/>
    <w:autoRedefine/>
    <w:semiHidden/>
    <w:qFormat/>
    <w:locked/>
    <w:uiPriority w:val="0"/>
    <w:rPr>
      <w:rFonts w:ascii="Times New Roman" w:hAnsi="Times New Roman" w:eastAsia="宋体"/>
      <w:sz w:val="18"/>
    </w:rPr>
  </w:style>
  <w:style w:type="character" w:customStyle="1" w:styleId="120">
    <w:name w:val="纯文本 Char"/>
    <w:autoRedefine/>
    <w:qFormat/>
    <w:uiPriority w:val="0"/>
    <w:rPr>
      <w:rFonts w:ascii="宋体" w:hAnsi="Courier New" w:eastAsia="宋体" w:cs="Courier New"/>
      <w:szCs w:val="21"/>
    </w:rPr>
  </w:style>
  <w:style w:type="character" w:customStyle="1" w:styleId="121">
    <w:name w:val="批注文字 字符3"/>
    <w:link w:val="27"/>
    <w:autoRedefine/>
    <w:qFormat/>
    <w:locked/>
    <w:uiPriority w:val="0"/>
    <w:rPr>
      <w:rFonts w:ascii="Times New Roman" w:hAnsi="Times New Roman" w:eastAsia="宋体"/>
      <w:sz w:val="24"/>
    </w:rPr>
  </w:style>
  <w:style w:type="character" w:customStyle="1" w:styleId="122">
    <w:name w:val="页脚 字符"/>
    <w:basedOn w:val="80"/>
    <w:autoRedefine/>
    <w:qFormat/>
    <w:uiPriority w:val="99"/>
  </w:style>
  <w:style w:type="character" w:customStyle="1" w:styleId="123">
    <w:name w:val="表格文字 Char Char"/>
    <w:link w:val="124"/>
    <w:autoRedefine/>
    <w:qFormat/>
    <w:uiPriority w:val="0"/>
    <w:rPr>
      <w:rFonts w:ascii="Cambria" w:hAnsi="Cambria"/>
      <w:bCs/>
      <w:sz w:val="21"/>
      <w:szCs w:val="32"/>
    </w:rPr>
  </w:style>
  <w:style w:type="paragraph" w:customStyle="1" w:styleId="124">
    <w:name w:val="表格文字"/>
    <w:link w:val="123"/>
    <w:autoRedefine/>
    <w:qFormat/>
    <w:uiPriority w:val="0"/>
    <w:pPr>
      <w:suppressLineNumbers/>
      <w:suppressAutoHyphens/>
      <w:adjustRightInd w:val="0"/>
      <w:snapToGrid w:val="0"/>
      <w:spacing w:before="30" w:beforeLines="30" w:after="30" w:afterLines="30" w:line="0" w:lineRule="atLeast"/>
      <w:jc w:val="both"/>
    </w:pPr>
    <w:rPr>
      <w:rFonts w:ascii="Cambria" w:hAnsi="Cambria" w:eastAsia="宋体" w:cs="Times New Roman"/>
      <w:bCs/>
      <w:sz w:val="21"/>
      <w:szCs w:val="32"/>
      <w:lang w:val="en-US" w:eastAsia="zh-CN" w:bidi="ar-SA"/>
    </w:rPr>
  </w:style>
  <w:style w:type="character" w:customStyle="1" w:styleId="125">
    <w:name w:val="fontstyle01"/>
    <w:basedOn w:val="80"/>
    <w:autoRedefine/>
    <w:qFormat/>
    <w:uiPriority w:val="0"/>
    <w:rPr>
      <w:rFonts w:ascii="宋体" w:hAnsi="宋体" w:eastAsia="宋体" w:cs="宋体"/>
      <w:color w:val="000000"/>
      <w:sz w:val="24"/>
      <w:szCs w:val="24"/>
    </w:rPr>
  </w:style>
  <w:style w:type="character" w:customStyle="1" w:styleId="126">
    <w:name w:val="01表格正文 Char"/>
    <w:link w:val="127"/>
    <w:autoRedefine/>
    <w:qFormat/>
    <w:uiPriority w:val="0"/>
    <w:rPr>
      <w:color w:val="3333FF"/>
      <w:kern w:val="2"/>
      <w:sz w:val="21"/>
      <w:szCs w:val="21"/>
    </w:rPr>
  </w:style>
  <w:style w:type="paragraph" w:customStyle="1" w:styleId="127">
    <w:name w:val="01表格正文"/>
    <w:basedOn w:val="1"/>
    <w:link w:val="126"/>
    <w:autoRedefine/>
    <w:qFormat/>
    <w:uiPriority w:val="0"/>
    <w:pPr>
      <w:adjustRightInd w:val="0"/>
      <w:snapToGrid w:val="0"/>
      <w:spacing w:line="320" w:lineRule="exact"/>
      <w:jc w:val="center"/>
    </w:pPr>
    <w:rPr>
      <w:color w:val="3333FF"/>
      <w:szCs w:val="21"/>
    </w:rPr>
  </w:style>
  <w:style w:type="character" w:customStyle="1" w:styleId="128">
    <w:name w:val="正文缩进 Char"/>
    <w:autoRedefine/>
    <w:qFormat/>
    <w:uiPriority w:val="0"/>
    <w:rPr>
      <w:rFonts w:ascii="仿宋_GB2312" w:hAnsi="宋体" w:eastAsia="仿宋_GB2312"/>
      <w:kern w:val="2"/>
      <w:sz w:val="28"/>
      <w:lang w:val="en-US" w:eastAsia="zh-CN" w:bidi="ar-SA"/>
    </w:rPr>
  </w:style>
  <w:style w:type="character" w:customStyle="1" w:styleId="129">
    <w:name w:val="正文文本缩进 字符2"/>
    <w:link w:val="34"/>
    <w:autoRedefine/>
    <w:qFormat/>
    <w:locked/>
    <w:uiPriority w:val="0"/>
    <w:rPr>
      <w:rFonts w:ascii="Times New Roman" w:hAnsi="Times New Roman" w:eastAsia="宋体"/>
      <w:sz w:val="24"/>
    </w:rPr>
  </w:style>
  <w:style w:type="character" w:customStyle="1" w:styleId="130">
    <w:name w:val="表格 Char"/>
    <w:link w:val="131"/>
    <w:autoRedefine/>
    <w:qFormat/>
    <w:locked/>
    <w:uiPriority w:val="0"/>
    <w:rPr>
      <w:rFonts w:ascii="宋体"/>
      <w:sz w:val="21"/>
    </w:rPr>
  </w:style>
  <w:style w:type="paragraph" w:customStyle="1" w:styleId="131">
    <w:name w:val="表格"/>
    <w:basedOn w:val="1"/>
    <w:link w:val="130"/>
    <w:autoRedefine/>
    <w:qFormat/>
    <w:uiPriority w:val="0"/>
    <w:pPr>
      <w:adjustRightInd w:val="0"/>
      <w:snapToGrid w:val="0"/>
      <w:spacing w:beforeLines="10" w:afterLines="10" w:line="259" w:lineRule="auto"/>
      <w:jc w:val="center"/>
    </w:pPr>
    <w:rPr>
      <w:rFonts w:ascii="宋体"/>
      <w:kern w:val="0"/>
      <w:szCs w:val="20"/>
    </w:rPr>
  </w:style>
  <w:style w:type="character" w:customStyle="1" w:styleId="132">
    <w:name w:val="font31"/>
    <w:autoRedefine/>
    <w:qFormat/>
    <w:uiPriority w:val="0"/>
    <w:rPr>
      <w:rFonts w:hint="eastAsia" w:ascii="宋体" w:hAnsi="宋体" w:eastAsia="宋体" w:cs="宋体"/>
      <w:color w:val="000000"/>
      <w:sz w:val="21"/>
      <w:szCs w:val="21"/>
      <w:u w:val="none"/>
    </w:rPr>
  </w:style>
  <w:style w:type="character" w:customStyle="1" w:styleId="133">
    <w:name w:val="表格1 Char"/>
    <w:link w:val="134"/>
    <w:autoRedefine/>
    <w:qFormat/>
    <w:uiPriority w:val="0"/>
    <w:rPr>
      <w:sz w:val="21"/>
      <w:szCs w:val="21"/>
    </w:rPr>
  </w:style>
  <w:style w:type="paragraph" w:customStyle="1" w:styleId="134">
    <w:name w:val="表格1"/>
    <w:basedOn w:val="1"/>
    <w:link w:val="133"/>
    <w:autoRedefine/>
    <w:qFormat/>
    <w:uiPriority w:val="0"/>
    <w:pPr>
      <w:widowControl/>
      <w:spacing w:before="20" w:beforeLines="20" w:after="20" w:afterLines="20"/>
      <w:jc w:val="center"/>
    </w:pPr>
    <w:rPr>
      <w:kern w:val="0"/>
      <w:szCs w:val="21"/>
    </w:rPr>
  </w:style>
  <w:style w:type="character" w:customStyle="1" w:styleId="135">
    <w:name w:val="日期 字符"/>
    <w:autoRedefine/>
    <w:qFormat/>
    <w:uiPriority w:val="0"/>
    <w:rPr>
      <w:rFonts w:ascii="Times New Roman" w:hAnsi="Times New Roman" w:eastAsia="宋体"/>
      <w:sz w:val="24"/>
    </w:rPr>
  </w:style>
  <w:style w:type="character" w:customStyle="1" w:styleId="136">
    <w:name w:val="批注文字 字符1"/>
    <w:autoRedefine/>
    <w:qFormat/>
    <w:uiPriority w:val="99"/>
    <w:rPr>
      <w:rFonts w:ascii="Times New Roman" w:hAnsi="Times New Roman" w:eastAsia="宋体"/>
      <w:sz w:val="24"/>
    </w:rPr>
  </w:style>
  <w:style w:type="character" w:customStyle="1" w:styleId="137">
    <w:name w:val="正文缩进 字符2"/>
    <w:link w:val="12"/>
    <w:autoRedefine/>
    <w:qFormat/>
    <w:uiPriority w:val="0"/>
    <w:rPr>
      <w:kern w:val="2"/>
      <w:sz w:val="21"/>
      <w:szCs w:val="24"/>
    </w:rPr>
  </w:style>
  <w:style w:type="character" w:customStyle="1" w:styleId="138">
    <w:name w:val="普通(网站) 字符1"/>
    <w:link w:val="71"/>
    <w:autoRedefine/>
    <w:qFormat/>
    <w:locked/>
    <w:uiPriority w:val="99"/>
    <w:rPr>
      <w:rFonts w:ascii="宋体" w:hAnsi="宋体" w:eastAsia="宋体"/>
      <w:sz w:val="24"/>
    </w:rPr>
  </w:style>
  <w:style w:type="character" w:customStyle="1" w:styleId="139">
    <w:name w:val="批注主题 字符2"/>
    <w:link w:val="76"/>
    <w:autoRedefine/>
    <w:semiHidden/>
    <w:qFormat/>
    <w:locked/>
    <w:uiPriority w:val="0"/>
    <w:rPr>
      <w:rFonts w:ascii="Times New Roman" w:hAnsi="Times New Roman" w:eastAsia="宋体"/>
      <w:b/>
      <w:kern w:val="2"/>
      <w:sz w:val="24"/>
    </w:rPr>
  </w:style>
  <w:style w:type="paragraph" w:customStyle="1" w:styleId="140">
    <w:name w:val="目录 4111"/>
    <w:basedOn w:val="1"/>
    <w:next w:val="1"/>
    <w:autoRedefine/>
    <w:unhideWhenUsed/>
    <w:qFormat/>
    <w:locked/>
    <w:uiPriority w:val="39"/>
    <w:pPr>
      <w:ind w:left="1260" w:leftChars="600"/>
    </w:pPr>
  </w:style>
  <w:style w:type="paragraph" w:customStyle="1" w:styleId="141">
    <w:name w:val="正文_10"/>
    <w:autoRedefine/>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142">
    <w:name w:val="CM9"/>
    <w:basedOn w:val="143"/>
    <w:next w:val="143"/>
    <w:autoRedefine/>
    <w:qFormat/>
    <w:uiPriority w:val="0"/>
    <w:pPr>
      <w:autoSpaceDE/>
      <w:autoSpaceDN/>
      <w:adjustRightInd/>
      <w:spacing w:line="480" w:lineRule="exact"/>
      <w:jc w:val="both"/>
    </w:pPr>
    <w:rPr>
      <w:rFonts w:ascii="Times New Roman" w:hAnsi="Times New Roman" w:eastAsia="宋体" w:cs="Times New Roman"/>
      <w:color w:val="auto"/>
      <w:kern w:val="2"/>
      <w:szCs w:val="20"/>
    </w:rPr>
  </w:style>
  <w:style w:type="paragraph" w:customStyle="1" w:styleId="143">
    <w:name w:val="Default"/>
    <w:autoRedefine/>
    <w:qFormat/>
    <w:uiPriority w:val="0"/>
    <w:pPr>
      <w:widowControl w:val="0"/>
      <w:autoSpaceDE w:val="0"/>
      <w:autoSpaceDN w:val="0"/>
      <w:adjustRightInd w:val="0"/>
    </w:pPr>
    <w:rPr>
      <w:rFonts w:ascii="黑体" w:hAnsi="Calibri" w:eastAsia="黑体" w:cs="黑体"/>
      <w:color w:val="000000"/>
      <w:sz w:val="24"/>
      <w:szCs w:val="24"/>
      <w:lang w:val="en-US" w:eastAsia="zh-CN" w:bidi="ar-SA"/>
    </w:rPr>
  </w:style>
  <w:style w:type="paragraph" w:customStyle="1" w:styleId="144">
    <w:name w:val="标号正文"/>
    <w:basedOn w:val="1"/>
    <w:next w:val="1"/>
    <w:autoRedefine/>
    <w:qFormat/>
    <w:uiPriority w:val="0"/>
    <w:pPr>
      <w:tabs>
        <w:tab w:val="left" w:pos="1540"/>
      </w:tabs>
      <w:overflowPunct w:val="0"/>
      <w:snapToGrid w:val="0"/>
      <w:spacing w:line="360" w:lineRule="auto"/>
      <w:ind w:firstLine="1040"/>
      <w:jc w:val="left"/>
    </w:pPr>
    <w:rPr>
      <w:rFonts w:ascii="Arial" w:hAnsi="Arial"/>
      <w:sz w:val="24"/>
      <w:szCs w:val="20"/>
    </w:rPr>
  </w:style>
  <w:style w:type="paragraph" w:customStyle="1" w:styleId="145">
    <w:name w:val="普通(网站)2"/>
    <w:basedOn w:val="1"/>
    <w:autoRedefine/>
    <w:qFormat/>
    <w:uiPriority w:val="0"/>
    <w:pPr>
      <w:widowControl/>
      <w:spacing w:before="100" w:beforeAutospacing="1" w:after="100" w:afterAutospacing="1"/>
      <w:jc w:val="left"/>
    </w:pPr>
    <w:rPr>
      <w:rFonts w:ascii="宋体" w:hAnsi="宋体"/>
      <w:sz w:val="24"/>
      <w:szCs w:val="20"/>
    </w:rPr>
  </w:style>
  <w:style w:type="paragraph" w:customStyle="1" w:styleId="146">
    <w:name w:val="Other|1"/>
    <w:basedOn w:val="1"/>
    <w:autoRedefine/>
    <w:qFormat/>
    <w:uiPriority w:val="0"/>
    <w:pPr>
      <w:jc w:val="center"/>
    </w:pPr>
    <w:rPr>
      <w:sz w:val="22"/>
      <w:szCs w:val="22"/>
    </w:rPr>
  </w:style>
  <w:style w:type="paragraph" w:customStyle="1" w:styleId="147">
    <w:name w:val="Table Paragraph"/>
    <w:basedOn w:val="1"/>
    <w:autoRedefine/>
    <w:qFormat/>
    <w:uiPriority w:val="0"/>
    <w:pPr>
      <w:jc w:val="left"/>
    </w:pPr>
    <w:rPr>
      <w:rFonts w:ascii="Calibri" w:hAnsi="Calibri"/>
      <w:kern w:val="0"/>
      <w:sz w:val="22"/>
      <w:szCs w:val="22"/>
      <w:lang w:eastAsia="en-US"/>
    </w:rPr>
  </w:style>
  <w:style w:type="paragraph" w:customStyle="1" w:styleId="148">
    <w:name w:val="tableparagraphcxspmiddle"/>
    <w:basedOn w:val="1"/>
    <w:autoRedefine/>
    <w:qFormat/>
    <w:uiPriority w:val="0"/>
    <w:pPr>
      <w:widowControl/>
      <w:spacing w:before="100" w:beforeAutospacing="1" w:after="100" w:afterAutospacing="1"/>
      <w:jc w:val="left"/>
    </w:pPr>
    <w:rPr>
      <w:rFonts w:ascii="宋体" w:hAnsi="宋体"/>
      <w:kern w:val="0"/>
      <w:sz w:val="18"/>
      <w:szCs w:val="18"/>
    </w:rPr>
  </w:style>
  <w:style w:type="paragraph" w:customStyle="1" w:styleId="149">
    <w:name w:val="正文001"/>
    <w:basedOn w:val="1"/>
    <w:link w:val="248"/>
    <w:autoRedefine/>
    <w:qFormat/>
    <w:uiPriority w:val="0"/>
    <w:pPr>
      <w:spacing w:before="60" w:line="420" w:lineRule="exact"/>
      <w:ind w:firstLine="482"/>
    </w:pPr>
    <w:rPr>
      <w:sz w:val="24"/>
      <w:szCs w:val="20"/>
    </w:rPr>
  </w:style>
  <w:style w:type="character" w:customStyle="1" w:styleId="150">
    <w:name w:val="01GW正文 Char"/>
    <w:link w:val="151"/>
    <w:autoRedefine/>
    <w:qFormat/>
    <w:locked/>
    <w:uiPriority w:val="0"/>
    <w:rPr>
      <w:kern w:val="24"/>
      <w:sz w:val="24"/>
    </w:rPr>
  </w:style>
  <w:style w:type="paragraph" w:customStyle="1" w:styleId="151">
    <w:name w:val="01GW正文"/>
    <w:basedOn w:val="1"/>
    <w:link w:val="150"/>
    <w:autoRedefine/>
    <w:qFormat/>
    <w:uiPriority w:val="0"/>
    <w:pPr>
      <w:autoSpaceDE w:val="0"/>
      <w:autoSpaceDN w:val="0"/>
      <w:spacing w:line="360" w:lineRule="auto"/>
      <w:ind w:firstLine="200" w:firstLineChars="200"/>
    </w:pPr>
    <w:rPr>
      <w:kern w:val="24"/>
      <w:sz w:val="24"/>
      <w:szCs w:val="20"/>
    </w:rPr>
  </w:style>
  <w:style w:type="character" w:customStyle="1" w:styleId="152">
    <w:name w:val="样式 首行缩进:  2 字符1 Char Char"/>
    <w:link w:val="153"/>
    <w:autoRedefine/>
    <w:qFormat/>
    <w:uiPriority w:val="0"/>
    <w:rPr>
      <w:rFonts w:cs="宋体"/>
      <w:kern w:val="2"/>
      <w:sz w:val="24"/>
      <w:lang w:val="en-US" w:eastAsia="zh-CN"/>
    </w:rPr>
  </w:style>
  <w:style w:type="paragraph" w:customStyle="1" w:styleId="153">
    <w:name w:val="样式 首行缩进:  2 字符1"/>
    <w:basedOn w:val="1"/>
    <w:link w:val="152"/>
    <w:autoRedefine/>
    <w:qFormat/>
    <w:uiPriority w:val="0"/>
    <w:pPr>
      <w:adjustRightInd w:val="0"/>
      <w:snapToGrid w:val="0"/>
      <w:spacing w:line="360" w:lineRule="auto"/>
      <w:ind w:firstLine="480" w:firstLineChars="200"/>
    </w:pPr>
    <w:rPr>
      <w:rFonts w:cs="宋体"/>
      <w:sz w:val="24"/>
      <w:szCs w:val="20"/>
    </w:rPr>
  </w:style>
  <w:style w:type="paragraph" w:customStyle="1" w:styleId="154">
    <w:name w:val="表内容"/>
    <w:basedOn w:val="1"/>
    <w:next w:val="33"/>
    <w:autoRedefine/>
    <w:qFormat/>
    <w:uiPriority w:val="0"/>
    <w:pPr>
      <w:jc w:val="center"/>
    </w:pPr>
    <w:rPr>
      <w:rFonts w:ascii="宋体" w:hAnsi="宋体"/>
      <w:kern w:val="0"/>
    </w:rPr>
  </w:style>
  <w:style w:type="paragraph" w:customStyle="1" w:styleId="155">
    <w:name w:val="正文首行缩进12"/>
    <w:basedOn w:val="33"/>
    <w:link w:val="156"/>
    <w:autoRedefine/>
    <w:qFormat/>
    <w:locked/>
    <w:uiPriority w:val="0"/>
    <w:pPr>
      <w:widowControl w:val="0"/>
      <w:snapToGrid/>
      <w:spacing w:before="0" w:after="120" w:line="240" w:lineRule="auto"/>
      <w:ind w:right="0" w:firstLine="420" w:firstLineChars="100"/>
    </w:pPr>
    <w:rPr>
      <w:kern w:val="2"/>
      <w:sz w:val="21"/>
      <w:szCs w:val="24"/>
    </w:rPr>
  </w:style>
  <w:style w:type="character" w:customStyle="1" w:styleId="156">
    <w:name w:val="正文首行缩进 Char"/>
    <w:link w:val="155"/>
    <w:autoRedefine/>
    <w:qFormat/>
    <w:uiPriority w:val="0"/>
    <w:rPr>
      <w:kern w:val="2"/>
      <w:sz w:val="21"/>
      <w:szCs w:val="24"/>
    </w:rPr>
  </w:style>
  <w:style w:type="paragraph" w:customStyle="1" w:styleId="157">
    <w:name w:val="目录 5111"/>
    <w:basedOn w:val="1"/>
    <w:next w:val="1"/>
    <w:autoRedefine/>
    <w:qFormat/>
    <w:locked/>
    <w:uiPriority w:val="39"/>
    <w:pPr>
      <w:ind w:left="1680" w:leftChars="800"/>
    </w:pPr>
  </w:style>
  <w:style w:type="paragraph" w:customStyle="1" w:styleId="158">
    <w:name w:val="表题"/>
    <w:basedOn w:val="1"/>
    <w:link w:val="3118"/>
    <w:autoRedefine/>
    <w:qFormat/>
    <w:uiPriority w:val="99"/>
    <w:pPr>
      <w:jc w:val="center"/>
    </w:pPr>
    <w:rPr>
      <w:b/>
      <w:sz w:val="24"/>
    </w:rPr>
  </w:style>
  <w:style w:type="paragraph" w:customStyle="1" w:styleId="159">
    <w:name w:val="样式 黑体 小四 加粗 黑色 居中 行距: 固定值 26 磅"/>
    <w:basedOn w:val="1"/>
    <w:next w:val="42"/>
    <w:autoRedefine/>
    <w:qFormat/>
    <w:uiPriority w:val="0"/>
    <w:pPr>
      <w:spacing w:line="520" w:lineRule="atLeast"/>
      <w:jc w:val="center"/>
    </w:pPr>
    <w:rPr>
      <w:rFonts w:hint="eastAsia" w:ascii="楷体_GB2312" w:hAnsi="黑体" w:eastAsia="楷体_GB2312"/>
      <w:bCs/>
      <w:color w:val="000000"/>
      <w:sz w:val="28"/>
      <w:szCs w:val="28"/>
    </w:rPr>
  </w:style>
  <w:style w:type="character" w:customStyle="1" w:styleId="160">
    <w:name w:val="我的正文正文 Char"/>
    <w:link w:val="161"/>
    <w:autoRedefine/>
    <w:qFormat/>
    <w:uiPriority w:val="0"/>
    <w:rPr>
      <w:rFonts w:ascii="宋体" w:hAnsi="宋体"/>
      <w:color w:val="000000"/>
      <w:kern w:val="2"/>
      <w:sz w:val="28"/>
      <w:szCs w:val="28"/>
    </w:rPr>
  </w:style>
  <w:style w:type="paragraph" w:customStyle="1" w:styleId="161">
    <w:name w:val="我的正文正文"/>
    <w:basedOn w:val="1"/>
    <w:link w:val="160"/>
    <w:autoRedefine/>
    <w:qFormat/>
    <w:uiPriority w:val="0"/>
    <w:pPr>
      <w:spacing w:line="520" w:lineRule="exact"/>
      <w:ind w:firstLine="560" w:firstLineChars="200"/>
    </w:pPr>
    <w:rPr>
      <w:rFonts w:ascii="宋体" w:hAnsi="宋体"/>
      <w:color w:val="000000"/>
      <w:sz w:val="28"/>
      <w:szCs w:val="28"/>
    </w:rPr>
  </w:style>
  <w:style w:type="character" w:customStyle="1" w:styleId="162">
    <w:name w:val="active"/>
    <w:autoRedefine/>
    <w:qFormat/>
    <w:uiPriority w:val="0"/>
  </w:style>
  <w:style w:type="character" w:customStyle="1" w:styleId="163">
    <w:name w:val="font71"/>
    <w:autoRedefine/>
    <w:qFormat/>
    <w:uiPriority w:val="0"/>
    <w:rPr>
      <w:rFonts w:hint="default" w:ascii="Times New Roman" w:hAnsi="Times New Roman" w:cs="Times New Roman"/>
      <w:b/>
      <w:color w:val="000000"/>
      <w:sz w:val="21"/>
      <w:szCs w:val="21"/>
      <w:u w:val="none"/>
    </w:rPr>
  </w:style>
  <w:style w:type="character" w:customStyle="1" w:styleId="164">
    <w:name w:val="表格文体 Char"/>
    <w:link w:val="165"/>
    <w:autoRedefine/>
    <w:qFormat/>
    <w:uiPriority w:val="0"/>
    <w:rPr>
      <w:rFonts w:ascii="宋体" w:hAnsi="宋体"/>
      <w:color w:val="000000"/>
      <w:kern w:val="2"/>
      <w:sz w:val="21"/>
      <w:szCs w:val="21"/>
    </w:rPr>
  </w:style>
  <w:style w:type="paragraph" w:customStyle="1" w:styleId="165">
    <w:name w:val="表格文体"/>
    <w:basedOn w:val="1"/>
    <w:link w:val="164"/>
    <w:autoRedefine/>
    <w:qFormat/>
    <w:uiPriority w:val="0"/>
    <w:pPr>
      <w:spacing w:line="520" w:lineRule="exact"/>
      <w:jc w:val="center"/>
    </w:pPr>
    <w:rPr>
      <w:rFonts w:ascii="宋体" w:hAnsi="宋体"/>
      <w:color w:val="000000"/>
      <w:szCs w:val="21"/>
    </w:rPr>
  </w:style>
  <w:style w:type="character" w:customStyle="1" w:styleId="166">
    <w:name w:val="15"/>
    <w:autoRedefine/>
    <w:qFormat/>
    <w:uiPriority w:val="0"/>
    <w:rPr>
      <w:rFonts w:hint="eastAsia" w:ascii="宋体" w:hAnsi="宋体" w:eastAsia="宋体"/>
      <w:color w:val="000000"/>
      <w:sz w:val="22"/>
      <w:szCs w:val="22"/>
    </w:rPr>
  </w:style>
  <w:style w:type="character" w:customStyle="1" w:styleId="167">
    <w:name w:val="图表 Char"/>
    <w:link w:val="168"/>
    <w:autoRedefine/>
    <w:qFormat/>
    <w:locked/>
    <w:uiPriority w:val="0"/>
    <w:rPr>
      <w:color w:val="000000"/>
      <w:kern w:val="2"/>
      <w:sz w:val="21"/>
      <w:szCs w:val="22"/>
    </w:rPr>
  </w:style>
  <w:style w:type="paragraph" w:customStyle="1" w:styleId="168">
    <w:name w:val="图表"/>
    <w:basedOn w:val="1"/>
    <w:link w:val="167"/>
    <w:autoRedefine/>
    <w:qFormat/>
    <w:uiPriority w:val="0"/>
    <w:pPr>
      <w:adjustRightInd w:val="0"/>
      <w:snapToGrid w:val="0"/>
      <w:jc w:val="center"/>
    </w:pPr>
    <w:rPr>
      <w:color w:val="000000"/>
      <w:szCs w:val="22"/>
    </w:rPr>
  </w:style>
  <w:style w:type="character" w:customStyle="1" w:styleId="169">
    <w:name w:val="fontstyle21"/>
    <w:basedOn w:val="80"/>
    <w:autoRedefine/>
    <w:qFormat/>
    <w:uiPriority w:val="0"/>
    <w:rPr>
      <w:rFonts w:hint="default" w:ascii="TimesNewRoman" w:hAnsi="TimesNewRoman"/>
      <w:color w:val="000000"/>
      <w:sz w:val="24"/>
      <w:szCs w:val="24"/>
    </w:rPr>
  </w:style>
  <w:style w:type="character" w:customStyle="1" w:styleId="170">
    <w:name w:val="标题2 Char"/>
    <w:link w:val="171"/>
    <w:autoRedefine/>
    <w:qFormat/>
    <w:uiPriority w:val="0"/>
    <w:rPr>
      <w:rFonts w:eastAsia="方正楷体_GBK"/>
      <w:snapToGrid w:val="0"/>
      <w:sz w:val="32"/>
    </w:rPr>
  </w:style>
  <w:style w:type="paragraph" w:customStyle="1" w:styleId="171">
    <w:name w:val="标题2"/>
    <w:basedOn w:val="1"/>
    <w:next w:val="1"/>
    <w:link w:val="170"/>
    <w:autoRedefine/>
    <w:qFormat/>
    <w:uiPriority w:val="0"/>
    <w:pPr>
      <w:autoSpaceDE w:val="0"/>
      <w:autoSpaceDN w:val="0"/>
      <w:snapToGrid w:val="0"/>
      <w:spacing w:line="590" w:lineRule="atLeast"/>
      <w:jc w:val="center"/>
    </w:pPr>
    <w:rPr>
      <w:rFonts w:eastAsia="方正楷体_GBK"/>
      <w:snapToGrid w:val="0"/>
      <w:kern w:val="0"/>
      <w:sz w:val="32"/>
      <w:szCs w:val="20"/>
    </w:rPr>
  </w:style>
  <w:style w:type="character" w:customStyle="1" w:styleId="172">
    <w:name w:val="正文首行缩进 2 + Times New Roman Char Char"/>
    <w:link w:val="173"/>
    <w:autoRedefine/>
    <w:qFormat/>
    <w:uiPriority w:val="0"/>
    <w:rPr>
      <w:sz w:val="24"/>
      <w:szCs w:val="24"/>
    </w:rPr>
  </w:style>
  <w:style w:type="paragraph" w:customStyle="1" w:styleId="173">
    <w:name w:val="正文首行缩进 2 + Times New Roman"/>
    <w:basedOn w:val="1"/>
    <w:link w:val="172"/>
    <w:autoRedefine/>
    <w:qFormat/>
    <w:uiPriority w:val="0"/>
    <w:pPr>
      <w:tabs>
        <w:tab w:val="left" w:pos="0"/>
        <w:tab w:val="left" w:pos="870"/>
        <w:tab w:val="left" w:pos="3150"/>
      </w:tabs>
      <w:autoSpaceDE w:val="0"/>
      <w:autoSpaceDN w:val="0"/>
      <w:spacing w:line="360" w:lineRule="auto"/>
      <w:ind w:firstLine="200" w:firstLineChars="200"/>
    </w:pPr>
    <w:rPr>
      <w:kern w:val="0"/>
      <w:sz w:val="24"/>
    </w:rPr>
  </w:style>
  <w:style w:type="character" w:customStyle="1" w:styleId="174">
    <w:name w:val="我的正文 Char"/>
    <w:link w:val="175"/>
    <w:autoRedefine/>
    <w:qFormat/>
    <w:uiPriority w:val="0"/>
    <w:rPr>
      <w:rFonts w:ascii="宋体" w:hAnsi="宋体"/>
      <w:color w:val="000000"/>
      <w:kern w:val="2"/>
      <w:sz w:val="28"/>
      <w:szCs w:val="28"/>
    </w:rPr>
  </w:style>
  <w:style w:type="paragraph" w:customStyle="1" w:styleId="175">
    <w:name w:val="我的正文"/>
    <w:basedOn w:val="1"/>
    <w:link w:val="174"/>
    <w:autoRedefine/>
    <w:qFormat/>
    <w:uiPriority w:val="0"/>
    <w:pPr>
      <w:spacing w:line="520" w:lineRule="exact"/>
      <w:ind w:firstLine="560" w:firstLineChars="200"/>
    </w:pPr>
    <w:rPr>
      <w:rFonts w:ascii="宋体" w:hAnsi="宋体"/>
      <w:color w:val="000000"/>
      <w:sz w:val="28"/>
      <w:szCs w:val="28"/>
    </w:rPr>
  </w:style>
  <w:style w:type="character" w:customStyle="1" w:styleId="176">
    <w:name w:val="c-font-big"/>
    <w:autoRedefine/>
    <w:qFormat/>
    <w:uiPriority w:val="0"/>
  </w:style>
  <w:style w:type="character" w:customStyle="1" w:styleId="177">
    <w:name w:val="contentpic"/>
    <w:autoRedefine/>
    <w:qFormat/>
    <w:uiPriority w:val="0"/>
  </w:style>
  <w:style w:type="character" w:customStyle="1" w:styleId="178">
    <w:name w:val="表格文字 Char"/>
    <w:autoRedefine/>
    <w:qFormat/>
    <w:uiPriority w:val="0"/>
    <w:rPr>
      <w:rFonts w:eastAsia="仿宋"/>
      <w:kern w:val="2"/>
      <w:sz w:val="21"/>
      <w:szCs w:val="21"/>
    </w:rPr>
  </w:style>
  <w:style w:type="character" w:customStyle="1" w:styleId="179">
    <w:name w:val="霍尼韦尔 Char Char"/>
    <w:link w:val="180"/>
    <w:autoRedefine/>
    <w:qFormat/>
    <w:uiPriority w:val="0"/>
    <w:rPr>
      <w:rFonts w:cs="宋体"/>
      <w:kern w:val="2"/>
      <w:sz w:val="24"/>
    </w:rPr>
  </w:style>
  <w:style w:type="paragraph" w:customStyle="1" w:styleId="180">
    <w:name w:val="霍尼韦尔"/>
    <w:basedOn w:val="1"/>
    <w:link w:val="179"/>
    <w:autoRedefine/>
    <w:qFormat/>
    <w:uiPriority w:val="0"/>
    <w:pPr>
      <w:spacing w:line="480" w:lineRule="exact"/>
      <w:ind w:firstLine="200" w:firstLineChars="200"/>
      <w:jc w:val="left"/>
    </w:pPr>
    <w:rPr>
      <w:rFonts w:cs="宋体"/>
      <w:sz w:val="24"/>
      <w:szCs w:val="20"/>
    </w:rPr>
  </w:style>
  <w:style w:type="character" w:customStyle="1" w:styleId="181">
    <w:name w:val="文字 Char"/>
    <w:link w:val="182"/>
    <w:autoRedefine/>
    <w:qFormat/>
    <w:locked/>
    <w:uiPriority w:val="0"/>
    <w:rPr>
      <w:rFonts w:ascii="仿宋_GB2312" w:eastAsia="仿宋_GB2312"/>
      <w:kern w:val="2"/>
      <w:sz w:val="24"/>
      <w:szCs w:val="21"/>
    </w:rPr>
  </w:style>
  <w:style w:type="paragraph" w:customStyle="1" w:styleId="182">
    <w:name w:val="文字"/>
    <w:basedOn w:val="1"/>
    <w:link w:val="181"/>
    <w:autoRedefine/>
    <w:qFormat/>
    <w:uiPriority w:val="0"/>
    <w:pPr>
      <w:spacing w:beforeLines="50" w:line="300" w:lineRule="auto"/>
      <w:ind w:firstLine="480" w:firstLineChars="200"/>
    </w:pPr>
    <w:rPr>
      <w:rFonts w:ascii="仿宋_GB2312" w:eastAsia="仿宋_GB2312"/>
      <w:sz w:val="24"/>
      <w:szCs w:val="21"/>
    </w:rPr>
  </w:style>
  <w:style w:type="character" w:customStyle="1" w:styleId="183">
    <w:name w:val="环科院正文 Char"/>
    <w:link w:val="184"/>
    <w:autoRedefine/>
    <w:semiHidden/>
    <w:qFormat/>
    <w:uiPriority w:val="0"/>
    <w:rPr>
      <w:rFonts w:hAnsi="宋体"/>
      <w:bCs/>
      <w:sz w:val="28"/>
      <w:szCs w:val="28"/>
      <w:u w:color="000000"/>
      <w:lang w:val="zh-CN"/>
    </w:rPr>
  </w:style>
  <w:style w:type="paragraph" w:customStyle="1" w:styleId="184">
    <w:name w:val="环科院正文"/>
    <w:basedOn w:val="1"/>
    <w:link w:val="183"/>
    <w:autoRedefine/>
    <w:semiHidden/>
    <w:qFormat/>
    <w:uiPriority w:val="0"/>
    <w:pPr>
      <w:tabs>
        <w:tab w:val="left" w:pos="5760"/>
      </w:tabs>
      <w:spacing w:line="520" w:lineRule="exact"/>
      <w:ind w:firstLine="560" w:firstLineChars="200"/>
    </w:pPr>
    <w:rPr>
      <w:rFonts w:hAnsi="宋体"/>
      <w:bCs/>
      <w:kern w:val="0"/>
      <w:sz w:val="28"/>
      <w:szCs w:val="28"/>
      <w:u w:color="000000"/>
      <w:lang w:val="zh-CN"/>
    </w:rPr>
  </w:style>
  <w:style w:type="character" w:customStyle="1" w:styleId="185">
    <w:name w:val="low"/>
    <w:autoRedefine/>
    <w:qFormat/>
    <w:uiPriority w:val="0"/>
  </w:style>
  <w:style w:type="character" w:customStyle="1" w:styleId="186">
    <w:name w:val="表格标题 Char"/>
    <w:link w:val="187"/>
    <w:autoRedefine/>
    <w:qFormat/>
    <w:uiPriority w:val="0"/>
    <w:rPr>
      <w:rFonts w:eastAsia="文鼎CS中宋"/>
      <w:sz w:val="24"/>
    </w:rPr>
  </w:style>
  <w:style w:type="paragraph" w:customStyle="1" w:styleId="187">
    <w:name w:val="表格标题"/>
    <w:basedOn w:val="1"/>
    <w:link w:val="186"/>
    <w:autoRedefine/>
    <w:qFormat/>
    <w:uiPriority w:val="0"/>
    <w:pPr>
      <w:adjustRightInd w:val="0"/>
      <w:spacing w:before="120" w:line="360" w:lineRule="auto"/>
      <w:jc w:val="center"/>
    </w:pPr>
    <w:rPr>
      <w:rFonts w:eastAsia="文鼎CS中宋"/>
      <w:kern w:val="0"/>
      <w:sz w:val="24"/>
      <w:szCs w:val="20"/>
    </w:rPr>
  </w:style>
  <w:style w:type="character" w:customStyle="1" w:styleId="188">
    <w:name w:val="font01"/>
    <w:autoRedefine/>
    <w:qFormat/>
    <w:uiPriority w:val="0"/>
    <w:rPr>
      <w:rFonts w:hint="eastAsia" w:ascii="宋体" w:hAnsi="宋体" w:eastAsia="宋体" w:cs="宋体"/>
      <w:color w:val="000000"/>
      <w:sz w:val="22"/>
      <w:szCs w:val="22"/>
      <w:u w:val="none"/>
    </w:rPr>
  </w:style>
  <w:style w:type="character" w:customStyle="1" w:styleId="189">
    <w:name w:val="fontstyle11"/>
    <w:autoRedefine/>
    <w:qFormat/>
    <w:uiPriority w:val="0"/>
    <w:rPr>
      <w:rFonts w:hint="default" w:ascii="TimesNewRomanPSMT" w:hAnsi="TimesNewRomanPSMT"/>
      <w:color w:val="000000"/>
      <w:sz w:val="18"/>
      <w:szCs w:val="18"/>
    </w:rPr>
  </w:style>
  <w:style w:type="character" w:customStyle="1" w:styleId="190">
    <w:name w:val="style50"/>
    <w:autoRedefine/>
    <w:qFormat/>
    <w:uiPriority w:val="0"/>
  </w:style>
  <w:style w:type="character" w:customStyle="1" w:styleId="191">
    <w:name w:val="报告正文 Char"/>
    <w:link w:val="192"/>
    <w:autoRedefine/>
    <w:qFormat/>
    <w:uiPriority w:val="0"/>
    <w:rPr>
      <w:rFonts w:cs="宋体"/>
      <w:kern w:val="2"/>
      <w:sz w:val="24"/>
      <w:szCs w:val="21"/>
    </w:rPr>
  </w:style>
  <w:style w:type="paragraph" w:customStyle="1" w:styleId="192">
    <w:name w:val="报告正文"/>
    <w:basedOn w:val="1"/>
    <w:link w:val="191"/>
    <w:autoRedefine/>
    <w:qFormat/>
    <w:uiPriority w:val="0"/>
    <w:pPr>
      <w:spacing w:line="500" w:lineRule="exact"/>
      <w:ind w:firstLine="200" w:firstLineChars="200"/>
    </w:pPr>
    <w:rPr>
      <w:rFonts w:cs="宋体"/>
      <w:sz w:val="24"/>
      <w:szCs w:val="21"/>
    </w:rPr>
  </w:style>
  <w:style w:type="character" w:customStyle="1" w:styleId="193">
    <w:name w:val="正文文本缩进 3 字符3"/>
    <w:link w:val="62"/>
    <w:autoRedefine/>
    <w:qFormat/>
    <w:uiPriority w:val="0"/>
    <w:rPr>
      <w:rFonts w:ascii="仿宋_GB2312" w:eastAsia="仿宋_GB2312"/>
      <w:kern w:val="2"/>
      <w:sz w:val="30"/>
    </w:rPr>
  </w:style>
  <w:style w:type="paragraph" w:customStyle="1" w:styleId="194">
    <w:name w:val="Char Char Char"/>
    <w:basedOn w:val="1"/>
    <w:autoRedefine/>
    <w:qFormat/>
    <w:uiPriority w:val="0"/>
    <w:rPr>
      <w:sz w:val="24"/>
    </w:rPr>
  </w:style>
  <w:style w:type="paragraph" w:customStyle="1" w:styleId="195">
    <w:name w:val="xl34"/>
    <w:basedOn w:val="1"/>
    <w:autoRedefine/>
    <w:qFormat/>
    <w:uiPriority w:val="0"/>
    <w:pPr>
      <w:widowControl/>
      <w:pBdr>
        <w:left w:val="single" w:color="auto" w:sz="4" w:space="0"/>
      </w:pBdr>
      <w:spacing w:before="100" w:beforeAutospacing="1" w:after="100" w:afterAutospacing="1" w:line="360" w:lineRule="auto"/>
      <w:ind w:firstLine="964" w:firstLineChars="200"/>
      <w:jc w:val="center"/>
    </w:pPr>
    <w:rPr>
      <w:rFonts w:ascii="宋体" w:hAnsi="宋体" w:eastAsia="仿宋" w:cs="宋体"/>
      <w:kern w:val="0"/>
      <w:sz w:val="24"/>
    </w:rPr>
  </w:style>
  <w:style w:type="paragraph" w:customStyle="1" w:styleId="196">
    <w:name w:val="样式 楷体_GB2312 四号 首行缩进:  2 字符"/>
    <w:basedOn w:val="1"/>
    <w:autoRedefine/>
    <w:qFormat/>
    <w:uiPriority w:val="0"/>
    <w:pPr>
      <w:ind w:firstLine="560" w:firstLineChars="200"/>
    </w:pPr>
    <w:rPr>
      <w:rFonts w:ascii="楷体_GB2312" w:hAnsi="楷体_GB2312" w:eastAsia="仿宋_GB2312"/>
      <w:sz w:val="28"/>
      <w:szCs w:val="20"/>
    </w:rPr>
  </w:style>
  <w:style w:type="paragraph" w:customStyle="1" w:styleId="197">
    <w:name w:val="表格11号字"/>
    <w:basedOn w:val="1"/>
    <w:autoRedefine/>
    <w:qFormat/>
    <w:uiPriority w:val="0"/>
    <w:pPr>
      <w:jc w:val="center"/>
    </w:pPr>
    <w:rPr>
      <w:rFonts w:cs="宋体"/>
      <w:szCs w:val="22"/>
    </w:rPr>
  </w:style>
  <w:style w:type="character" w:customStyle="1" w:styleId="198">
    <w:name w:val="正文文本缩进 2 字符2"/>
    <w:link w:val="47"/>
    <w:autoRedefine/>
    <w:qFormat/>
    <w:uiPriority w:val="0"/>
    <w:rPr>
      <w:rFonts w:eastAsia="仿宋_GB2312"/>
      <w:sz w:val="30"/>
    </w:rPr>
  </w:style>
  <w:style w:type="paragraph" w:customStyle="1" w:styleId="199">
    <w:name w:val="图文框"/>
    <w:basedOn w:val="1"/>
    <w:link w:val="250"/>
    <w:autoRedefine/>
    <w:qFormat/>
    <w:uiPriority w:val="0"/>
    <w:pPr>
      <w:jc w:val="center"/>
    </w:pPr>
  </w:style>
  <w:style w:type="paragraph" w:customStyle="1" w:styleId="200">
    <w:name w:val="样式1"/>
    <w:basedOn w:val="5"/>
    <w:link w:val="313"/>
    <w:autoRedefine/>
    <w:qFormat/>
    <w:uiPriority w:val="0"/>
    <w:rPr>
      <w:rFonts w:ascii="黑体" w:hAnsi="黑体" w:eastAsia="黑体"/>
      <w:b w:val="0"/>
      <w:bCs w:val="0"/>
      <w:sz w:val="21"/>
      <w:szCs w:val="21"/>
    </w:rPr>
  </w:style>
  <w:style w:type="paragraph" w:customStyle="1" w:styleId="201">
    <w:name w:val="样式 标题 3 + 小四"/>
    <w:basedOn w:val="5"/>
    <w:autoRedefine/>
    <w:qFormat/>
    <w:uiPriority w:val="0"/>
    <w:pPr>
      <w:spacing w:before="0" w:after="0" w:line="500" w:lineRule="exact"/>
      <w:ind w:firstLine="560" w:firstLineChars="200"/>
    </w:pPr>
    <w:rPr>
      <w:rFonts w:ascii="宋体" w:hAnsi="宋体"/>
      <w:b w:val="0"/>
      <w:bCs w:val="0"/>
      <w:color w:val="000000"/>
      <w:sz w:val="28"/>
      <w:szCs w:val="28"/>
    </w:rPr>
  </w:style>
  <w:style w:type="paragraph" w:customStyle="1" w:styleId="202">
    <w:name w:val="默认段落字体 Para Char Char Char Char"/>
    <w:basedOn w:val="1"/>
    <w:autoRedefine/>
    <w:qFormat/>
    <w:uiPriority w:val="0"/>
    <w:rPr>
      <w:sz w:val="24"/>
    </w:rPr>
  </w:style>
  <w:style w:type="paragraph" w:customStyle="1" w:styleId="203">
    <w:name w:val="标题1"/>
    <w:basedOn w:val="1"/>
    <w:next w:val="1"/>
    <w:autoRedefine/>
    <w:qFormat/>
    <w:uiPriority w:val="0"/>
    <w:pPr>
      <w:widowControl/>
      <w:spacing w:before="240" w:after="60"/>
      <w:jc w:val="center"/>
      <w:outlineLvl w:val="0"/>
    </w:pPr>
    <w:rPr>
      <w:rFonts w:ascii="Arial" w:hAnsi="Arial"/>
      <w:b/>
      <w:color w:val="000000"/>
      <w:kern w:val="0"/>
      <w:sz w:val="32"/>
      <w:szCs w:val="20"/>
    </w:rPr>
  </w:style>
  <w:style w:type="character" w:customStyle="1" w:styleId="204">
    <w:name w:val="HTML 预设格式 字符2"/>
    <w:link w:val="70"/>
    <w:autoRedefine/>
    <w:qFormat/>
    <w:uiPriority w:val="0"/>
    <w:rPr>
      <w:rFonts w:ascii="Arial" w:hAnsi="Arial" w:cs="Arial"/>
      <w:sz w:val="21"/>
      <w:szCs w:val="21"/>
    </w:rPr>
  </w:style>
  <w:style w:type="paragraph" w:customStyle="1" w:styleId="205">
    <w:name w:val="正文文本首行缩进1"/>
    <w:basedOn w:val="33"/>
    <w:autoRedefine/>
    <w:qFormat/>
    <w:uiPriority w:val="0"/>
    <w:pPr>
      <w:widowControl w:val="0"/>
      <w:snapToGrid/>
      <w:spacing w:before="0" w:after="120" w:line="500" w:lineRule="atLeast"/>
      <w:ind w:right="0" w:firstLine="420" w:firstLineChars="100"/>
    </w:pPr>
    <w:rPr>
      <w:kern w:val="2"/>
      <w:sz w:val="21"/>
      <w:szCs w:val="22"/>
    </w:rPr>
  </w:style>
  <w:style w:type="character" w:customStyle="1" w:styleId="206">
    <w:name w:val="正文文本 3 字符3"/>
    <w:link w:val="30"/>
    <w:autoRedefine/>
    <w:qFormat/>
    <w:uiPriority w:val="0"/>
    <w:rPr>
      <w:rFonts w:eastAsia="仿宋_GB2312"/>
      <w:color w:val="000000"/>
      <w:kern w:val="2"/>
      <w:sz w:val="28"/>
      <w:szCs w:val="28"/>
    </w:rPr>
  </w:style>
  <w:style w:type="paragraph" w:customStyle="1" w:styleId="207">
    <w:name w:val="样式 标题 2 + 宋体 四号"/>
    <w:basedOn w:val="4"/>
    <w:autoRedefine/>
    <w:qFormat/>
    <w:uiPriority w:val="0"/>
    <w:pPr>
      <w:spacing w:before="0" w:after="0" w:line="500" w:lineRule="exact"/>
    </w:pPr>
    <w:rPr>
      <w:rFonts w:ascii="宋体" w:hAnsi="宋体"/>
      <w:sz w:val="28"/>
      <w:szCs w:val="28"/>
    </w:rPr>
  </w:style>
  <w:style w:type="character" w:customStyle="1" w:styleId="208">
    <w:name w:val="文档结构图 字符3"/>
    <w:link w:val="25"/>
    <w:autoRedefine/>
    <w:qFormat/>
    <w:uiPriority w:val="0"/>
    <w:rPr>
      <w:kern w:val="2"/>
      <w:sz w:val="21"/>
      <w:szCs w:val="24"/>
      <w:shd w:val="clear" w:color="auto" w:fill="000080"/>
    </w:rPr>
  </w:style>
  <w:style w:type="paragraph" w:customStyle="1" w:styleId="209">
    <w:name w:val="xl26"/>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kern w:val="0"/>
      <w:szCs w:val="21"/>
    </w:rPr>
  </w:style>
  <w:style w:type="paragraph" w:customStyle="1" w:styleId="210">
    <w:name w:val="我的表格样式"/>
    <w:basedOn w:val="1"/>
    <w:autoRedefine/>
    <w:qFormat/>
    <w:uiPriority w:val="0"/>
    <w:pPr>
      <w:spacing w:line="320" w:lineRule="exact"/>
      <w:jc w:val="center"/>
    </w:pPr>
    <w:rPr>
      <w:rFonts w:hAnsi="宋体"/>
      <w:color w:val="000000"/>
      <w:szCs w:val="21"/>
    </w:rPr>
  </w:style>
  <w:style w:type="paragraph" w:customStyle="1" w:styleId="211">
    <w:name w:val="样式 小四 首行缩进:  2 字符"/>
    <w:basedOn w:val="1"/>
    <w:autoRedefine/>
    <w:qFormat/>
    <w:uiPriority w:val="0"/>
    <w:pPr>
      <w:tabs>
        <w:tab w:val="left" w:pos="5096"/>
      </w:tabs>
      <w:spacing w:line="400" w:lineRule="exact"/>
      <w:ind w:firstLine="480" w:firstLineChars="200"/>
    </w:pPr>
    <w:rPr>
      <w:color w:val="FF0000"/>
      <w:sz w:val="24"/>
      <w:szCs w:val="20"/>
    </w:rPr>
  </w:style>
  <w:style w:type="paragraph" w:customStyle="1" w:styleId="212">
    <w:name w:val="表格文字2"/>
    <w:basedOn w:val="1"/>
    <w:autoRedefine/>
    <w:qFormat/>
    <w:uiPriority w:val="0"/>
    <w:pPr>
      <w:tabs>
        <w:tab w:val="left" w:pos="277"/>
        <w:tab w:val="left" w:pos="600"/>
        <w:tab w:val="left" w:pos="780"/>
        <w:tab w:val="left" w:pos="2517"/>
      </w:tabs>
      <w:adjustRightInd w:val="0"/>
      <w:snapToGrid w:val="0"/>
      <w:jc w:val="center"/>
      <w:textAlignment w:val="baseline"/>
    </w:pPr>
    <w:rPr>
      <w:kern w:val="0"/>
      <w:szCs w:val="21"/>
    </w:rPr>
  </w:style>
  <w:style w:type="paragraph" w:customStyle="1" w:styleId="213">
    <w:name w:val="默认段落字体 Para Char"/>
    <w:basedOn w:val="1"/>
    <w:autoRedefine/>
    <w:qFormat/>
    <w:uiPriority w:val="0"/>
  </w:style>
  <w:style w:type="character" w:customStyle="1" w:styleId="214">
    <w:name w:val="正文文本 2 字符3"/>
    <w:link w:val="66"/>
    <w:autoRedefine/>
    <w:qFormat/>
    <w:uiPriority w:val="0"/>
    <w:rPr>
      <w:kern w:val="2"/>
      <w:sz w:val="28"/>
    </w:rPr>
  </w:style>
  <w:style w:type="paragraph" w:customStyle="1" w:styleId="215">
    <w:name w:val="普通(网站)1"/>
    <w:basedOn w:val="1"/>
    <w:autoRedefine/>
    <w:qFormat/>
    <w:uiPriority w:val="0"/>
    <w:pPr>
      <w:widowControl/>
      <w:spacing w:before="100" w:beforeAutospacing="1" w:after="100" w:afterAutospacing="1"/>
      <w:jc w:val="left"/>
    </w:pPr>
    <w:rPr>
      <w:rFonts w:ascii="宋体" w:hAnsi="宋体"/>
      <w:sz w:val="24"/>
      <w:szCs w:val="20"/>
    </w:rPr>
  </w:style>
  <w:style w:type="paragraph" w:customStyle="1" w:styleId="216">
    <w:name w:val="正文（lulu四号字）"/>
    <w:basedOn w:val="34"/>
    <w:link w:val="500"/>
    <w:autoRedefine/>
    <w:qFormat/>
    <w:uiPriority w:val="0"/>
    <w:pPr>
      <w:spacing w:after="0" w:line="500" w:lineRule="exact"/>
      <w:ind w:left="0" w:leftChars="0" w:firstLine="560"/>
    </w:pPr>
    <w:rPr>
      <w:rFonts w:ascii="宋体" w:hAnsi="宋体" w:cs="宋体"/>
      <w:kern w:val="2"/>
      <w:sz w:val="28"/>
      <w:szCs w:val="28"/>
    </w:rPr>
  </w:style>
  <w:style w:type="paragraph" w:customStyle="1" w:styleId="217">
    <w:name w:val="xl52"/>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b/>
      <w:bCs/>
      <w:kern w:val="0"/>
      <w:sz w:val="24"/>
    </w:rPr>
  </w:style>
  <w:style w:type="paragraph" w:customStyle="1" w:styleId="218">
    <w:name w:val="Char Char Char Char Char Char Char"/>
    <w:basedOn w:val="1"/>
    <w:autoRedefine/>
    <w:qFormat/>
    <w:uiPriority w:val="0"/>
    <w:pPr>
      <w:widowControl/>
      <w:spacing w:after="160" w:line="240" w:lineRule="exact"/>
      <w:jc w:val="left"/>
    </w:pPr>
    <w:rPr>
      <w:rFonts w:ascii="Verdana" w:hAnsi="Verdana"/>
      <w:kern w:val="0"/>
      <w:sz w:val="20"/>
      <w:szCs w:val="20"/>
      <w:lang w:eastAsia="en-US"/>
    </w:rPr>
  </w:style>
  <w:style w:type="paragraph" w:customStyle="1" w:styleId="219">
    <w:name w:val="Char Char Char16"/>
    <w:basedOn w:val="1"/>
    <w:autoRedefine/>
    <w:qFormat/>
    <w:uiPriority w:val="0"/>
    <w:rPr>
      <w:sz w:val="24"/>
    </w:rPr>
  </w:style>
  <w:style w:type="paragraph" w:customStyle="1" w:styleId="220">
    <w:name w:val="列出段落"/>
    <w:basedOn w:val="1"/>
    <w:autoRedefine/>
    <w:qFormat/>
    <w:uiPriority w:val="99"/>
    <w:pPr>
      <w:ind w:firstLine="420" w:firstLineChars="200"/>
    </w:pPr>
  </w:style>
  <w:style w:type="paragraph" w:customStyle="1" w:styleId="221">
    <w:name w:val="paragraph"/>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222">
    <w:name w:val="页眉左"/>
    <w:basedOn w:val="53"/>
    <w:autoRedefine/>
    <w:qFormat/>
    <w:uiPriority w:val="0"/>
    <w:pPr>
      <w:pBdr>
        <w:bottom w:val="none" w:color="auto" w:sz="0" w:space="0"/>
      </w:pBdr>
      <w:adjustRightInd w:val="0"/>
      <w:snapToGrid/>
      <w:spacing w:before="60" w:after="60" w:line="240" w:lineRule="atLeast"/>
      <w:jc w:val="left"/>
      <w:textAlignment w:val="baseline"/>
    </w:pPr>
    <w:rPr>
      <w:sz w:val="22"/>
      <w:lang w:val="en-GB"/>
    </w:rPr>
  </w:style>
  <w:style w:type="character" w:customStyle="1" w:styleId="223">
    <w:name w:val="标题 7 字符"/>
    <w:autoRedefine/>
    <w:qFormat/>
    <w:uiPriority w:val="0"/>
    <w:rPr>
      <w:b/>
      <w:bCs/>
      <w:kern w:val="2"/>
      <w:sz w:val="24"/>
      <w:szCs w:val="24"/>
    </w:rPr>
  </w:style>
  <w:style w:type="character" w:customStyle="1" w:styleId="224">
    <w:name w:val="标题 8 字符"/>
    <w:autoRedefine/>
    <w:qFormat/>
    <w:uiPriority w:val="0"/>
    <w:rPr>
      <w:rFonts w:ascii="等线 Light" w:hAnsi="等线 Light" w:eastAsia="等线 Light" w:cs="Times New Roman"/>
      <w:kern w:val="2"/>
      <w:sz w:val="24"/>
      <w:szCs w:val="24"/>
    </w:rPr>
  </w:style>
  <w:style w:type="character" w:customStyle="1" w:styleId="225">
    <w:name w:val="标题 9 字符"/>
    <w:autoRedefine/>
    <w:qFormat/>
    <w:uiPriority w:val="0"/>
    <w:rPr>
      <w:rFonts w:ascii="等线 Light" w:hAnsi="等线 Light" w:eastAsia="等线 Light" w:cs="Times New Roman"/>
      <w:kern w:val="2"/>
      <w:sz w:val="21"/>
      <w:szCs w:val="21"/>
    </w:rPr>
  </w:style>
  <w:style w:type="character" w:customStyle="1" w:styleId="226">
    <w:name w:val="标题 1 字符3"/>
    <w:autoRedefine/>
    <w:qFormat/>
    <w:locked/>
    <w:uiPriority w:val="0"/>
    <w:rPr>
      <w:rFonts w:eastAsia="黑体"/>
      <w:b/>
      <w:bCs/>
      <w:color w:val="000000"/>
      <w:kern w:val="44"/>
      <w:sz w:val="30"/>
      <w:szCs w:val="30"/>
    </w:rPr>
  </w:style>
  <w:style w:type="character" w:customStyle="1" w:styleId="227">
    <w:name w:val="标题 2 字符2"/>
    <w:autoRedefine/>
    <w:qFormat/>
    <w:uiPriority w:val="0"/>
    <w:rPr>
      <w:rFonts w:ascii="Calibri Light" w:hAnsi="Calibri Light" w:eastAsia="宋体" w:cs="Times New Roman"/>
      <w:b/>
      <w:bCs/>
      <w:kern w:val="2"/>
      <w:sz w:val="32"/>
      <w:szCs w:val="32"/>
    </w:rPr>
  </w:style>
  <w:style w:type="character" w:customStyle="1" w:styleId="228">
    <w:name w:val="标题 3 字符2"/>
    <w:autoRedefine/>
    <w:qFormat/>
    <w:uiPriority w:val="9"/>
    <w:rPr>
      <w:b/>
      <w:bCs/>
      <w:kern w:val="2"/>
      <w:sz w:val="32"/>
      <w:szCs w:val="32"/>
    </w:rPr>
  </w:style>
  <w:style w:type="character" w:customStyle="1" w:styleId="229">
    <w:name w:val="标题 4 字符1"/>
    <w:autoRedefine/>
    <w:qFormat/>
    <w:locked/>
    <w:uiPriority w:val="9"/>
    <w:rPr>
      <w:rFonts w:eastAsia="仿宋_GB2312"/>
      <w:color w:val="FF0000"/>
      <w:kern w:val="2"/>
      <w:sz w:val="28"/>
      <w:szCs w:val="28"/>
    </w:rPr>
  </w:style>
  <w:style w:type="character" w:customStyle="1" w:styleId="230">
    <w:name w:val="标题 5 字符2"/>
    <w:autoRedefine/>
    <w:qFormat/>
    <w:locked/>
    <w:uiPriority w:val="0"/>
    <w:rPr>
      <w:rFonts w:ascii="宋体" w:hAnsi="宋体"/>
      <w:snapToGrid w:val="0"/>
      <w:sz w:val="28"/>
    </w:rPr>
  </w:style>
  <w:style w:type="character" w:customStyle="1" w:styleId="231">
    <w:name w:val="标题 6 字符2"/>
    <w:autoRedefine/>
    <w:qFormat/>
    <w:locked/>
    <w:uiPriority w:val="0"/>
    <w:rPr>
      <w:rFonts w:eastAsia="仿宋_GB2312"/>
      <w:kern w:val="2"/>
      <w:sz w:val="28"/>
      <w:szCs w:val="24"/>
    </w:rPr>
  </w:style>
  <w:style w:type="character" w:customStyle="1" w:styleId="232">
    <w:name w:val="标题 7 字符2"/>
    <w:link w:val="9"/>
    <w:autoRedefine/>
    <w:qFormat/>
    <w:locked/>
    <w:uiPriority w:val="0"/>
    <w:rPr>
      <w:b/>
      <w:bCs/>
      <w:kern w:val="2"/>
      <w:sz w:val="24"/>
      <w:szCs w:val="24"/>
      <w:lang w:val="zh-CN"/>
    </w:rPr>
  </w:style>
  <w:style w:type="character" w:customStyle="1" w:styleId="233">
    <w:name w:val="标题 8 字符2"/>
    <w:link w:val="10"/>
    <w:autoRedefine/>
    <w:qFormat/>
    <w:uiPriority w:val="0"/>
    <w:rPr>
      <w:rFonts w:ascii="Arial" w:hAnsi="Arial" w:eastAsia="黑体"/>
      <w:kern w:val="2"/>
      <w:sz w:val="24"/>
      <w:szCs w:val="24"/>
      <w:lang w:val="zh-CN"/>
    </w:rPr>
  </w:style>
  <w:style w:type="character" w:customStyle="1" w:styleId="234">
    <w:name w:val="正文缩进 字符1"/>
    <w:autoRedefine/>
    <w:qFormat/>
    <w:uiPriority w:val="0"/>
    <w:rPr>
      <w:kern w:val="2"/>
      <w:sz w:val="21"/>
      <w:szCs w:val="24"/>
    </w:rPr>
  </w:style>
  <w:style w:type="character" w:customStyle="1" w:styleId="235">
    <w:name w:val="标题 9 字符2"/>
    <w:link w:val="11"/>
    <w:autoRedefine/>
    <w:qFormat/>
    <w:locked/>
    <w:uiPriority w:val="0"/>
    <w:rPr>
      <w:rFonts w:ascii="Arial" w:hAnsi="Arial" w:eastAsia="黑体"/>
      <w:kern w:val="2"/>
      <w:sz w:val="24"/>
      <w:lang w:val="zh-CN"/>
    </w:rPr>
  </w:style>
  <w:style w:type="character" w:customStyle="1" w:styleId="236">
    <w:name w:val="注释标题 字符"/>
    <w:autoRedefine/>
    <w:qFormat/>
    <w:uiPriority w:val="0"/>
    <w:rPr>
      <w:kern w:val="2"/>
      <w:sz w:val="21"/>
      <w:szCs w:val="24"/>
    </w:rPr>
  </w:style>
  <w:style w:type="character" w:customStyle="1" w:styleId="237">
    <w:name w:val="注释标题 字符2"/>
    <w:link w:val="16"/>
    <w:autoRedefine/>
    <w:qFormat/>
    <w:uiPriority w:val="0"/>
    <w:rPr>
      <w:rFonts w:ascii="宋体" w:hAnsi="宋体"/>
      <w:sz w:val="24"/>
    </w:rPr>
  </w:style>
  <w:style w:type="character" w:customStyle="1" w:styleId="238">
    <w:name w:val="批注文字 字符2"/>
    <w:autoRedefine/>
    <w:qFormat/>
    <w:locked/>
    <w:uiPriority w:val="99"/>
    <w:rPr>
      <w:rFonts w:ascii="Times New Roman" w:hAnsi="Times New Roman" w:eastAsia="宋体"/>
      <w:sz w:val="24"/>
    </w:rPr>
  </w:style>
  <w:style w:type="character" w:customStyle="1" w:styleId="239">
    <w:name w:val="正文文本 字符2"/>
    <w:autoRedefine/>
    <w:qFormat/>
    <w:locked/>
    <w:uiPriority w:val="0"/>
    <w:rPr>
      <w:sz w:val="18"/>
    </w:rPr>
  </w:style>
  <w:style w:type="character" w:customStyle="1" w:styleId="240">
    <w:name w:val="正文文本缩进 字符1"/>
    <w:autoRedefine/>
    <w:qFormat/>
    <w:locked/>
    <w:uiPriority w:val="0"/>
    <w:rPr>
      <w:rFonts w:ascii="Times New Roman" w:hAnsi="Times New Roman" w:eastAsia="宋体"/>
      <w:sz w:val="24"/>
    </w:rPr>
  </w:style>
  <w:style w:type="character" w:customStyle="1" w:styleId="241">
    <w:name w:val="纯文本 字符1"/>
    <w:autoRedefine/>
    <w:qFormat/>
    <w:uiPriority w:val="99"/>
    <w:rPr>
      <w:rFonts w:ascii="宋体" w:hAnsi="Courier New" w:cs="Courier New"/>
      <w:kern w:val="2"/>
      <w:sz w:val="21"/>
      <w:szCs w:val="21"/>
    </w:rPr>
  </w:style>
  <w:style w:type="character" w:customStyle="1" w:styleId="242">
    <w:name w:val="日期 字符2"/>
    <w:autoRedefine/>
    <w:qFormat/>
    <w:locked/>
    <w:uiPriority w:val="0"/>
    <w:rPr>
      <w:rFonts w:ascii="Times New Roman" w:hAnsi="Times New Roman" w:eastAsia="宋体"/>
      <w:sz w:val="24"/>
    </w:rPr>
  </w:style>
  <w:style w:type="character" w:customStyle="1" w:styleId="243">
    <w:name w:val="批注框文本 字符1"/>
    <w:autoRedefine/>
    <w:qFormat/>
    <w:locked/>
    <w:uiPriority w:val="0"/>
    <w:rPr>
      <w:rFonts w:ascii="Times New Roman" w:hAnsi="Times New Roman" w:eastAsia="宋体"/>
      <w:sz w:val="18"/>
    </w:rPr>
  </w:style>
  <w:style w:type="character" w:customStyle="1" w:styleId="244">
    <w:name w:val="页脚 字符2"/>
    <w:autoRedefine/>
    <w:qFormat/>
    <w:locked/>
    <w:uiPriority w:val="0"/>
    <w:rPr>
      <w:sz w:val="18"/>
    </w:rPr>
  </w:style>
  <w:style w:type="character" w:customStyle="1" w:styleId="245">
    <w:name w:val="页眉 字符2"/>
    <w:autoRedefine/>
    <w:qFormat/>
    <w:locked/>
    <w:uiPriority w:val="99"/>
    <w:rPr>
      <w:sz w:val="18"/>
    </w:rPr>
  </w:style>
  <w:style w:type="character" w:customStyle="1" w:styleId="246">
    <w:name w:val="普通(网站) 字符"/>
    <w:autoRedefine/>
    <w:qFormat/>
    <w:locked/>
    <w:uiPriority w:val="0"/>
    <w:rPr>
      <w:rFonts w:ascii="宋体" w:hAnsi="宋体" w:eastAsia="宋体"/>
      <w:sz w:val="24"/>
    </w:rPr>
  </w:style>
  <w:style w:type="character" w:customStyle="1" w:styleId="247">
    <w:name w:val="批注主题 字符1"/>
    <w:autoRedefine/>
    <w:qFormat/>
    <w:locked/>
    <w:uiPriority w:val="0"/>
    <w:rPr>
      <w:rFonts w:ascii="Times New Roman" w:hAnsi="Times New Roman" w:eastAsia="宋体"/>
      <w:b/>
      <w:kern w:val="2"/>
      <w:sz w:val="24"/>
    </w:rPr>
  </w:style>
  <w:style w:type="character" w:customStyle="1" w:styleId="248">
    <w:name w:val="正文001 Char1"/>
    <w:link w:val="149"/>
    <w:autoRedefine/>
    <w:qFormat/>
    <w:uiPriority w:val="0"/>
    <w:rPr>
      <w:kern w:val="2"/>
      <w:sz w:val="24"/>
    </w:rPr>
  </w:style>
  <w:style w:type="paragraph" w:customStyle="1" w:styleId="249">
    <w:name w:val="字元 字元"/>
    <w:basedOn w:val="1"/>
    <w:autoRedefine/>
    <w:qFormat/>
    <w:uiPriority w:val="0"/>
  </w:style>
  <w:style w:type="character" w:customStyle="1" w:styleId="250">
    <w:name w:val="图文框 Char"/>
    <w:link w:val="199"/>
    <w:autoRedefine/>
    <w:qFormat/>
    <w:locked/>
    <w:uiPriority w:val="0"/>
    <w:rPr>
      <w:kern w:val="2"/>
      <w:sz w:val="21"/>
      <w:szCs w:val="24"/>
    </w:rPr>
  </w:style>
  <w:style w:type="paragraph" w:customStyle="1" w:styleId="251">
    <w:name w:val="表内字体"/>
    <w:basedOn w:val="1"/>
    <w:autoRedefine/>
    <w:qFormat/>
    <w:uiPriority w:val="0"/>
    <w:pPr>
      <w:jc w:val="center"/>
    </w:pPr>
    <w:rPr>
      <w:rFonts w:hAnsi="宋体" w:eastAsia="华文中宋"/>
      <w:szCs w:val="28"/>
    </w:rPr>
  </w:style>
  <w:style w:type="paragraph" w:customStyle="1" w:styleId="252">
    <w:name w:val="新正文"/>
    <w:basedOn w:val="1"/>
    <w:link w:val="253"/>
    <w:autoRedefine/>
    <w:qFormat/>
    <w:uiPriority w:val="0"/>
    <w:pPr>
      <w:spacing w:line="480" w:lineRule="exact"/>
      <w:ind w:firstLine="567"/>
    </w:pPr>
    <w:rPr>
      <w:rFonts w:ascii="仿宋_GB2312" w:eastAsia="仿宋_GB2312"/>
      <w:bCs/>
      <w:kern w:val="0"/>
      <w:sz w:val="28"/>
      <w:szCs w:val="20"/>
    </w:rPr>
  </w:style>
  <w:style w:type="character" w:customStyle="1" w:styleId="253">
    <w:name w:val="新正文 Char"/>
    <w:link w:val="252"/>
    <w:autoRedefine/>
    <w:qFormat/>
    <w:uiPriority w:val="0"/>
    <w:rPr>
      <w:rFonts w:ascii="仿宋_GB2312" w:eastAsia="仿宋_GB2312"/>
      <w:bCs/>
      <w:sz w:val="28"/>
    </w:rPr>
  </w:style>
  <w:style w:type="paragraph" w:customStyle="1" w:styleId="254">
    <w:name w:val="我的样式（正文）"/>
    <w:basedOn w:val="1"/>
    <w:autoRedefine/>
    <w:qFormat/>
    <w:uiPriority w:val="0"/>
    <w:pPr>
      <w:spacing w:line="440" w:lineRule="exact"/>
    </w:pPr>
    <w:rPr>
      <w:rFonts w:ascii="宋体"/>
      <w:sz w:val="28"/>
    </w:rPr>
  </w:style>
  <w:style w:type="paragraph" w:customStyle="1" w:styleId="255">
    <w:name w:val="Char1"/>
    <w:basedOn w:val="1"/>
    <w:autoRedefine/>
    <w:qFormat/>
    <w:uiPriority w:val="0"/>
    <w:pPr>
      <w:snapToGrid w:val="0"/>
      <w:spacing w:line="360" w:lineRule="auto"/>
      <w:ind w:firstLine="200" w:firstLineChars="200"/>
    </w:pPr>
    <w:rPr>
      <w:rFonts w:eastAsia="仿宋_GB2312"/>
      <w:sz w:val="24"/>
    </w:rPr>
  </w:style>
  <w:style w:type="paragraph" w:customStyle="1" w:styleId="256">
    <w:name w:val="Char Char Char Char11"/>
    <w:basedOn w:val="1"/>
    <w:autoRedefine/>
    <w:qFormat/>
    <w:uiPriority w:val="0"/>
  </w:style>
  <w:style w:type="paragraph" w:customStyle="1" w:styleId="257">
    <w:name w:val="段"/>
    <w:link w:val="258"/>
    <w:autoRedefine/>
    <w:qFormat/>
    <w:uiPriority w:val="0"/>
    <w:pPr>
      <w:tabs>
        <w:tab w:val="center" w:pos="4201"/>
        <w:tab w:val="right" w:leader="dot" w:pos="9298"/>
      </w:tabs>
      <w:autoSpaceDE w:val="0"/>
      <w:autoSpaceDN w:val="0"/>
      <w:ind w:firstLine="420" w:firstLineChars="200"/>
      <w:jc w:val="both"/>
    </w:pPr>
    <w:rPr>
      <w:rFonts w:ascii="宋体" w:hAnsi="Times New Roman" w:eastAsia="宋体" w:cs="Times New Roman"/>
      <w:sz w:val="21"/>
      <w:lang w:val="en-US" w:eastAsia="zh-CN" w:bidi="ar-SA"/>
    </w:rPr>
  </w:style>
  <w:style w:type="character" w:customStyle="1" w:styleId="258">
    <w:name w:val="段 Char"/>
    <w:link w:val="257"/>
    <w:autoRedefine/>
    <w:qFormat/>
    <w:uiPriority w:val="0"/>
    <w:rPr>
      <w:rFonts w:ascii="宋体"/>
      <w:sz w:val="21"/>
    </w:rPr>
  </w:style>
  <w:style w:type="paragraph" w:customStyle="1" w:styleId="259">
    <w:name w:val="字元 字元1"/>
    <w:basedOn w:val="1"/>
    <w:autoRedefine/>
    <w:qFormat/>
    <w:uiPriority w:val="0"/>
  </w:style>
  <w:style w:type="paragraph" w:customStyle="1" w:styleId="260">
    <w:name w:val="Char Char16 Char Char Char Char Char Char Char Char Char Char Char Char Char Char Char Char Char Char Char Char Char Char Char Char Char Char Char Char"/>
    <w:basedOn w:val="1"/>
    <w:next w:val="2"/>
    <w:autoRedefine/>
    <w:qFormat/>
    <w:uiPriority w:val="0"/>
    <w:pPr>
      <w:adjustRightInd w:val="0"/>
      <w:textAlignment w:val="baseline"/>
    </w:pPr>
    <w:rPr>
      <w:sz w:val="28"/>
      <w:szCs w:val="28"/>
    </w:rPr>
  </w:style>
  <w:style w:type="character" w:customStyle="1" w:styleId="261">
    <w:name w:val="宏文本 字符"/>
    <w:link w:val="2"/>
    <w:autoRedefine/>
    <w:qFormat/>
    <w:uiPriority w:val="0"/>
    <w:rPr>
      <w:rFonts w:ascii="Courier New" w:hAnsi="Courier New" w:cs="Courier New"/>
      <w:kern w:val="2"/>
      <w:sz w:val="24"/>
      <w:szCs w:val="24"/>
    </w:rPr>
  </w:style>
  <w:style w:type="character" w:customStyle="1" w:styleId="262">
    <w:name w:val="标题 7 Char"/>
    <w:autoRedefine/>
    <w:qFormat/>
    <w:uiPriority w:val="0"/>
    <w:rPr>
      <w:b/>
      <w:bCs/>
      <w:kern w:val="2"/>
      <w:sz w:val="24"/>
      <w:szCs w:val="24"/>
    </w:rPr>
  </w:style>
  <w:style w:type="character" w:customStyle="1" w:styleId="263">
    <w:name w:val="标题 9 Char"/>
    <w:autoRedefine/>
    <w:qFormat/>
    <w:uiPriority w:val="0"/>
    <w:rPr>
      <w:rFonts w:ascii="Calibri Light" w:hAnsi="Calibri Light" w:eastAsia="宋体" w:cs="Times New Roman"/>
      <w:kern w:val="2"/>
      <w:sz w:val="21"/>
      <w:szCs w:val="21"/>
    </w:rPr>
  </w:style>
  <w:style w:type="paragraph" w:customStyle="1" w:styleId="264">
    <w:name w:val="目录 712"/>
    <w:basedOn w:val="1"/>
    <w:next w:val="1"/>
    <w:autoRedefine/>
    <w:unhideWhenUsed/>
    <w:qFormat/>
    <w:locked/>
    <w:uiPriority w:val="39"/>
    <w:pPr>
      <w:ind w:left="2520" w:leftChars="1200"/>
    </w:pPr>
    <w:rPr>
      <w:rFonts w:ascii="Calibri" w:hAnsi="Calibri"/>
      <w:szCs w:val="22"/>
    </w:rPr>
  </w:style>
  <w:style w:type="character" w:customStyle="1" w:styleId="265">
    <w:name w:val="电子邮件签名 字符"/>
    <w:autoRedefine/>
    <w:qFormat/>
    <w:uiPriority w:val="0"/>
    <w:rPr>
      <w:kern w:val="2"/>
      <w:sz w:val="21"/>
      <w:szCs w:val="24"/>
    </w:rPr>
  </w:style>
  <w:style w:type="character" w:customStyle="1" w:styleId="266">
    <w:name w:val="电子邮件签名 字符2"/>
    <w:link w:val="19"/>
    <w:autoRedefine/>
    <w:qFormat/>
    <w:locked/>
    <w:uiPriority w:val="0"/>
    <w:rPr>
      <w:rFonts w:ascii="Arial" w:hAnsi="Arial" w:eastAsia="仿宋_GB2312"/>
      <w:lang w:val="zh-CN"/>
    </w:rPr>
  </w:style>
  <w:style w:type="character" w:customStyle="1" w:styleId="267">
    <w:name w:val="电子邮件签名 Char"/>
    <w:autoRedefine/>
    <w:qFormat/>
    <w:uiPriority w:val="0"/>
    <w:rPr>
      <w:kern w:val="2"/>
      <w:sz w:val="21"/>
      <w:szCs w:val="24"/>
    </w:rPr>
  </w:style>
  <w:style w:type="character" w:customStyle="1" w:styleId="268">
    <w:name w:val="题注 字符"/>
    <w:link w:val="21"/>
    <w:autoRedefine/>
    <w:qFormat/>
    <w:locked/>
    <w:uiPriority w:val="0"/>
    <w:rPr>
      <w:rFonts w:ascii="Arial" w:hAnsi="Arial" w:eastAsia="黑体" w:cs="Arial"/>
      <w:kern w:val="2"/>
    </w:rPr>
  </w:style>
  <w:style w:type="character" w:customStyle="1" w:styleId="269">
    <w:name w:val="文档结构图 字符2"/>
    <w:autoRedefine/>
    <w:qFormat/>
    <w:locked/>
    <w:uiPriority w:val="0"/>
    <w:rPr>
      <w:kern w:val="2"/>
      <w:sz w:val="21"/>
      <w:szCs w:val="24"/>
      <w:shd w:val="clear" w:color="auto" w:fill="000080"/>
    </w:rPr>
  </w:style>
  <w:style w:type="character" w:customStyle="1" w:styleId="270">
    <w:name w:val="称呼 字符"/>
    <w:autoRedefine/>
    <w:qFormat/>
    <w:uiPriority w:val="0"/>
    <w:rPr>
      <w:kern w:val="2"/>
      <w:sz w:val="21"/>
      <w:szCs w:val="24"/>
    </w:rPr>
  </w:style>
  <w:style w:type="character" w:customStyle="1" w:styleId="271">
    <w:name w:val="称呼 字符2"/>
    <w:link w:val="29"/>
    <w:autoRedefine/>
    <w:qFormat/>
    <w:locked/>
    <w:uiPriority w:val="0"/>
    <w:rPr>
      <w:rFonts w:ascii="Arial" w:hAnsi="Arial" w:eastAsia="仿宋_GB2312"/>
      <w:lang w:val="zh-CN"/>
    </w:rPr>
  </w:style>
  <w:style w:type="character" w:customStyle="1" w:styleId="272">
    <w:name w:val="称呼 Char"/>
    <w:autoRedefine/>
    <w:qFormat/>
    <w:uiPriority w:val="0"/>
    <w:rPr>
      <w:kern w:val="2"/>
      <w:sz w:val="21"/>
      <w:szCs w:val="24"/>
    </w:rPr>
  </w:style>
  <w:style w:type="character" w:customStyle="1" w:styleId="273">
    <w:name w:val="正文文本 3 字符2"/>
    <w:autoRedefine/>
    <w:qFormat/>
    <w:locked/>
    <w:uiPriority w:val="0"/>
    <w:rPr>
      <w:rFonts w:eastAsia="仿宋_GB2312"/>
      <w:color w:val="000000"/>
      <w:kern w:val="2"/>
      <w:sz w:val="28"/>
      <w:szCs w:val="28"/>
    </w:rPr>
  </w:style>
  <w:style w:type="character" w:customStyle="1" w:styleId="274">
    <w:name w:val="结束语 字符"/>
    <w:autoRedefine/>
    <w:qFormat/>
    <w:uiPriority w:val="0"/>
    <w:rPr>
      <w:kern w:val="2"/>
      <w:sz w:val="21"/>
      <w:szCs w:val="24"/>
    </w:rPr>
  </w:style>
  <w:style w:type="character" w:customStyle="1" w:styleId="275">
    <w:name w:val="结束语 字符2"/>
    <w:link w:val="31"/>
    <w:autoRedefine/>
    <w:qFormat/>
    <w:locked/>
    <w:uiPriority w:val="0"/>
    <w:rPr>
      <w:rFonts w:ascii="Arial" w:hAnsi="Arial" w:eastAsia="仿宋_GB2312"/>
      <w:lang w:val="zh-CN"/>
    </w:rPr>
  </w:style>
  <w:style w:type="character" w:customStyle="1" w:styleId="276">
    <w:name w:val="结束语 Char"/>
    <w:autoRedefine/>
    <w:qFormat/>
    <w:uiPriority w:val="0"/>
    <w:rPr>
      <w:kern w:val="2"/>
      <w:sz w:val="21"/>
      <w:szCs w:val="24"/>
    </w:rPr>
  </w:style>
  <w:style w:type="character" w:customStyle="1" w:styleId="277">
    <w:name w:val="HTML 地址 字符"/>
    <w:autoRedefine/>
    <w:qFormat/>
    <w:uiPriority w:val="0"/>
    <w:rPr>
      <w:i/>
      <w:iCs/>
      <w:kern w:val="2"/>
      <w:sz w:val="21"/>
      <w:szCs w:val="24"/>
    </w:rPr>
  </w:style>
  <w:style w:type="character" w:customStyle="1" w:styleId="278">
    <w:name w:val="HTML 地址 字符1"/>
    <w:link w:val="40"/>
    <w:autoRedefine/>
    <w:qFormat/>
    <w:locked/>
    <w:uiPriority w:val="0"/>
    <w:rPr>
      <w:rFonts w:ascii="Arial" w:hAnsi="Arial" w:eastAsia="仿宋_GB2312"/>
      <w:i/>
      <w:iCs/>
      <w:lang w:val="zh-CN"/>
    </w:rPr>
  </w:style>
  <w:style w:type="character" w:customStyle="1" w:styleId="279">
    <w:name w:val="HTML 地址 Char"/>
    <w:autoRedefine/>
    <w:qFormat/>
    <w:uiPriority w:val="0"/>
    <w:rPr>
      <w:i/>
      <w:iCs/>
      <w:kern w:val="2"/>
      <w:sz w:val="21"/>
      <w:szCs w:val="24"/>
    </w:rPr>
  </w:style>
  <w:style w:type="paragraph" w:customStyle="1" w:styleId="280">
    <w:name w:val="目录 312"/>
    <w:basedOn w:val="1"/>
    <w:next w:val="1"/>
    <w:autoRedefine/>
    <w:unhideWhenUsed/>
    <w:qFormat/>
    <w:locked/>
    <w:uiPriority w:val="39"/>
    <w:pPr>
      <w:ind w:left="840" w:leftChars="400"/>
    </w:pPr>
    <w:rPr>
      <w:rFonts w:ascii="Calibri" w:hAnsi="Calibri"/>
      <w:szCs w:val="22"/>
    </w:rPr>
  </w:style>
  <w:style w:type="paragraph" w:customStyle="1" w:styleId="281">
    <w:name w:val="目录 812"/>
    <w:basedOn w:val="1"/>
    <w:next w:val="1"/>
    <w:autoRedefine/>
    <w:unhideWhenUsed/>
    <w:qFormat/>
    <w:locked/>
    <w:uiPriority w:val="39"/>
    <w:pPr>
      <w:ind w:left="2940" w:leftChars="1400"/>
    </w:pPr>
    <w:rPr>
      <w:rFonts w:ascii="Calibri" w:hAnsi="Calibri"/>
      <w:szCs w:val="22"/>
    </w:rPr>
  </w:style>
  <w:style w:type="character" w:customStyle="1" w:styleId="282">
    <w:name w:val="正文文本缩进 2 字符1"/>
    <w:autoRedefine/>
    <w:qFormat/>
    <w:locked/>
    <w:uiPriority w:val="0"/>
    <w:rPr>
      <w:rFonts w:eastAsia="仿宋_GB2312"/>
      <w:sz w:val="30"/>
    </w:rPr>
  </w:style>
  <w:style w:type="character" w:customStyle="1" w:styleId="283">
    <w:name w:val="尾注文本 字符"/>
    <w:link w:val="48"/>
    <w:autoRedefine/>
    <w:qFormat/>
    <w:uiPriority w:val="0"/>
    <w:rPr>
      <w:rFonts w:ascii="仿宋_GB2312" w:eastAsia="仿宋_GB2312"/>
      <w:sz w:val="28"/>
      <w:szCs w:val="24"/>
      <w:lang w:val="zh-CN"/>
    </w:rPr>
  </w:style>
  <w:style w:type="character" w:customStyle="1" w:styleId="284">
    <w:name w:val="尾注文本 Char"/>
    <w:autoRedefine/>
    <w:qFormat/>
    <w:uiPriority w:val="0"/>
    <w:rPr>
      <w:kern w:val="2"/>
      <w:sz w:val="21"/>
      <w:szCs w:val="24"/>
    </w:rPr>
  </w:style>
  <w:style w:type="character" w:customStyle="1" w:styleId="285">
    <w:name w:val="签名 字符"/>
    <w:autoRedefine/>
    <w:qFormat/>
    <w:uiPriority w:val="0"/>
    <w:rPr>
      <w:kern w:val="2"/>
      <w:sz w:val="21"/>
      <w:szCs w:val="24"/>
    </w:rPr>
  </w:style>
  <w:style w:type="character" w:customStyle="1" w:styleId="286">
    <w:name w:val="签名 字符2"/>
    <w:link w:val="54"/>
    <w:autoRedefine/>
    <w:qFormat/>
    <w:locked/>
    <w:uiPriority w:val="0"/>
    <w:rPr>
      <w:rFonts w:ascii="Arial" w:hAnsi="Arial" w:eastAsia="仿宋_GB2312"/>
      <w:lang w:val="zh-CN"/>
    </w:rPr>
  </w:style>
  <w:style w:type="character" w:customStyle="1" w:styleId="287">
    <w:name w:val="签名 Char"/>
    <w:autoRedefine/>
    <w:qFormat/>
    <w:uiPriority w:val="0"/>
    <w:rPr>
      <w:kern w:val="2"/>
      <w:sz w:val="21"/>
      <w:szCs w:val="24"/>
    </w:rPr>
  </w:style>
  <w:style w:type="paragraph" w:customStyle="1" w:styleId="288">
    <w:name w:val="目录 112"/>
    <w:basedOn w:val="1"/>
    <w:next w:val="1"/>
    <w:link w:val="289"/>
    <w:autoRedefine/>
    <w:qFormat/>
    <w:locked/>
    <w:uiPriority w:val="39"/>
    <w:pPr>
      <w:tabs>
        <w:tab w:val="right" w:leader="dot" w:pos="9344"/>
      </w:tabs>
      <w:jc w:val="center"/>
    </w:pPr>
    <w:rPr>
      <w:b/>
      <w:sz w:val="32"/>
      <w:szCs w:val="32"/>
    </w:rPr>
  </w:style>
  <w:style w:type="character" w:customStyle="1" w:styleId="289">
    <w:name w:val="目录 1 字符1"/>
    <w:link w:val="288"/>
    <w:autoRedefine/>
    <w:qFormat/>
    <w:uiPriority w:val="39"/>
    <w:rPr>
      <w:b/>
      <w:kern w:val="2"/>
      <w:sz w:val="32"/>
      <w:szCs w:val="32"/>
    </w:rPr>
  </w:style>
  <w:style w:type="character" w:customStyle="1" w:styleId="290">
    <w:name w:val="副标题 字符"/>
    <w:autoRedefine/>
    <w:qFormat/>
    <w:uiPriority w:val="0"/>
    <w:rPr>
      <w:rFonts w:ascii="等线 Light" w:hAnsi="等线 Light" w:cs="Times New Roman"/>
      <w:b/>
      <w:bCs/>
      <w:kern w:val="28"/>
      <w:sz w:val="32"/>
      <w:szCs w:val="32"/>
    </w:rPr>
  </w:style>
  <w:style w:type="character" w:customStyle="1" w:styleId="291">
    <w:name w:val="副标题 字符2"/>
    <w:link w:val="57"/>
    <w:autoRedefine/>
    <w:qFormat/>
    <w:locked/>
    <w:uiPriority w:val="0"/>
    <w:rPr>
      <w:rFonts w:ascii="Cambria" w:hAnsi="Cambria"/>
      <w:sz w:val="24"/>
      <w:szCs w:val="24"/>
      <w:lang w:val="zh-CN"/>
    </w:rPr>
  </w:style>
  <w:style w:type="character" w:customStyle="1" w:styleId="292">
    <w:name w:val="副标题 Char"/>
    <w:autoRedefine/>
    <w:qFormat/>
    <w:uiPriority w:val="0"/>
    <w:rPr>
      <w:rFonts w:ascii="Calibri Light" w:hAnsi="Calibri Light" w:cs="Times New Roman"/>
      <w:b/>
      <w:bCs/>
      <w:kern w:val="28"/>
      <w:sz w:val="32"/>
      <w:szCs w:val="32"/>
    </w:rPr>
  </w:style>
  <w:style w:type="character" w:customStyle="1" w:styleId="293">
    <w:name w:val="脚注文本 字符"/>
    <w:link w:val="60"/>
    <w:autoRedefine/>
    <w:qFormat/>
    <w:uiPriority w:val="0"/>
    <w:rPr>
      <w:rFonts w:ascii="Arial" w:hAnsi="Arial" w:eastAsia="仿宋_GB2312"/>
      <w:sz w:val="18"/>
      <w:szCs w:val="18"/>
      <w:lang w:val="zh-CN"/>
    </w:rPr>
  </w:style>
  <w:style w:type="character" w:customStyle="1" w:styleId="294">
    <w:name w:val="脚注文本 Char"/>
    <w:autoRedefine/>
    <w:qFormat/>
    <w:uiPriority w:val="0"/>
    <w:rPr>
      <w:kern w:val="2"/>
      <w:sz w:val="18"/>
      <w:szCs w:val="18"/>
    </w:rPr>
  </w:style>
  <w:style w:type="paragraph" w:customStyle="1" w:styleId="295">
    <w:name w:val="目录 612"/>
    <w:basedOn w:val="1"/>
    <w:next w:val="1"/>
    <w:autoRedefine/>
    <w:unhideWhenUsed/>
    <w:qFormat/>
    <w:locked/>
    <w:uiPriority w:val="39"/>
    <w:pPr>
      <w:ind w:left="2100" w:leftChars="1000"/>
    </w:pPr>
    <w:rPr>
      <w:rFonts w:ascii="Calibri" w:hAnsi="Calibri"/>
      <w:szCs w:val="22"/>
    </w:rPr>
  </w:style>
  <w:style w:type="character" w:customStyle="1" w:styleId="296">
    <w:name w:val="正文文本缩进 3 字符2"/>
    <w:autoRedefine/>
    <w:qFormat/>
    <w:uiPriority w:val="99"/>
    <w:rPr>
      <w:rFonts w:ascii="仿宋_GB2312" w:eastAsia="仿宋_GB2312"/>
      <w:kern w:val="2"/>
      <w:sz w:val="30"/>
    </w:rPr>
  </w:style>
  <w:style w:type="paragraph" w:customStyle="1" w:styleId="297">
    <w:name w:val="目录 212"/>
    <w:basedOn w:val="1"/>
    <w:next w:val="1"/>
    <w:autoRedefine/>
    <w:qFormat/>
    <w:locked/>
    <w:uiPriority w:val="39"/>
    <w:pPr>
      <w:ind w:left="420" w:leftChars="200"/>
    </w:pPr>
  </w:style>
  <w:style w:type="paragraph" w:customStyle="1" w:styleId="298">
    <w:name w:val="目录 9111"/>
    <w:basedOn w:val="1"/>
    <w:next w:val="1"/>
    <w:autoRedefine/>
    <w:unhideWhenUsed/>
    <w:qFormat/>
    <w:locked/>
    <w:uiPriority w:val="39"/>
    <w:pPr>
      <w:ind w:left="3360" w:leftChars="1600"/>
    </w:pPr>
    <w:rPr>
      <w:rFonts w:ascii="Calibri" w:hAnsi="Calibri"/>
      <w:szCs w:val="22"/>
    </w:rPr>
  </w:style>
  <w:style w:type="character" w:customStyle="1" w:styleId="299">
    <w:name w:val="正文文本 2 字符2"/>
    <w:autoRedefine/>
    <w:qFormat/>
    <w:locked/>
    <w:uiPriority w:val="0"/>
    <w:rPr>
      <w:kern w:val="2"/>
      <w:sz w:val="28"/>
    </w:rPr>
  </w:style>
  <w:style w:type="character" w:customStyle="1" w:styleId="300">
    <w:name w:val="信息标题 字符"/>
    <w:autoRedefine/>
    <w:qFormat/>
    <w:uiPriority w:val="0"/>
    <w:rPr>
      <w:rFonts w:ascii="等线 Light" w:hAnsi="等线 Light" w:eastAsia="等线 Light" w:cs="Times New Roman"/>
      <w:kern w:val="2"/>
      <w:sz w:val="24"/>
      <w:szCs w:val="24"/>
      <w:shd w:val="pct20" w:color="auto" w:fill="auto"/>
    </w:rPr>
  </w:style>
  <w:style w:type="character" w:customStyle="1" w:styleId="301">
    <w:name w:val="信息标题 字符2"/>
    <w:link w:val="69"/>
    <w:autoRedefine/>
    <w:qFormat/>
    <w:locked/>
    <w:uiPriority w:val="0"/>
    <w:rPr>
      <w:rFonts w:ascii="Arial" w:hAnsi="Arial" w:eastAsia="仿宋_GB2312"/>
      <w:shd w:val="pct20" w:color="auto" w:fill="auto"/>
      <w:lang w:val="zh-CN"/>
    </w:rPr>
  </w:style>
  <w:style w:type="character" w:customStyle="1" w:styleId="302">
    <w:name w:val="信息标题 Char"/>
    <w:autoRedefine/>
    <w:qFormat/>
    <w:uiPriority w:val="0"/>
    <w:rPr>
      <w:rFonts w:ascii="Calibri Light" w:hAnsi="Calibri Light" w:eastAsia="宋体" w:cs="Times New Roman"/>
      <w:kern w:val="2"/>
      <w:sz w:val="24"/>
      <w:szCs w:val="24"/>
      <w:shd w:val="pct20" w:color="auto" w:fill="auto"/>
    </w:rPr>
  </w:style>
  <w:style w:type="character" w:customStyle="1" w:styleId="303">
    <w:name w:val="HTML 预设格式 字符1"/>
    <w:autoRedefine/>
    <w:qFormat/>
    <w:locked/>
    <w:uiPriority w:val="0"/>
    <w:rPr>
      <w:rFonts w:ascii="Arial" w:hAnsi="Arial" w:cs="Arial"/>
      <w:sz w:val="21"/>
      <w:szCs w:val="21"/>
    </w:rPr>
  </w:style>
  <w:style w:type="character" w:customStyle="1" w:styleId="304">
    <w:name w:val="标题 字符"/>
    <w:autoRedefine/>
    <w:qFormat/>
    <w:uiPriority w:val="0"/>
    <w:rPr>
      <w:rFonts w:ascii="等线 Light" w:hAnsi="等线 Light" w:cs="Times New Roman"/>
      <w:b/>
      <w:bCs/>
      <w:kern w:val="2"/>
      <w:sz w:val="32"/>
      <w:szCs w:val="32"/>
    </w:rPr>
  </w:style>
  <w:style w:type="character" w:customStyle="1" w:styleId="305">
    <w:name w:val="标题 字符2"/>
    <w:link w:val="75"/>
    <w:autoRedefine/>
    <w:qFormat/>
    <w:locked/>
    <w:uiPriority w:val="0"/>
    <w:rPr>
      <w:rFonts w:ascii="Arial" w:hAnsi="Arial"/>
      <w:b/>
      <w:bCs/>
      <w:kern w:val="2"/>
      <w:sz w:val="32"/>
      <w:szCs w:val="32"/>
      <w:lang w:val="zh-CN"/>
    </w:rPr>
  </w:style>
  <w:style w:type="character" w:customStyle="1" w:styleId="306">
    <w:name w:val="标题 Char"/>
    <w:autoRedefine/>
    <w:qFormat/>
    <w:uiPriority w:val="0"/>
    <w:rPr>
      <w:rFonts w:ascii="Calibri Light" w:hAnsi="Calibri Light" w:cs="Times New Roman"/>
      <w:b/>
      <w:bCs/>
      <w:kern w:val="2"/>
      <w:sz w:val="32"/>
      <w:szCs w:val="32"/>
    </w:rPr>
  </w:style>
  <w:style w:type="character" w:customStyle="1" w:styleId="307">
    <w:name w:val="正文首行缩进 字符1"/>
    <w:autoRedefine/>
    <w:qFormat/>
    <w:uiPriority w:val="0"/>
    <w:rPr>
      <w:kern w:val="2"/>
      <w:sz w:val="21"/>
      <w:szCs w:val="24"/>
    </w:rPr>
  </w:style>
  <w:style w:type="paragraph" w:customStyle="1" w:styleId="308">
    <w:name w:val="正文首行缩进 212"/>
    <w:basedOn w:val="34"/>
    <w:link w:val="310"/>
    <w:autoRedefine/>
    <w:qFormat/>
    <w:locked/>
    <w:uiPriority w:val="0"/>
    <w:pPr>
      <w:widowControl/>
      <w:ind w:firstLine="420" w:firstLineChars="200"/>
      <w:jc w:val="left"/>
    </w:pPr>
    <w:rPr>
      <w:kern w:val="2"/>
      <w:lang w:val="zh-CN"/>
    </w:rPr>
  </w:style>
  <w:style w:type="character" w:customStyle="1" w:styleId="309">
    <w:name w:val="正文首行缩进 2 字符"/>
    <w:autoRedefine/>
    <w:qFormat/>
    <w:uiPriority w:val="0"/>
    <w:rPr>
      <w:rFonts w:ascii="Times New Roman" w:hAnsi="Times New Roman" w:eastAsia="宋体"/>
      <w:kern w:val="2"/>
      <w:sz w:val="21"/>
      <w:szCs w:val="24"/>
    </w:rPr>
  </w:style>
  <w:style w:type="character" w:customStyle="1" w:styleId="310">
    <w:name w:val="正文首行缩进 2 字符2"/>
    <w:link w:val="308"/>
    <w:autoRedefine/>
    <w:qFormat/>
    <w:uiPriority w:val="0"/>
    <w:rPr>
      <w:kern w:val="2"/>
      <w:sz w:val="24"/>
      <w:lang w:val="zh-CN"/>
    </w:rPr>
  </w:style>
  <w:style w:type="character" w:customStyle="1" w:styleId="311">
    <w:name w:val="正文首行缩进 2 Char"/>
    <w:link w:val="312"/>
    <w:autoRedefine/>
    <w:qFormat/>
    <w:uiPriority w:val="0"/>
    <w:rPr>
      <w:kern w:val="2"/>
      <w:sz w:val="21"/>
      <w:szCs w:val="24"/>
    </w:rPr>
  </w:style>
  <w:style w:type="paragraph" w:customStyle="1" w:styleId="312">
    <w:name w:val="正文首行缩进 211"/>
    <w:basedOn w:val="34"/>
    <w:link w:val="311"/>
    <w:autoRedefine/>
    <w:qFormat/>
    <w:uiPriority w:val="0"/>
    <w:pPr>
      <w:widowControl/>
      <w:ind w:firstLine="420" w:firstLineChars="200"/>
      <w:jc w:val="left"/>
    </w:pPr>
    <w:rPr>
      <w:kern w:val="2"/>
      <w:sz w:val="21"/>
      <w:szCs w:val="24"/>
    </w:rPr>
  </w:style>
  <w:style w:type="character" w:customStyle="1" w:styleId="313">
    <w:name w:val="样式1 Char"/>
    <w:link w:val="200"/>
    <w:autoRedefine/>
    <w:qFormat/>
    <w:uiPriority w:val="0"/>
    <w:rPr>
      <w:rFonts w:ascii="黑体" w:hAnsi="黑体" w:eastAsia="黑体"/>
      <w:kern w:val="2"/>
      <w:sz w:val="21"/>
      <w:szCs w:val="21"/>
    </w:rPr>
  </w:style>
  <w:style w:type="character" w:customStyle="1" w:styleId="314">
    <w:name w:val="报告 Char"/>
    <w:link w:val="315"/>
    <w:autoRedefine/>
    <w:qFormat/>
    <w:uiPriority w:val="0"/>
    <w:rPr>
      <w:rFonts w:ascii="TimesNewRoman" w:hAnsi="TimesNewRoman"/>
      <w:sz w:val="24"/>
    </w:rPr>
  </w:style>
  <w:style w:type="paragraph" w:customStyle="1" w:styleId="315">
    <w:name w:val="报告"/>
    <w:basedOn w:val="1"/>
    <w:link w:val="314"/>
    <w:autoRedefine/>
    <w:qFormat/>
    <w:uiPriority w:val="0"/>
    <w:pPr>
      <w:adjustRightInd w:val="0"/>
      <w:spacing w:line="360" w:lineRule="auto"/>
      <w:ind w:firstLine="505"/>
      <w:textAlignment w:val="center"/>
    </w:pPr>
    <w:rPr>
      <w:rFonts w:ascii="TimesNewRoman" w:hAnsi="TimesNewRoman"/>
      <w:kern w:val="0"/>
      <w:sz w:val="24"/>
      <w:szCs w:val="20"/>
    </w:rPr>
  </w:style>
  <w:style w:type="character" w:customStyle="1" w:styleId="316">
    <w:name w:val="Plain Text Char"/>
    <w:autoRedefine/>
    <w:qFormat/>
    <w:locked/>
    <w:uiPriority w:val="0"/>
    <w:rPr>
      <w:rFonts w:ascii="宋体" w:hAnsi="Courier New" w:cs="Times New Roman"/>
      <w:kern w:val="2"/>
      <w:sz w:val="21"/>
      <w:szCs w:val="21"/>
      <w:lang w:bidi="ar-SA"/>
    </w:rPr>
  </w:style>
  <w:style w:type="character" w:customStyle="1" w:styleId="317">
    <w:name w:val="apple-style-span"/>
    <w:autoRedefine/>
    <w:qFormat/>
    <w:uiPriority w:val="0"/>
  </w:style>
  <w:style w:type="character" w:customStyle="1" w:styleId="318">
    <w:name w:val="font21"/>
    <w:autoRedefine/>
    <w:qFormat/>
    <w:uiPriority w:val="0"/>
    <w:rPr>
      <w:rFonts w:hint="eastAsia" w:ascii="宋体" w:hAnsi="宋体" w:eastAsia="宋体" w:cs="宋体"/>
      <w:color w:val="000000"/>
      <w:sz w:val="21"/>
      <w:szCs w:val="21"/>
      <w:u w:val="none"/>
      <w:vertAlign w:val="subscript"/>
    </w:rPr>
  </w:style>
  <w:style w:type="character" w:customStyle="1" w:styleId="319">
    <w:name w:val="表格内容 Char Char"/>
    <w:link w:val="320"/>
    <w:autoRedefine/>
    <w:qFormat/>
    <w:uiPriority w:val="0"/>
    <w:rPr>
      <w:rFonts w:ascii="宋体" w:hAnsi="宋体" w:cs="宋体"/>
      <w:kern w:val="2"/>
      <w:sz w:val="21"/>
    </w:rPr>
  </w:style>
  <w:style w:type="paragraph" w:customStyle="1" w:styleId="320">
    <w:name w:val="表格内容"/>
    <w:basedOn w:val="321"/>
    <w:next w:val="1"/>
    <w:link w:val="319"/>
    <w:autoRedefine/>
    <w:qFormat/>
    <w:uiPriority w:val="0"/>
    <w:pPr>
      <w:spacing w:line="320" w:lineRule="exact"/>
      <w:jc w:val="center"/>
    </w:pPr>
    <w:rPr>
      <w:rFonts w:ascii="宋体" w:hAnsi="宋体" w:cs="宋体"/>
      <w:szCs w:val="20"/>
    </w:rPr>
  </w:style>
  <w:style w:type="paragraph" w:customStyle="1" w:styleId="321">
    <w:name w:val="表格2"/>
    <w:basedOn w:val="1"/>
    <w:link w:val="1478"/>
    <w:autoRedefine/>
    <w:qFormat/>
    <w:uiPriority w:val="0"/>
    <w:pPr>
      <w:adjustRightInd w:val="0"/>
      <w:snapToGrid w:val="0"/>
      <w:outlineLvl w:val="0"/>
    </w:pPr>
    <w:rPr>
      <w:kern w:val="10"/>
      <w:sz w:val="24"/>
      <w:szCs w:val="20"/>
      <w:lang w:val="zh-CN"/>
    </w:rPr>
  </w:style>
  <w:style w:type="character" w:customStyle="1" w:styleId="322">
    <w:name w:val="hhcwt表格内文字 Char"/>
    <w:link w:val="323"/>
    <w:autoRedefine/>
    <w:qFormat/>
    <w:uiPriority w:val="0"/>
    <w:rPr>
      <w:rFonts w:eastAsia="仿宋_GB2312" w:cs="宋体"/>
      <w:kern w:val="2"/>
      <w:sz w:val="21"/>
      <w:szCs w:val="21"/>
    </w:rPr>
  </w:style>
  <w:style w:type="paragraph" w:customStyle="1" w:styleId="323">
    <w:name w:val="hhcwt表格内文字"/>
    <w:basedOn w:val="1"/>
    <w:link w:val="322"/>
    <w:autoRedefine/>
    <w:qFormat/>
    <w:uiPriority w:val="0"/>
    <w:pPr>
      <w:jc w:val="center"/>
    </w:pPr>
    <w:rPr>
      <w:rFonts w:eastAsia="仿宋_GB2312" w:cs="宋体"/>
      <w:szCs w:val="21"/>
    </w:rPr>
  </w:style>
  <w:style w:type="character" w:customStyle="1" w:styleId="324">
    <w:name w:val="表头 Char"/>
    <w:link w:val="325"/>
    <w:autoRedefine/>
    <w:qFormat/>
    <w:uiPriority w:val="0"/>
    <w:rPr>
      <w:rFonts w:ascii="黑体" w:hAnsi="宋体" w:eastAsia="黑体"/>
      <w:b/>
      <w:kern w:val="2"/>
      <w:sz w:val="24"/>
    </w:rPr>
  </w:style>
  <w:style w:type="paragraph" w:customStyle="1" w:styleId="325">
    <w:name w:val="表头"/>
    <w:basedOn w:val="1"/>
    <w:link w:val="324"/>
    <w:autoRedefine/>
    <w:qFormat/>
    <w:uiPriority w:val="0"/>
    <w:pPr>
      <w:spacing w:line="360" w:lineRule="auto"/>
      <w:jc w:val="center"/>
    </w:pPr>
    <w:rPr>
      <w:rFonts w:ascii="黑体" w:hAnsi="宋体" w:eastAsia="黑体"/>
      <w:b/>
      <w:sz w:val="24"/>
      <w:szCs w:val="20"/>
    </w:rPr>
  </w:style>
  <w:style w:type="character" w:customStyle="1" w:styleId="326">
    <w:name w:val="报告正文（25磅固定段落） Char"/>
    <w:link w:val="327"/>
    <w:autoRedefine/>
    <w:qFormat/>
    <w:uiPriority w:val="0"/>
    <w:rPr>
      <w:rFonts w:ascii="宋体" w:hAnsi="宋体"/>
      <w:kern w:val="2"/>
      <w:sz w:val="28"/>
      <w:szCs w:val="28"/>
    </w:rPr>
  </w:style>
  <w:style w:type="paragraph" w:customStyle="1" w:styleId="327">
    <w:name w:val="报告正文（25磅固定段落）"/>
    <w:basedOn w:val="12"/>
    <w:link w:val="326"/>
    <w:autoRedefine/>
    <w:qFormat/>
    <w:uiPriority w:val="0"/>
    <w:pPr>
      <w:spacing w:line="500" w:lineRule="exact"/>
      <w:ind w:firstLine="560"/>
    </w:pPr>
    <w:rPr>
      <w:rFonts w:ascii="宋体" w:hAnsi="宋体"/>
      <w:sz w:val="28"/>
      <w:szCs w:val="28"/>
    </w:rPr>
  </w:style>
  <w:style w:type="paragraph" w:customStyle="1" w:styleId="328">
    <w:name w:val="IDC A-Head (2nd Line)"/>
    <w:basedOn w:val="1"/>
    <w:next w:val="1"/>
    <w:autoRedefine/>
    <w:qFormat/>
    <w:uiPriority w:val="0"/>
    <w:pPr>
      <w:widowControl/>
      <w:jc w:val="center"/>
    </w:pPr>
    <w:rPr>
      <w:rFonts w:ascii="Arial" w:eastAsia="楷体_GB2312"/>
      <w:caps/>
      <w:spacing w:val="-6"/>
      <w:kern w:val="0"/>
      <w:sz w:val="28"/>
      <w:szCs w:val="20"/>
    </w:rPr>
  </w:style>
  <w:style w:type="paragraph" w:customStyle="1" w:styleId="329">
    <w:name w:val="WPSOffice手动目录 1"/>
    <w:autoRedefine/>
    <w:qFormat/>
    <w:uiPriority w:val="0"/>
    <w:rPr>
      <w:rFonts w:ascii="Times New Roman" w:hAnsi="Times New Roman" w:eastAsia="宋体" w:cs="Times New Roman"/>
      <w:lang w:val="en-US" w:eastAsia="zh-CN" w:bidi="ar-SA"/>
    </w:rPr>
  </w:style>
  <w:style w:type="paragraph" w:customStyle="1" w:styleId="330">
    <w:name w:val="一级条标题"/>
    <w:basedOn w:val="331"/>
    <w:next w:val="1"/>
    <w:link w:val="333"/>
    <w:autoRedefine/>
    <w:qFormat/>
    <w:uiPriority w:val="0"/>
    <w:pPr>
      <w:tabs>
        <w:tab w:val="left" w:pos="360"/>
        <w:tab w:val="left" w:pos="780"/>
        <w:tab w:val="left" w:pos="903"/>
      </w:tabs>
      <w:ind w:left="360" w:leftChars="200" w:hanging="360" w:hangingChars="200"/>
      <w:outlineLvl w:val="2"/>
    </w:pPr>
  </w:style>
  <w:style w:type="paragraph" w:customStyle="1" w:styleId="331">
    <w:name w:val="章标题"/>
    <w:next w:val="1"/>
    <w:link w:val="332"/>
    <w:autoRedefine/>
    <w:qFormat/>
    <w:uiPriority w:val="0"/>
    <w:pPr>
      <w:tabs>
        <w:tab w:val="left" w:pos="903"/>
      </w:tabs>
      <w:spacing w:before="50" w:after="50"/>
      <w:ind w:left="903" w:hanging="315"/>
      <w:jc w:val="both"/>
      <w:outlineLvl w:val="1"/>
    </w:pPr>
    <w:rPr>
      <w:rFonts w:ascii="黑体" w:hAnsi="Times New Roman" w:eastAsia="黑体" w:cs="Times New Roman"/>
      <w:sz w:val="21"/>
      <w:lang w:val="en-US" w:eastAsia="zh-CN" w:bidi="ar-SA"/>
    </w:rPr>
  </w:style>
  <w:style w:type="character" w:customStyle="1" w:styleId="332">
    <w:name w:val="章标题 Char"/>
    <w:link w:val="331"/>
    <w:autoRedefine/>
    <w:qFormat/>
    <w:uiPriority w:val="0"/>
    <w:rPr>
      <w:rFonts w:ascii="黑体" w:eastAsia="黑体"/>
      <w:sz w:val="21"/>
    </w:rPr>
  </w:style>
  <w:style w:type="character" w:customStyle="1" w:styleId="333">
    <w:name w:val="一级条标题 Char"/>
    <w:link w:val="330"/>
    <w:autoRedefine/>
    <w:qFormat/>
    <w:locked/>
    <w:uiPriority w:val="0"/>
    <w:rPr>
      <w:rFonts w:ascii="黑体" w:eastAsia="黑体"/>
      <w:sz w:val="21"/>
    </w:rPr>
  </w:style>
  <w:style w:type="paragraph" w:customStyle="1" w:styleId="334">
    <w:name w:val="表格 23"/>
    <w:basedOn w:val="1"/>
    <w:autoRedefine/>
    <w:qFormat/>
    <w:uiPriority w:val="0"/>
    <w:pPr>
      <w:autoSpaceDE w:val="0"/>
      <w:autoSpaceDN w:val="0"/>
      <w:adjustRightInd w:val="0"/>
      <w:jc w:val="center"/>
      <w:textAlignment w:val="baseline"/>
    </w:pPr>
    <w:rPr>
      <w:rFonts w:eastAsia="仿宋体"/>
      <w:kern w:val="0"/>
      <w:szCs w:val="20"/>
    </w:rPr>
  </w:style>
  <w:style w:type="paragraph" w:customStyle="1" w:styleId="335">
    <w:name w:val="_Style 62"/>
    <w:basedOn w:val="1"/>
    <w:autoRedefine/>
    <w:qFormat/>
    <w:uiPriority w:val="0"/>
    <w:pPr>
      <w:pageBreakBefore/>
      <w:tabs>
        <w:tab w:val="left" w:pos="360"/>
      </w:tabs>
      <w:snapToGrid w:val="0"/>
      <w:spacing w:line="360" w:lineRule="auto"/>
    </w:pPr>
  </w:style>
  <w:style w:type="paragraph" w:customStyle="1" w:styleId="336">
    <w:name w:val="Char Char Char Char Char Char Char6"/>
    <w:basedOn w:val="1"/>
    <w:autoRedefine/>
    <w:qFormat/>
    <w:uiPriority w:val="0"/>
    <w:pPr>
      <w:widowControl/>
      <w:spacing w:after="160" w:line="240" w:lineRule="exact"/>
      <w:jc w:val="left"/>
    </w:pPr>
    <w:rPr>
      <w:rFonts w:ascii="Verdana" w:hAnsi="Verdana"/>
      <w:kern w:val="0"/>
      <w:sz w:val="20"/>
      <w:szCs w:val="20"/>
      <w:lang w:eastAsia="en-US"/>
    </w:rPr>
  </w:style>
  <w:style w:type="paragraph" w:customStyle="1" w:styleId="337">
    <w:name w:val="正文01"/>
    <w:basedOn w:val="1"/>
    <w:link w:val="338"/>
    <w:autoRedefine/>
    <w:qFormat/>
    <w:uiPriority w:val="0"/>
    <w:pPr>
      <w:spacing w:before="60" w:line="460" w:lineRule="exact"/>
      <w:ind w:firstLine="200" w:firstLineChars="200"/>
    </w:pPr>
    <w:rPr>
      <w:sz w:val="24"/>
      <w:szCs w:val="20"/>
    </w:rPr>
  </w:style>
  <w:style w:type="character" w:customStyle="1" w:styleId="338">
    <w:name w:val="正文01 Char"/>
    <w:link w:val="337"/>
    <w:autoRedefine/>
    <w:qFormat/>
    <w:uiPriority w:val="0"/>
    <w:rPr>
      <w:kern w:val="2"/>
      <w:sz w:val="24"/>
    </w:rPr>
  </w:style>
  <w:style w:type="paragraph" w:customStyle="1" w:styleId="339">
    <w:name w:val="列出段落3"/>
    <w:basedOn w:val="1"/>
    <w:autoRedefine/>
    <w:qFormat/>
    <w:uiPriority w:val="0"/>
    <w:pPr>
      <w:ind w:firstLine="420" w:firstLineChars="200"/>
    </w:pPr>
    <w:rPr>
      <w:rFonts w:ascii="Calibri" w:hAnsi="Calibri" w:cs="宋体"/>
      <w:szCs w:val="21"/>
    </w:rPr>
  </w:style>
  <w:style w:type="paragraph" w:customStyle="1" w:styleId="340">
    <w:name w:val="默认段落字体 Para Char Char Char Char Char Char Char Char Char Char"/>
    <w:basedOn w:val="1"/>
    <w:autoRedefine/>
    <w:qFormat/>
    <w:uiPriority w:val="0"/>
    <w:pPr>
      <w:adjustRightInd w:val="0"/>
      <w:spacing w:line="360" w:lineRule="atLeast"/>
      <w:textAlignment w:val="baseline"/>
    </w:pPr>
  </w:style>
  <w:style w:type="paragraph" w:customStyle="1" w:styleId="341">
    <w:name w:val="图表标题"/>
    <w:basedOn w:val="315"/>
    <w:next w:val="342"/>
    <w:autoRedefine/>
    <w:qFormat/>
    <w:uiPriority w:val="0"/>
    <w:pPr>
      <w:snapToGrid w:val="0"/>
      <w:spacing w:line="240" w:lineRule="auto"/>
      <w:ind w:firstLine="0"/>
      <w:jc w:val="center"/>
      <w:textAlignment w:val="baseline"/>
    </w:pPr>
    <w:rPr>
      <w:rFonts w:ascii="Times New Roman" w:hAnsi="Times New Roman"/>
      <w:b/>
      <w:kern w:val="2"/>
      <w:szCs w:val="24"/>
    </w:rPr>
  </w:style>
  <w:style w:type="paragraph" w:customStyle="1" w:styleId="342">
    <w:name w:val="报告表格"/>
    <w:basedOn w:val="1"/>
    <w:autoRedefine/>
    <w:qFormat/>
    <w:uiPriority w:val="0"/>
    <w:pPr>
      <w:autoSpaceDE w:val="0"/>
      <w:autoSpaceDN w:val="0"/>
      <w:adjustRightInd w:val="0"/>
      <w:spacing w:before="20" w:after="20"/>
      <w:jc w:val="center"/>
      <w:textAlignment w:val="center"/>
    </w:pPr>
    <w:rPr>
      <w:kern w:val="0"/>
      <w:szCs w:val="21"/>
    </w:rPr>
  </w:style>
  <w:style w:type="paragraph" w:customStyle="1" w:styleId="343">
    <w:name w:val="正文1"/>
    <w:basedOn w:val="1"/>
    <w:link w:val="3131"/>
    <w:autoRedefine/>
    <w:qFormat/>
    <w:uiPriority w:val="0"/>
    <w:pPr>
      <w:adjustRightInd w:val="0"/>
      <w:snapToGrid w:val="0"/>
      <w:spacing w:line="500" w:lineRule="atLeast"/>
      <w:ind w:firstLine="567"/>
    </w:pPr>
    <w:rPr>
      <w:sz w:val="28"/>
      <w:szCs w:val="20"/>
    </w:rPr>
  </w:style>
  <w:style w:type="character" w:customStyle="1" w:styleId="344">
    <w:name w:val="正文1 Char"/>
    <w:link w:val="343"/>
    <w:autoRedefine/>
    <w:qFormat/>
    <w:locked/>
    <w:uiPriority w:val="0"/>
    <w:rPr>
      <w:kern w:val="2"/>
      <w:sz w:val="28"/>
    </w:rPr>
  </w:style>
  <w:style w:type="paragraph" w:customStyle="1" w:styleId="345">
    <w:name w:val="样式 样式 样式 首行缩进:  1 字符 + 首行缩进:  2 字符1 + 首行缩进:  2 字符2"/>
    <w:basedOn w:val="1"/>
    <w:autoRedefine/>
    <w:qFormat/>
    <w:uiPriority w:val="0"/>
    <w:pPr>
      <w:spacing w:line="360" w:lineRule="auto"/>
      <w:ind w:firstLine="480" w:firstLineChars="200"/>
    </w:pPr>
    <w:rPr>
      <w:rFonts w:cs="宋体"/>
      <w:sz w:val="24"/>
      <w:szCs w:val="20"/>
    </w:rPr>
  </w:style>
  <w:style w:type="paragraph" w:customStyle="1" w:styleId="346">
    <w:name w:val="无间隔1"/>
    <w:autoRedefine/>
    <w:qFormat/>
    <w:uiPriority w:val="1"/>
    <w:pPr>
      <w:widowControl w:val="0"/>
      <w:ind w:firstLine="200" w:firstLineChars="200"/>
      <w:jc w:val="both"/>
    </w:pPr>
    <w:rPr>
      <w:rFonts w:ascii="Times New Roman" w:hAnsi="Times New Roman" w:eastAsia="仿宋_GB2312" w:cs="Times New Roman"/>
      <w:kern w:val="2"/>
      <w:sz w:val="28"/>
      <w:szCs w:val="22"/>
      <w:lang w:val="en-US" w:eastAsia="zh-CN" w:bidi="ar-SA"/>
    </w:rPr>
  </w:style>
  <w:style w:type="paragraph" w:customStyle="1" w:styleId="347">
    <w:name w:val="p15"/>
    <w:basedOn w:val="1"/>
    <w:autoRedefine/>
    <w:qFormat/>
    <w:uiPriority w:val="0"/>
    <w:pPr>
      <w:widowControl/>
      <w:spacing w:before="100" w:after="100"/>
      <w:jc w:val="left"/>
    </w:pPr>
    <w:rPr>
      <w:rFonts w:ascii="宋体" w:hAnsi="宋体" w:cs="宋体"/>
      <w:kern w:val="0"/>
      <w:sz w:val="24"/>
    </w:rPr>
  </w:style>
  <w:style w:type="paragraph" w:customStyle="1" w:styleId="348">
    <w:name w:val="表名"/>
    <w:basedOn w:val="1"/>
    <w:autoRedefine/>
    <w:qFormat/>
    <w:uiPriority w:val="0"/>
    <w:pPr>
      <w:spacing w:line="400" w:lineRule="exact"/>
      <w:outlineLvl w:val="0"/>
    </w:pPr>
    <w:rPr>
      <w:rFonts w:ascii="黑体" w:eastAsia="黑体"/>
      <w:sz w:val="28"/>
    </w:rPr>
  </w:style>
  <w:style w:type="paragraph" w:customStyle="1" w:styleId="349">
    <w:name w:val="WPSOffice手动目录 2"/>
    <w:autoRedefine/>
    <w:qFormat/>
    <w:uiPriority w:val="0"/>
    <w:pPr>
      <w:ind w:left="200" w:leftChars="200"/>
    </w:pPr>
    <w:rPr>
      <w:rFonts w:ascii="Times New Roman" w:hAnsi="Times New Roman" w:eastAsia="宋体" w:cs="Times New Roman"/>
      <w:lang w:val="en-US" w:eastAsia="zh-CN" w:bidi="ar-SA"/>
    </w:rPr>
  </w:style>
  <w:style w:type="paragraph" w:customStyle="1" w:styleId="350">
    <w:name w:val="Char Char1 Char Char Char Char Char Char Char Char Char Char Char Char Char Char Char Char Char Char"/>
    <w:basedOn w:val="1"/>
    <w:autoRedefine/>
    <w:qFormat/>
    <w:uiPriority w:val="0"/>
    <w:pPr>
      <w:spacing w:line="360" w:lineRule="auto"/>
      <w:ind w:firstLine="200" w:firstLineChars="200"/>
    </w:pPr>
    <w:rPr>
      <w:rFonts w:ascii="宋体" w:hAnsi="宋体" w:cs="宋体"/>
      <w:sz w:val="24"/>
    </w:rPr>
  </w:style>
  <w:style w:type="paragraph" w:customStyle="1" w:styleId="351">
    <w:name w:val="居中正文"/>
    <w:basedOn w:val="1"/>
    <w:next w:val="1"/>
    <w:autoRedefine/>
    <w:qFormat/>
    <w:uiPriority w:val="0"/>
    <w:pPr>
      <w:adjustRightInd w:val="0"/>
      <w:spacing w:line="360" w:lineRule="auto"/>
      <w:jc w:val="center"/>
    </w:pPr>
    <w:rPr>
      <w:rFonts w:hint="eastAsia" w:ascii="宋体"/>
      <w:kern w:val="28"/>
      <w:sz w:val="24"/>
      <w:szCs w:val="20"/>
    </w:rPr>
  </w:style>
  <w:style w:type="paragraph" w:customStyle="1" w:styleId="352">
    <w:name w:val="Char Char Char Char Char Char Char Char Char1 Char"/>
    <w:basedOn w:val="1"/>
    <w:autoRedefine/>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353">
    <w:name w:val="表标题"/>
    <w:basedOn w:val="1"/>
    <w:link w:val="354"/>
    <w:autoRedefine/>
    <w:qFormat/>
    <w:uiPriority w:val="0"/>
    <w:pPr>
      <w:spacing w:line="460" w:lineRule="exact"/>
      <w:ind w:firstLine="200" w:firstLineChars="200"/>
      <w:jc w:val="center"/>
    </w:pPr>
    <w:rPr>
      <w:b/>
      <w:bCs/>
      <w:sz w:val="24"/>
    </w:rPr>
  </w:style>
  <w:style w:type="character" w:customStyle="1" w:styleId="354">
    <w:name w:val="表标题 Char"/>
    <w:link w:val="353"/>
    <w:autoRedefine/>
    <w:qFormat/>
    <w:locked/>
    <w:uiPriority w:val="0"/>
    <w:rPr>
      <w:b/>
      <w:bCs/>
      <w:kern w:val="2"/>
      <w:sz w:val="24"/>
      <w:szCs w:val="24"/>
    </w:rPr>
  </w:style>
  <w:style w:type="paragraph" w:customStyle="1" w:styleId="355">
    <w:name w:val="Char Char Char142"/>
    <w:basedOn w:val="1"/>
    <w:autoRedefine/>
    <w:qFormat/>
    <w:uiPriority w:val="0"/>
    <w:rPr>
      <w:sz w:val="24"/>
    </w:rPr>
  </w:style>
  <w:style w:type="paragraph" w:customStyle="1" w:styleId="356">
    <w:name w:val="表格13"/>
    <w:basedOn w:val="1"/>
    <w:autoRedefine/>
    <w:qFormat/>
    <w:uiPriority w:val="0"/>
    <w:pPr>
      <w:adjustRightInd w:val="0"/>
      <w:spacing w:line="260" w:lineRule="atLeast"/>
      <w:jc w:val="center"/>
      <w:textAlignment w:val="baseline"/>
    </w:pPr>
    <w:rPr>
      <w:rFonts w:ascii="宋体" w:cs="宋体"/>
      <w:kern w:val="0"/>
      <w:sz w:val="18"/>
      <w:szCs w:val="18"/>
      <w:lang w:val="zh-CN"/>
    </w:rPr>
  </w:style>
  <w:style w:type="paragraph" w:customStyle="1" w:styleId="357">
    <w:name w:val="Char Char Char Char Char Char Char111"/>
    <w:basedOn w:val="1"/>
    <w:autoRedefine/>
    <w:qFormat/>
    <w:uiPriority w:val="0"/>
  </w:style>
  <w:style w:type="paragraph" w:customStyle="1" w:styleId="358">
    <w:name w:val="表格五号"/>
    <w:basedOn w:val="1"/>
    <w:autoRedefine/>
    <w:qFormat/>
    <w:uiPriority w:val="0"/>
    <w:pPr>
      <w:tabs>
        <w:tab w:val="right" w:leader="dot" w:pos="8721"/>
      </w:tabs>
      <w:adjustRightInd w:val="0"/>
      <w:snapToGrid w:val="0"/>
      <w:spacing w:line="320" w:lineRule="exact"/>
      <w:ind w:left="-42" w:leftChars="-20" w:right="-42" w:rightChars="-20"/>
      <w:jc w:val="center"/>
      <w:textAlignment w:val="baseline"/>
    </w:pPr>
    <w:rPr>
      <w:snapToGrid w:val="0"/>
      <w:kern w:val="0"/>
      <w:szCs w:val="21"/>
    </w:rPr>
  </w:style>
  <w:style w:type="paragraph" w:customStyle="1" w:styleId="359">
    <w:name w:val="图表文字"/>
    <w:basedOn w:val="1"/>
    <w:link w:val="360"/>
    <w:autoRedefine/>
    <w:qFormat/>
    <w:uiPriority w:val="0"/>
    <w:pPr>
      <w:spacing w:line="300" w:lineRule="exact"/>
      <w:jc w:val="center"/>
    </w:pPr>
    <w:rPr>
      <w:bCs/>
      <w:szCs w:val="20"/>
    </w:rPr>
  </w:style>
  <w:style w:type="character" w:customStyle="1" w:styleId="360">
    <w:name w:val="图表文字 Char"/>
    <w:link w:val="359"/>
    <w:autoRedefine/>
    <w:qFormat/>
    <w:locked/>
    <w:uiPriority w:val="0"/>
    <w:rPr>
      <w:bCs/>
      <w:kern w:val="2"/>
      <w:sz w:val="21"/>
    </w:rPr>
  </w:style>
  <w:style w:type="paragraph" w:customStyle="1" w:styleId="361">
    <w:name w:val="xl23"/>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kern w:val="0"/>
      <w:sz w:val="24"/>
      <w:szCs w:val="20"/>
    </w:rPr>
  </w:style>
  <w:style w:type="paragraph" w:customStyle="1" w:styleId="362">
    <w:name w:val="Char Char Char Char Char Char Char1"/>
    <w:basedOn w:val="1"/>
    <w:autoRedefine/>
    <w:qFormat/>
    <w:uiPriority w:val="0"/>
    <w:pPr>
      <w:widowControl/>
      <w:spacing w:after="160" w:line="240" w:lineRule="exact"/>
      <w:jc w:val="left"/>
    </w:pPr>
    <w:rPr>
      <w:rFonts w:ascii="Verdana" w:hAnsi="Verdana"/>
      <w:kern w:val="0"/>
      <w:sz w:val="20"/>
      <w:szCs w:val="20"/>
      <w:lang w:eastAsia="en-US"/>
    </w:rPr>
  </w:style>
  <w:style w:type="paragraph" w:customStyle="1" w:styleId="363">
    <w:name w:val="Char Char Char Char Char Char Char Char Char1 Char11"/>
    <w:basedOn w:val="1"/>
    <w:autoRedefine/>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364">
    <w:name w:val="无间隔1112"/>
    <w:link w:val="365"/>
    <w:autoRedefine/>
    <w:qFormat/>
    <w:uiPriority w:val="0"/>
    <w:pPr>
      <w:widowControl w:val="0"/>
      <w:ind w:firstLine="200" w:firstLineChars="200"/>
      <w:jc w:val="both"/>
    </w:pPr>
    <w:rPr>
      <w:rFonts w:ascii="Times New Roman" w:hAnsi="Times New Roman" w:eastAsia="仿宋_GB2312" w:cs="Times New Roman"/>
      <w:kern w:val="2"/>
      <w:sz w:val="28"/>
      <w:szCs w:val="22"/>
      <w:lang w:val="en-US" w:eastAsia="zh-CN" w:bidi="ar-SA"/>
    </w:rPr>
  </w:style>
  <w:style w:type="character" w:customStyle="1" w:styleId="365">
    <w:name w:val="无间隔 字符"/>
    <w:link w:val="364"/>
    <w:autoRedefine/>
    <w:qFormat/>
    <w:uiPriority w:val="0"/>
    <w:rPr>
      <w:rFonts w:eastAsia="仿宋_GB2312"/>
      <w:kern w:val="2"/>
      <w:sz w:val="28"/>
      <w:szCs w:val="22"/>
    </w:rPr>
  </w:style>
  <w:style w:type="paragraph" w:customStyle="1" w:styleId="366">
    <w:name w:val="首行缩进"/>
    <w:basedOn w:val="1"/>
    <w:link w:val="367"/>
    <w:autoRedefine/>
    <w:qFormat/>
    <w:uiPriority w:val="0"/>
    <w:pPr>
      <w:spacing w:line="360" w:lineRule="auto"/>
      <w:ind w:firstLine="480" w:firstLineChars="200"/>
    </w:pPr>
    <w:rPr>
      <w:sz w:val="24"/>
      <w:lang w:val="zh-CN"/>
    </w:rPr>
  </w:style>
  <w:style w:type="character" w:customStyle="1" w:styleId="367">
    <w:name w:val="首行缩进 Char Char"/>
    <w:link w:val="366"/>
    <w:autoRedefine/>
    <w:qFormat/>
    <w:uiPriority w:val="0"/>
    <w:rPr>
      <w:kern w:val="2"/>
      <w:sz w:val="24"/>
      <w:szCs w:val="24"/>
      <w:lang w:val="zh-CN"/>
    </w:rPr>
  </w:style>
  <w:style w:type="paragraph" w:customStyle="1" w:styleId="368">
    <w:name w:val="Char Char1 Char Char Char Char Char Char Char Char Char Char Char Char Char Char Char Char Char Char1"/>
    <w:basedOn w:val="1"/>
    <w:autoRedefine/>
    <w:qFormat/>
    <w:uiPriority w:val="0"/>
    <w:pPr>
      <w:spacing w:line="360" w:lineRule="auto"/>
      <w:ind w:firstLine="200" w:firstLineChars="200"/>
    </w:pPr>
    <w:rPr>
      <w:rFonts w:ascii="宋体" w:hAnsi="宋体" w:cs="宋体"/>
      <w:sz w:val="24"/>
    </w:rPr>
  </w:style>
  <w:style w:type="paragraph" w:customStyle="1" w:styleId="369">
    <w:name w:val="Char Char Char1 Char111"/>
    <w:basedOn w:val="4"/>
    <w:autoRedefine/>
    <w:qFormat/>
    <w:uiPriority w:val="0"/>
    <w:pPr>
      <w:keepNext w:val="0"/>
      <w:keepLines w:val="0"/>
      <w:spacing w:before="100" w:beforeAutospacing="1" w:after="100" w:afterAutospacing="1" w:line="520" w:lineRule="exact"/>
    </w:pPr>
    <w:rPr>
      <w:rFonts w:ascii="Times New Roman" w:hAnsi="宋体" w:cs="Arial"/>
      <w:sz w:val="21"/>
      <w:szCs w:val="28"/>
      <w:lang w:val="zh-CN"/>
    </w:rPr>
  </w:style>
  <w:style w:type="paragraph" w:customStyle="1" w:styleId="370">
    <w:name w:val="正文7"/>
    <w:autoRedefine/>
    <w:qFormat/>
    <w:uiPriority w:val="0"/>
    <w:pPr>
      <w:jc w:val="both"/>
    </w:pPr>
    <w:rPr>
      <w:rFonts w:ascii="Times New Roman" w:hAnsi="Times New Roman" w:eastAsia="宋体" w:cs="Times New Roman"/>
      <w:kern w:val="2"/>
      <w:sz w:val="21"/>
      <w:szCs w:val="21"/>
      <w:lang w:val="en-US" w:eastAsia="zh-CN" w:bidi="ar-SA"/>
    </w:rPr>
  </w:style>
  <w:style w:type="paragraph" w:customStyle="1" w:styleId="371">
    <w:name w:val="Char Char Char141"/>
    <w:basedOn w:val="1"/>
    <w:link w:val="372"/>
    <w:autoRedefine/>
    <w:qFormat/>
    <w:uiPriority w:val="0"/>
    <w:rPr>
      <w:sz w:val="24"/>
      <w:lang w:val="zh-CN"/>
    </w:rPr>
  </w:style>
  <w:style w:type="character" w:customStyle="1" w:styleId="372">
    <w:name w:val="Char Char Char Char Char3"/>
    <w:link w:val="371"/>
    <w:autoRedefine/>
    <w:qFormat/>
    <w:uiPriority w:val="0"/>
    <w:rPr>
      <w:kern w:val="2"/>
      <w:sz w:val="24"/>
      <w:szCs w:val="24"/>
      <w:lang w:val="zh-CN"/>
    </w:rPr>
  </w:style>
  <w:style w:type="character" w:customStyle="1" w:styleId="373">
    <w:name w:val="纯文本 Char3"/>
    <w:autoRedefine/>
    <w:qFormat/>
    <w:uiPriority w:val="99"/>
    <w:rPr>
      <w:rFonts w:ascii="宋体" w:hAnsi="Courier New" w:cs="Courier New"/>
      <w:sz w:val="21"/>
      <w:szCs w:val="21"/>
    </w:rPr>
  </w:style>
  <w:style w:type="character" w:customStyle="1" w:styleId="374">
    <w:name w:val="标题 2 Char3"/>
    <w:autoRedefine/>
    <w:qFormat/>
    <w:uiPriority w:val="0"/>
    <w:rPr>
      <w:rFonts w:ascii="Arial" w:hAnsi="Arial" w:eastAsia="黑体"/>
      <w:b/>
      <w:bCs/>
      <w:kern w:val="2"/>
      <w:sz w:val="32"/>
      <w:szCs w:val="32"/>
    </w:rPr>
  </w:style>
  <w:style w:type="character" w:customStyle="1" w:styleId="375">
    <w:name w:val="标题 3 Char3"/>
    <w:autoRedefine/>
    <w:qFormat/>
    <w:uiPriority w:val="0"/>
    <w:rPr>
      <w:b/>
      <w:bCs/>
      <w:kern w:val="2"/>
      <w:sz w:val="32"/>
      <w:szCs w:val="32"/>
    </w:rPr>
  </w:style>
  <w:style w:type="character" w:customStyle="1" w:styleId="376">
    <w:name w:val="Char Char211"/>
    <w:autoRedefine/>
    <w:qFormat/>
    <w:uiPriority w:val="0"/>
    <w:rPr>
      <w:rFonts w:eastAsia="宋体"/>
      <w:sz w:val="18"/>
      <w:lang w:val="en-US" w:eastAsia="zh-CN"/>
    </w:rPr>
  </w:style>
  <w:style w:type="character" w:customStyle="1" w:styleId="377">
    <w:name w:val="目录2 Char Char"/>
    <w:autoRedefine/>
    <w:qFormat/>
    <w:uiPriority w:val="0"/>
    <w:rPr>
      <w:rFonts w:ascii="黑体" w:eastAsia="黑体"/>
      <w:bCs/>
      <w:caps/>
      <w:kern w:val="2"/>
      <w:sz w:val="24"/>
      <w:szCs w:val="24"/>
      <w:lang w:val="en-US" w:eastAsia="zh-CN" w:bidi="ar-SA"/>
    </w:rPr>
  </w:style>
  <w:style w:type="character" w:customStyle="1" w:styleId="378">
    <w:name w:val="line1"/>
    <w:autoRedefine/>
    <w:qFormat/>
    <w:uiPriority w:val="0"/>
  </w:style>
  <w:style w:type="character" w:customStyle="1" w:styleId="379">
    <w:name w:val="Char Char201"/>
    <w:autoRedefine/>
    <w:qFormat/>
    <w:uiPriority w:val="0"/>
    <w:rPr>
      <w:rFonts w:hint="eastAsia" w:ascii="仿宋_GB2312" w:hAnsi="宋体" w:eastAsia="仿宋_GB2312"/>
      <w:kern w:val="2"/>
      <w:sz w:val="28"/>
      <w:lang w:val="en-US" w:eastAsia="zh-CN" w:bidi="ar-SA"/>
    </w:rPr>
  </w:style>
  <w:style w:type="character" w:customStyle="1" w:styleId="380">
    <w:name w:val="font9black"/>
    <w:autoRedefine/>
    <w:qFormat/>
    <w:uiPriority w:val="0"/>
  </w:style>
  <w:style w:type="character" w:customStyle="1" w:styleId="381">
    <w:name w:val="sz3evj"/>
    <w:autoRedefine/>
    <w:qFormat/>
    <w:uiPriority w:val="0"/>
  </w:style>
  <w:style w:type="character" w:customStyle="1" w:styleId="382">
    <w:name w:val="下标 Char Char"/>
    <w:autoRedefine/>
    <w:qFormat/>
    <w:uiPriority w:val="0"/>
    <w:rPr>
      <w:rFonts w:ascii="宋体" w:hAnsi="宋体" w:eastAsia="宋体"/>
      <w:sz w:val="21"/>
      <w:szCs w:val="21"/>
      <w:lang w:val="en-US" w:eastAsia="zh-CN" w:bidi="ar-SA"/>
    </w:rPr>
  </w:style>
  <w:style w:type="character" w:customStyle="1" w:styleId="383">
    <w:name w:val="style41"/>
    <w:autoRedefine/>
    <w:qFormat/>
    <w:uiPriority w:val="0"/>
    <w:rPr>
      <w:rFonts w:hint="default" w:ascii="Verdana" w:hAnsi="Verdana"/>
    </w:rPr>
  </w:style>
  <w:style w:type="character" w:customStyle="1" w:styleId="384">
    <w:name w:val="Char Char312"/>
    <w:autoRedefine/>
    <w:qFormat/>
    <w:uiPriority w:val="0"/>
    <w:rPr>
      <w:rFonts w:ascii="Arial" w:hAnsi="Arial" w:eastAsia="宋体" w:cs="Arial"/>
      <w:b/>
      <w:bCs/>
      <w:kern w:val="2"/>
      <w:sz w:val="32"/>
      <w:szCs w:val="32"/>
      <w:lang w:val="en-US" w:eastAsia="zh-CN" w:bidi="ar-SA"/>
    </w:rPr>
  </w:style>
  <w:style w:type="character" w:customStyle="1" w:styleId="385">
    <w:name w:val="Char Char Char Char Char Char Char Char2"/>
    <w:autoRedefine/>
    <w:qFormat/>
    <w:uiPriority w:val="0"/>
    <w:rPr>
      <w:rFonts w:hint="default" w:ascii="Times New Roman" w:hAnsi="Times New Roman" w:eastAsia="宋体" w:cs="Times New Roman"/>
      <w:sz w:val="24"/>
      <w:szCs w:val="24"/>
    </w:rPr>
  </w:style>
  <w:style w:type="character" w:customStyle="1" w:styleId="386">
    <w:name w:val="小圈 Char Char"/>
    <w:autoRedefine/>
    <w:qFormat/>
    <w:uiPriority w:val="0"/>
    <w:rPr>
      <w:rFonts w:ascii="宋体" w:hAnsi="宋体" w:eastAsia="宋体" w:cs="宋体"/>
      <w:kern w:val="2"/>
      <w:sz w:val="28"/>
      <w:lang w:val="en-US" w:eastAsia="zh-CN" w:bidi="ar-SA"/>
    </w:rPr>
  </w:style>
  <w:style w:type="character" w:customStyle="1" w:styleId="387">
    <w:name w:val="p11"/>
    <w:autoRedefine/>
    <w:qFormat/>
    <w:uiPriority w:val="0"/>
    <w:rPr>
      <w:sz w:val="27"/>
      <w:u w:val="none"/>
    </w:rPr>
  </w:style>
  <w:style w:type="character" w:customStyle="1" w:styleId="388">
    <w:name w:val="正文小四 Char"/>
    <w:link w:val="389"/>
    <w:autoRedefine/>
    <w:qFormat/>
    <w:uiPriority w:val="0"/>
    <w:rPr>
      <w:rFonts w:ascii="Calibri" w:hAnsi="Calibri"/>
      <w:sz w:val="24"/>
      <w:szCs w:val="24"/>
    </w:rPr>
  </w:style>
  <w:style w:type="paragraph" w:customStyle="1" w:styleId="389">
    <w:name w:val="正文小四"/>
    <w:link w:val="388"/>
    <w:autoRedefine/>
    <w:qFormat/>
    <w:uiPriority w:val="0"/>
    <w:pPr>
      <w:tabs>
        <w:tab w:val="left" w:pos="1260"/>
      </w:tabs>
      <w:spacing w:line="360" w:lineRule="auto"/>
      <w:ind w:firstLine="480" w:firstLineChars="200"/>
      <w:jc w:val="both"/>
    </w:pPr>
    <w:rPr>
      <w:rFonts w:ascii="Calibri" w:hAnsi="Calibri" w:eastAsia="宋体" w:cs="Times New Roman"/>
      <w:sz w:val="24"/>
      <w:szCs w:val="24"/>
      <w:lang w:val="en-US" w:eastAsia="zh-CN" w:bidi="ar-SA"/>
    </w:rPr>
  </w:style>
  <w:style w:type="character" w:customStyle="1" w:styleId="390">
    <w:name w:val="keyword1"/>
    <w:autoRedefine/>
    <w:qFormat/>
    <w:uiPriority w:val="0"/>
    <w:rPr>
      <w:rFonts w:cs="Times New Roman"/>
      <w:color w:val="FF0000"/>
    </w:rPr>
  </w:style>
  <w:style w:type="character" w:customStyle="1" w:styleId="391">
    <w:name w:val="c3 Char"/>
    <w:autoRedefine/>
    <w:qFormat/>
    <w:uiPriority w:val="0"/>
    <w:rPr>
      <w:rFonts w:ascii="宋体" w:hAnsi="宋体" w:eastAsia="宋体"/>
      <w:b/>
      <w:kern w:val="2"/>
      <w:sz w:val="28"/>
      <w:szCs w:val="28"/>
      <w:lang w:val="en-US" w:eastAsia="zh-CN" w:bidi="ar-SA"/>
    </w:rPr>
  </w:style>
  <w:style w:type="character" w:customStyle="1" w:styleId="392">
    <w:name w:val="Char Char214"/>
    <w:autoRedefine/>
    <w:qFormat/>
    <w:uiPriority w:val="0"/>
    <w:rPr>
      <w:rFonts w:eastAsia="宋体"/>
      <w:sz w:val="18"/>
      <w:lang w:val="en-US" w:eastAsia="zh-CN" w:bidi="ar-SA"/>
    </w:rPr>
  </w:style>
  <w:style w:type="character" w:customStyle="1" w:styleId="393">
    <w:name w:val="Char Char192"/>
    <w:autoRedefine/>
    <w:qFormat/>
    <w:uiPriority w:val="0"/>
    <w:rPr>
      <w:rFonts w:ascii="Times New Roman" w:hAnsi="Times New Roman" w:eastAsia="宋体" w:cs="Times New Roman"/>
      <w:szCs w:val="24"/>
      <w:shd w:val="clear" w:color="auto" w:fill="000080"/>
    </w:rPr>
  </w:style>
  <w:style w:type="character" w:customStyle="1" w:styleId="394">
    <w:name w:val="f121"/>
    <w:autoRedefine/>
    <w:qFormat/>
    <w:uiPriority w:val="0"/>
    <w:rPr>
      <w:sz w:val="18"/>
      <w:szCs w:val="18"/>
      <w:u w:val="none"/>
    </w:rPr>
  </w:style>
  <w:style w:type="character" w:customStyle="1" w:styleId="395">
    <w:name w:val="主标题 Char Char"/>
    <w:autoRedefine/>
    <w:qFormat/>
    <w:uiPriority w:val="0"/>
    <w:rPr>
      <w:rFonts w:ascii="仿宋_GB2312" w:hAnsi="Arial" w:eastAsia="仿宋_GB2312" w:cs="Arial"/>
      <w:b/>
      <w:bCs/>
      <w:kern w:val="2"/>
      <w:sz w:val="32"/>
      <w:szCs w:val="32"/>
      <w:lang w:val="en-US" w:eastAsia="zh-CN" w:bidi="ar-SA"/>
    </w:rPr>
  </w:style>
  <w:style w:type="character" w:customStyle="1" w:styleId="396">
    <w:name w:val="正文文字缩进 Char Char"/>
    <w:autoRedefine/>
    <w:qFormat/>
    <w:uiPriority w:val="0"/>
    <w:rPr>
      <w:rFonts w:ascii="Bookman Old Style" w:hAnsi="Bookman Old Style" w:eastAsia="宋体"/>
      <w:kern w:val="2"/>
      <w:sz w:val="24"/>
      <w:lang w:val="en-US" w:eastAsia="zh-CN" w:bidi="ar-SA"/>
    </w:rPr>
  </w:style>
  <w:style w:type="character" w:customStyle="1" w:styleId="397">
    <w:name w:val="电子邮件签名 字符1"/>
    <w:autoRedefine/>
    <w:qFormat/>
    <w:locked/>
    <w:uiPriority w:val="0"/>
    <w:rPr>
      <w:rFonts w:ascii="Arial" w:hAnsi="Arial" w:eastAsia="仿宋_GB2312" w:cs="Arial"/>
    </w:rPr>
  </w:style>
  <w:style w:type="character" w:customStyle="1" w:styleId="398">
    <w:name w:val="主标题 Char Char1"/>
    <w:autoRedefine/>
    <w:qFormat/>
    <w:uiPriority w:val="0"/>
    <w:rPr>
      <w:rFonts w:ascii="Arial" w:hAnsi="Arial" w:eastAsia="宋体" w:cs="Arial"/>
      <w:b/>
      <w:bCs/>
      <w:kern w:val="2"/>
      <w:sz w:val="32"/>
      <w:szCs w:val="32"/>
      <w:lang w:val="en-US" w:eastAsia="zh-CN" w:bidi="ar-SA"/>
    </w:rPr>
  </w:style>
  <w:style w:type="character" w:customStyle="1" w:styleId="399">
    <w:name w:val="hei141"/>
    <w:autoRedefine/>
    <w:qFormat/>
    <w:uiPriority w:val="0"/>
    <w:rPr>
      <w:rFonts w:hint="eastAsia" w:ascii="宋体" w:hAnsi="宋体" w:eastAsia="宋体"/>
      <w:color w:val="000000"/>
      <w:sz w:val="21"/>
      <w:szCs w:val="21"/>
      <w:u w:val="none"/>
    </w:rPr>
  </w:style>
  <w:style w:type="character" w:customStyle="1" w:styleId="400">
    <w:name w:val="sdi8io"/>
    <w:autoRedefine/>
    <w:qFormat/>
    <w:uiPriority w:val="0"/>
  </w:style>
  <w:style w:type="character" w:customStyle="1" w:styleId="401">
    <w:name w:val="work4"/>
    <w:autoRedefine/>
    <w:qFormat/>
    <w:uiPriority w:val="0"/>
    <w:rPr>
      <w:sz w:val="18"/>
      <w:szCs w:val="18"/>
      <w:u w:val="none"/>
    </w:rPr>
  </w:style>
  <w:style w:type="character" w:customStyle="1" w:styleId="402">
    <w:name w:val="qqq1"/>
    <w:autoRedefine/>
    <w:qFormat/>
    <w:uiPriority w:val="0"/>
    <w:rPr>
      <w:rFonts w:cs="Times New Roman"/>
      <w:color w:val="527594"/>
      <w:sz w:val="18"/>
      <w:szCs w:val="18"/>
    </w:rPr>
  </w:style>
  <w:style w:type="character" w:customStyle="1" w:styleId="403">
    <w:name w:val="hg1"/>
    <w:autoRedefine/>
    <w:qFormat/>
    <w:uiPriority w:val="0"/>
  </w:style>
  <w:style w:type="character" w:customStyle="1" w:styleId="404">
    <w:name w:val="Char Char71"/>
    <w:autoRedefine/>
    <w:qFormat/>
    <w:uiPriority w:val="0"/>
    <w:rPr>
      <w:rFonts w:hint="eastAsia" w:ascii="宋体" w:hAnsi="宋体" w:eastAsia="宋体"/>
      <w:kern w:val="2"/>
      <w:sz w:val="18"/>
      <w:szCs w:val="18"/>
      <w:lang w:val="en-US" w:eastAsia="zh-CN" w:bidi="ar-SA"/>
    </w:rPr>
  </w:style>
  <w:style w:type="character" w:customStyle="1" w:styleId="405">
    <w:name w:val="目录2 Char Char3"/>
    <w:autoRedefine/>
    <w:qFormat/>
    <w:uiPriority w:val="0"/>
    <w:rPr>
      <w:rFonts w:eastAsia="宋体"/>
      <w:b/>
      <w:bCs/>
      <w:caps/>
      <w:lang w:val="en-US" w:eastAsia="zh-CN" w:bidi="ar-SA"/>
    </w:rPr>
  </w:style>
  <w:style w:type="character" w:customStyle="1" w:styleId="406">
    <w:name w:val="ny_black2"/>
    <w:autoRedefine/>
    <w:qFormat/>
    <w:uiPriority w:val="0"/>
    <w:rPr>
      <w:color w:val="000000"/>
    </w:rPr>
  </w:style>
  <w:style w:type="character" w:customStyle="1" w:styleId="407">
    <w:name w:val="infotitle1"/>
    <w:autoRedefine/>
    <w:qFormat/>
    <w:uiPriority w:val="0"/>
    <w:rPr>
      <w:b/>
      <w:bCs/>
      <w:color w:val="000000"/>
      <w:sz w:val="32"/>
      <w:szCs w:val="32"/>
    </w:rPr>
  </w:style>
  <w:style w:type="character" w:customStyle="1" w:styleId="408">
    <w:name w:val="Char Char72"/>
    <w:autoRedefine/>
    <w:qFormat/>
    <w:uiPriority w:val="0"/>
    <w:rPr>
      <w:rFonts w:eastAsia="宋体"/>
      <w:bCs/>
      <w:kern w:val="2"/>
      <w:sz w:val="28"/>
      <w:lang w:val="en-US" w:eastAsia="zh-CN" w:bidi="ar-SA"/>
    </w:rPr>
  </w:style>
  <w:style w:type="character" w:customStyle="1" w:styleId="409">
    <w:name w:val="Char Char Char Char Char Char Char Char7"/>
    <w:autoRedefine/>
    <w:qFormat/>
    <w:uiPriority w:val="0"/>
    <w:rPr>
      <w:rFonts w:ascii="Times New Roman" w:hAnsi="Times New Roman" w:eastAsia="宋体" w:cs="Times New Roman"/>
      <w:sz w:val="24"/>
      <w:szCs w:val="24"/>
    </w:rPr>
  </w:style>
  <w:style w:type="character" w:customStyle="1" w:styleId="410">
    <w:name w:val="参加人员 Char"/>
    <w:link w:val="411"/>
    <w:autoRedefine/>
    <w:qFormat/>
    <w:uiPriority w:val="0"/>
    <w:rPr>
      <w:kern w:val="2"/>
      <w:sz w:val="24"/>
      <w:szCs w:val="24"/>
    </w:rPr>
  </w:style>
  <w:style w:type="paragraph" w:customStyle="1" w:styleId="411">
    <w:name w:val="参加人员"/>
    <w:basedOn w:val="1"/>
    <w:link w:val="410"/>
    <w:autoRedefine/>
    <w:qFormat/>
    <w:uiPriority w:val="0"/>
    <w:rPr>
      <w:sz w:val="24"/>
    </w:rPr>
  </w:style>
  <w:style w:type="character" w:customStyle="1" w:styleId="412">
    <w:name w:val="页眉1 Char"/>
    <w:autoRedefine/>
    <w:qFormat/>
    <w:uiPriority w:val="0"/>
    <w:rPr>
      <w:rFonts w:eastAsia="宋体"/>
      <w:sz w:val="18"/>
      <w:lang w:val="en-US" w:eastAsia="zh-CN"/>
    </w:rPr>
  </w:style>
  <w:style w:type="character" w:customStyle="1" w:styleId="413">
    <w:name w:val="不明显强调1"/>
    <w:autoRedefine/>
    <w:qFormat/>
    <w:uiPriority w:val="19"/>
    <w:rPr>
      <w:i/>
      <w:color w:val="595959"/>
    </w:rPr>
  </w:style>
  <w:style w:type="character" w:customStyle="1" w:styleId="414">
    <w:name w:val="明显强调1"/>
    <w:autoRedefine/>
    <w:qFormat/>
    <w:uiPriority w:val="21"/>
    <w:rPr>
      <w:rFonts w:hint="eastAsia" w:ascii="宋体" w:hAnsi="宋体" w:eastAsia="宋体"/>
      <w:b/>
      <w:bCs/>
      <w:i/>
      <w:iCs/>
      <w:color w:val="4F81BD"/>
      <w:kern w:val="2"/>
      <w:sz w:val="21"/>
      <w:szCs w:val="21"/>
      <w:lang w:val="en-US" w:eastAsia="zh-CN" w:bidi="ar-SA"/>
    </w:rPr>
  </w:style>
  <w:style w:type="character" w:customStyle="1" w:styleId="415">
    <w:name w:val="Char Char198"/>
    <w:autoRedefine/>
    <w:qFormat/>
    <w:uiPriority w:val="0"/>
    <w:rPr>
      <w:rFonts w:eastAsia="宋体"/>
      <w:kern w:val="2"/>
      <w:sz w:val="21"/>
      <w:szCs w:val="24"/>
      <w:lang w:val="en-US" w:eastAsia="zh-CN" w:bidi="ar-SA"/>
    </w:rPr>
  </w:style>
  <w:style w:type="character" w:customStyle="1" w:styleId="416">
    <w:name w:val="Char Char1"/>
    <w:autoRedefine/>
    <w:qFormat/>
    <w:uiPriority w:val="0"/>
    <w:rPr>
      <w:rFonts w:ascii="仿宋_GB2312" w:eastAsia="仿宋_GB2312"/>
      <w:sz w:val="28"/>
      <w:lang w:val="en-US" w:eastAsia="zh-CN" w:bidi="ar-SA"/>
    </w:rPr>
  </w:style>
  <w:style w:type="character" w:customStyle="1" w:styleId="417">
    <w:name w:val="hei1"/>
    <w:autoRedefine/>
    <w:qFormat/>
    <w:uiPriority w:val="0"/>
  </w:style>
  <w:style w:type="character" w:customStyle="1" w:styleId="418">
    <w:name w:val="正文文本3"/>
    <w:autoRedefine/>
    <w:qFormat/>
    <w:uiPriority w:val="0"/>
    <w:rPr>
      <w:rFonts w:eastAsia="仿宋_GB2312"/>
      <w:kern w:val="2"/>
      <w:sz w:val="24"/>
      <w:lang w:val="en-US" w:eastAsia="zh-CN"/>
    </w:rPr>
  </w:style>
  <w:style w:type="character" w:customStyle="1" w:styleId="419">
    <w:name w:val="z-窗体底端 Char2"/>
    <w:autoRedefine/>
    <w:qFormat/>
    <w:uiPriority w:val="0"/>
    <w:rPr>
      <w:rFonts w:ascii="Arial" w:hAnsi="Arial" w:eastAsia="Arial Unicode MS"/>
      <w:vanish/>
      <w:sz w:val="16"/>
      <w:szCs w:val="16"/>
    </w:rPr>
  </w:style>
  <w:style w:type="character" w:customStyle="1" w:styleId="420">
    <w:name w:val="Char Char Char Char Char Char Char13"/>
    <w:link w:val="421"/>
    <w:autoRedefine/>
    <w:qFormat/>
    <w:locked/>
    <w:uiPriority w:val="0"/>
    <w:rPr>
      <w:sz w:val="24"/>
      <w:szCs w:val="24"/>
    </w:rPr>
  </w:style>
  <w:style w:type="paragraph" w:customStyle="1" w:styleId="421">
    <w:name w:val="Char Char Char Char Char Char"/>
    <w:basedOn w:val="1"/>
    <w:link w:val="420"/>
    <w:autoRedefine/>
    <w:qFormat/>
    <w:uiPriority w:val="0"/>
    <w:rPr>
      <w:kern w:val="0"/>
      <w:sz w:val="24"/>
    </w:rPr>
  </w:style>
  <w:style w:type="character" w:customStyle="1" w:styleId="422">
    <w:name w:val="fontgray1"/>
    <w:autoRedefine/>
    <w:qFormat/>
    <w:uiPriority w:val="0"/>
    <w:rPr>
      <w:rFonts w:hint="default" w:ascii="ˎ̥" w:hAnsi="ˎ̥"/>
      <w:color w:val="666666"/>
      <w:sz w:val="24"/>
    </w:rPr>
  </w:style>
  <w:style w:type="character" w:customStyle="1" w:styleId="423">
    <w:name w:val="x文 Char Char"/>
    <w:link w:val="424"/>
    <w:autoRedefine/>
    <w:qFormat/>
    <w:uiPriority w:val="0"/>
    <w:rPr>
      <w:rFonts w:ascii="宋体" w:hAnsi="宋体"/>
      <w:sz w:val="24"/>
      <w:szCs w:val="24"/>
    </w:rPr>
  </w:style>
  <w:style w:type="paragraph" w:customStyle="1" w:styleId="424">
    <w:name w:val="x文"/>
    <w:basedOn w:val="1"/>
    <w:link w:val="423"/>
    <w:autoRedefine/>
    <w:qFormat/>
    <w:uiPriority w:val="0"/>
    <w:pPr>
      <w:spacing w:line="360" w:lineRule="auto"/>
      <w:ind w:firstLine="480" w:firstLineChars="200"/>
    </w:pPr>
    <w:rPr>
      <w:rFonts w:ascii="宋体" w:hAnsi="宋体"/>
      <w:kern w:val="0"/>
      <w:sz w:val="24"/>
    </w:rPr>
  </w:style>
  <w:style w:type="character" w:customStyle="1" w:styleId="425">
    <w:name w:val="表格上标题 Char"/>
    <w:link w:val="426"/>
    <w:autoRedefine/>
    <w:qFormat/>
    <w:locked/>
    <w:uiPriority w:val="0"/>
    <w:rPr>
      <w:b/>
      <w:kern w:val="2"/>
      <w:sz w:val="24"/>
      <w:szCs w:val="24"/>
    </w:rPr>
  </w:style>
  <w:style w:type="paragraph" w:customStyle="1" w:styleId="426">
    <w:name w:val="表格上标题"/>
    <w:basedOn w:val="1"/>
    <w:link w:val="425"/>
    <w:autoRedefine/>
    <w:qFormat/>
    <w:uiPriority w:val="0"/>
    <w:pPr>
      <w:jc w:val="center"/>
    </w:pPr>
    <w:rPr>
      <w:b/>
      <w:sz w:val="24"/>
    </w:rPr>
  </w:style>
  <w:style w:type="character" w:customStyle="1" w:styleId="427">
    <w:name w:val="font81"/>
    <w:autoRedefine/>
    <w:qFormat/>
    <w:uiPriority w:val="0"/>
    <w:rPr>
      <w:rFonts w:hint="eastAsia" w:ascii="宋体" w:hAnsi="宋体" w:eastAsia="宋体"/>
      <w:color w:val="000000"/>
      <w:sz w:val="21"/>
      <w:szCs w:val="21"/>
      <w:u w:val="none"/>
    </w:rPr>
  </w:style>
  <w:style w:type="character" w:customStyle="1" w:styleId="428">
    <w:name w:val="ssmj9"/>
    <w:autoRedefine/>
    <w:qFormat/>
    <w:uiPriority w:val="0"/>
  </w:style>
  <w:style w:type="character" w:customStyle="1" w:styleId="429">
    <w:name w:val="style2"/>
    <w:autoRedefine/>
    <w:qFormat/>
    <w:uiPriority w:val="0"/>
  </w:style>
  <w:style w:type="character" w:customStyle="1" w:styleId="430">
    <w:name w:val="正文文本缩进 Char3"/>
    <w:autoRedefine/>
    <w:qFormat/>
    <w:uiPriority w:val="0"/>
    <w:rPr>
      <w:rFonts w:ascii="Times New Roman" w:hAnsi="Times New Roman" w:eastAsia="宋体" w:cs="Times New Roman"/>
      <w:kern w:val="0"/>
      <w:sz w:val="20"/>
      <w:szCs w:val="20"/>
    </w:rPr>
  </w:style>
  <w:style w:type="character" w:customStyle="1" w:styleId="431">
    <w:name w:val="标题lulu Char Char"/>
    <w:autoRedefine/>
    <w:qFormat/>
    <w:uiPriority w:val="0"/>
    <w:rPr>
      <w:rFonts w:ascii="Arial" w:hAnsi="Arial" w:eastAsia="宋体" w:cs="Arial"/>
      <w:b/>
      <w:bCs/>
      <w:kern w:val="2"/>
      <w:sz w:val="32"/>
      <w:szCs w:val="32"/>
      <w:lang w:val="en-US" w:eastAsia="zh-CN" w:bidi="ar-SA"/>
    </w:rPr>
  </w:style>
  <w:style w:type="character" w:customStyle="1" w:styleId="432">
    <w:name w:val="Char Char25"/>
    <w:autoRedefine/>
    <w:qFormat/>
    <w:uiPriority w:val="0"/>
    <w:rPr>
      <w:rFonts w:hint="eastAsia" w:ascii="宋体" w:hAnsi="宋体" w:eastAsia="宋体"/>
      <w:color w:val="000000"/>
      <w:kern w:val="2"/>
      <w:sz w:val="24"/>
      <w:szCs w:val="24"/>
      <w:lang w:val="en-US" w:eastAsia="zh-CN" w:bidi="ar-SA"/>
    </w:rPr>
  </w:style>
  <w:style w:type="character" w:customStyle="1" w:styleId="433">
    <w:name w:val="项目名称 Char"/>
    <w:link w:val="434"/>
    <w:autoRedefine/>
    <w:qFormat/>
    <w:uiPriority w:val="0"/>
    <w:rPr>
      <w:rFonts w:ascii="黑体" w:eastAsia="黑体"/>
      <w:kern w:val="2"/>
      <w:sz w:val="52"/>
      <w:szCs w:val="52"/>
    </w:rPr>
  </w:style>
  <w:style w:type="paragraph" w:customStyle="1" w:styleId="434">
    <w:name w:val="项目名称"/>
    <w:basedOn w:val="1"/>
    <w:next w:val="1"/>
    <w:link w:val="433"/>
    <w:autoRedefine/>
    <w:qFormat/>
    <w:uiPriority w:val="0"/>
    <w:pPr>
      <w:spacing w:line="800" w:lineRule="atLeast"/>
      <w:jc w:val="center"/>
      <w:outlineLvl w:val="0"/>
    </w:pPr>
    <w:rPr>
      <w:rFonts w:ascii="黑体" w:eastAsia="黑体"/>
      <w:sz w:val="52"/>
      <w:szCs w:val="52"/>
    </w:rPr>
  </w:style>
  <w:style w:type="character" w:customStyle="1" w:styleId="435">
    <w:name w:val="value"/>
    <w:autoRedefine/>
    <w:qFormat/>
    <w:uiPriority w:val="0"/>
  </w:style>
  <w:style w:type="character" w:customStyle="1" w:styleId="436">
    <w:name w:val="Char Char49"/>
    <w:autoRedefine/>
    <w:qFormat/>
    <w:uiPriority w:val="0"/>
    <w:rPr>
      <w:rFonts w:hint="eastAsia" w:ascii="宋体" w:hAnsi="宋体" w:eastAsia="宋体"/>
      <w:bCs/>
      <w:kern w:val="2"/>
      <w:sz w:val="28"/>
      <w:lang w:val="en-US" w:eastAsia="zh-CN" w:bidi="ar-SA"/>
    </w:rPr>
  </w:style>
  <w:style w:type="character" w:customStyle="1" w:styleId="437">
    <w:name w:val="shekj8m"/>
    <w:autoRedefine/>
    <w:qFormat/>
    <w:uiPriority w:val="0"/>
  </w:style>
  <w:style w:type="character" w:customStyle="1" w:styleId="438">
    <w:name w:val="style81"/>
    <w:autoRedefine/>
    <w:qFormat/>
    <w:uiPriority w:val="0"/>
    <w:rPr>
      <w:sz w:val="14"/>
      <w:szCs w:val="14"/>
    </w:rPr>
  </w:style>
  <w:style w:type="character" w:customStyle="1" w:styleId="439">
    <w:name w:val="detail_style1"/>
    <w:autoRedefine/>
    <w:qFormat/>
    <w:uiPriority w:val="0"/>
    <w:rPr>
      <w:rFonts w:cs="Times New Roman"/>
      <w:sz w:val="26"/>
      <w:szCs w:val="26"/>
      <w:u w:val="none"/>
    </w:rPr>
  </w:style>
  <w:style w:type="character" w:customStyle="1" w:styleId="440">
    <w:name w:val="表号 Char1"/>
    <w:autoRedefine/>
    <w:qFormat/>
    <w:uiPriority w:val="0"/>
    <w:rPr>
      <w:rFonts w:ascii="宋体" w:hAnsi="宋体" w:eastAsia="宋体"/>
      <w:sz w:val="24"/>
      <w:szCs w:val="24"/>
      <w:lang w:val="en-US" w:eastAsia="zh-CN" w:bidi="ar-SA"/>
    </w:rPr>
  </w:style>
  <w:style w:type="character" w:customStyle="1" w:styleId="441">
    <w:name w:val="9n1"/>
    <w:autoRedefine/>
    <w:qFormat/>
    <w:uiPriority w:val="0"/>
    <w:rPr>
      <w:color w:val="000000"/>
      <w:sz w:val="18"/>
      <w:szCs w:val="18"/>
      <w:u w:val="none"/>
    </w:rPr>
  </w:style>
  <w:style w:type="character" w:customStyle="1" w:styleId="442">
    <w:name w:val="表格标题新 Char"/>
    <w:link w:val="443"/>
    <w:autoRedefine/>
    <w:qFormat/>
    <w:locked/>
    <w:uiPriority w:val="0"/>
    <w:rPr>
      <w:rFonts w:ascii="仿宋_GB2312" w:eastAsia="黑体"/>
      <w:b/>
      <w:snapToGrid w:val="0"/>
      <w:spacing w:val="4"/>
      <w:sz w:val="24"/>
    </w:rPr>
  </w:style>
  <w:style w:type="paragraph" w:customStyle="1" w:styleId="443">
    <w:name w:val="表格标题新"/>
    <w:basedOn w:val="1"/>
    <w:link w:val="442"/>
    <w:autoRedefine/>
    <w:qFormat/>
    <w:uiPriority w:val="0"/>
    <w:pPr>
      <w:tabs>
        <w:tab w:val="left" w:pos="0"/>
      </w:tabs>
      <w:adjustRightInd w:val="0"/>
      <w:snapToGrid w:val="0"/>
      <w:spacing w:beforeLines="50"/>
      <w:ind w:firstLine="562"/>
      <w:jc w:val="center"/>
    </w:pPr>
    <w:rPr>
      <w:rFonts w:ascii="仿宋_GB2312" w:eastAsia="黑体"/>
      <w:b/>
      <w:snapToGrid w:val="0"/>
      <w:spacing w:val="4"/>
      <w:kern w:val="0"/>
      <w:sz w:val="24"/>
      <w:szCs w:val="20"/>
    </w:rPr>
  </w:style>
  <w:style w:type="character" w:customStyle="1" w:styleId="444">
    <w:name w:val="标题 Char1"/>
    <w:autoRedefine/>
    <w:qFormat/>
    <w:uiPriority w:val="10"/>
    <w:rPr>
      <w:rFonts w:ascii="Arial" w:hAnsi="Arial" w:eastAsia="宋体" w:cs="Arial"/>
      <w:b/>
      <w:bCs/>
      <w:sz w:val="32"/>
      <w:szCs w:val="32"/>
      <w:lang w:val="en-US" w:eastAsia="zh-CN" w:bidi="ar-SA"/>
    </w:rPr>
  </w:style>
  <w:style w:type="character" w:customStyle="1" w:styleId="445">
    <w:name w:val="3zw"/>
    <w:autoRedefine/>
    <w:qFormat/>
    <w:uiPriority w:val="0"/>
  </w:style>
  <w:style w:type="character" w:customStyle="1" w:styleId="446">
    <w:name w:val="mymain2"/>
    <w:autoRedefine/>
    <w:qFormat/>
    <w:uiPriority w:val="0"/>
    <w:rPr>
      <w:sz w:val="18"/>
      <w:szCs w:val="18"/>
    </w:rPr>
  </w:style>
  <w:style w:type="character" w:customStyle="1" w:styleId="447">
    <w:name w:val="表头文字 Char Char"/>
    <w:link w:val="448"/>
    <w:autoRedefine/>
    <w:qFormat/>
    <w:uiPriority w:val="0"/>
    <w:rPr>
      <w:rFonts w:eastAsia="华文中宋"/>
      <w:b/>
      <w:sz w:val="24"/>
      <w:szCs w:val="24"/>
    </w:rPr>
  </w:style>
  <w:style w:type="paragraph" w:customStyle="1" w:styleId="448">
    <w:name w:val="表头文字 Char"/>
    <w:basedOn w:val="1"/>
    <w:link w:val="447"/>
    <w:autoRedefine/>
    <w:qFormat/>
    <w:uiPriority w:val="0"/>
    <w:pPr>
      <w:spacing w:line="360" w:lineRule="auto"/>
      <w:jc w:val="center"/>
    </w:pPr>
    <w:rPr>
      <w:rFonts w:eastAsia="华文中宋"/>
      <w:b/>
      <w:kern w:val="0"/>
      <w:sz w:val="24"/>
    </w:rPr>
  </w:style>
  <w:style w:type="character" w:customStyle="1" w:styleId="449">
    <w:name w:val="前言、引言标题 Char Char"/>
    <w:autoRedefine/>
    <w:qFormat/>
    <w:uiPriority w:val="0"/>
    <w:rPr>
      <w:rFonts w:ascii="黑体" w:eastAsia="黑体"/>
      <w:sz w:val="32"/>
      <w:shd w:val="clear" w:color="FFFFFF" w:fill="FFFFFF"/>
      <w:lang w:val="en-US" w:eastAsia="zh-CN" w:bidi="ar-SA"/>
    </w:rPr>
  </w:style>
  <w:style w:type="character" w:customStyle="1" w:styleId="450">
    <w:name w:val="Char Char12"/>
    <w:autoRedefine/>
    <w:qFormat/>
    <w:locked/>
    <w:uiPriority w:val="0"/>
    <w:rPr>
      <w:rFonts w:eastAsia="宋体" w:cs="Times New Roman"/>
      <w:sz w:val="24"/>
      <w:lang w:val="en-US" w:eastAsia="zh-CN" w:bidi="ar-SA"/>
    </w:rPr>
  </w:style>
  <w:style w:type="character" w:customStyle="1" w:styleId="451">
    <w:name w:val="副标题 Char2"/>
    <w:autoRedefine/>
    <w:qFormat/>
    <w:uiPriority w:val="0"/>
    <w:rPr>
      <w:rFonts w:hint="default" w:ascii="Cambria" w:hAnsi="Cambria" w:eastAsia="宋体" w:cs="Times New Roman"/>
      <w:b/>
      <w:bCs/>
      <w:kern w:val="28"/>
      <w:sz w:val="32"/>
      <w:szCs w:val="32"/>
    </w:rPr>
  </w:style>
  <w:style w:type="character" w:customStyle="1" w:styleId="452">
    <w:name w:val="sj4lab"/>
    <w:autoRedefine/>
    <w:qFormat/>
    <w:uiPriority w:val="0"/>
  </w:style>
  <w:style w:type="character" w:customStyle="1" w:styleId="453">
    <w:name w:val="2char"/>
    <w:autoRedefine/>
    <w:qFormat/>
    <w:uiPriority w:val="0"/>
  </w:style>
  <w:style w:type="character" w:customStyle="1" w:styleId="454">
    <w:name w:val="标题 1 Char1"/>
    <w:autoRedefine/>
    <w:qFormat/>
    <w:uiPriority w:val="0"/>
    <w:rPr>
      <w:rFonts w:eastAsia="宋体" w:cs="Times New Roman"/>
      <w:b/>
      <w:bCs/>
      <w:kern w:val="44"/>
      <w:sz w:val="44"/>
      <w:szCs w:val="44"/>
      <w:lang w:val="en-US" w:eastAsia="zh-CN" w:bidi="ar-SA"/>
    </w:rPr>
  </w:style>
  <w:style w:type="character" w:customStyle="1" w:styleId="455">
    <w:name w:val="altech031"/>
    <w:autoRedefine/>
    <w:qFormat/>
    <w:uiPriority w:val="0"/>
    <w:rPr>
      <w:rFonts w:hint="default" w:ascii="ˎ̥" w:hAnsi="ˎ̥" w:eastAsia="仿宋_GB2312"/>
      <w:color w:val="000000"/>
      <w:kern w:val="2"/>
      <w:sz w:val="18"/>
      <w:u w:val="none"/>
      <w:lang w:val="en-US" w:eastAsia="zh-CN"/>
    </w:rPr>
  </w:style>
  <w:style w:type="character" w:customStyle="1" w:styleId="456">
    <w:name w:val="标题 21"/>
    <w:autoRedefine/>
    <w:qFormat/>
    <w:uiPriority w:val="0"/>
    <w:rPr>
      <w:rFonts w:ascii="黑体" w:hAnsi="Arial" w:eastAsia="黑体"/>
      <w:kern w:val="2"/>
      <w:sz w:val="36"/>
      <w:szCs w:val="32"/>
      <w:lang w:val="en-US" w:eastAsia="zh-CN" w:bidi="ar-SA"/>
    </w:rPr>
  </w:style>
  <w:style w:type="character" w:customStyle="1" w:styleId="457">
    <w:name w:val="Char Char131"/>
    <w:autoRedefine/>
    <w:qFormat/>
    <w:uiPriority w:val="0"/>
    <w:rPr>
      <w:rFonts w:hint="eastAsia" w:ascii="仿宋_GB2312" w:eastAsia="仿宋_GB2312"/>
      <w:kern w:val="2"/>
      <w:sz w:val="18"/>
      <w:szCs w:val="18"/>
      <w:lang w:val="en-US" w:eastAsia="zh-CN" w:bidi="ar-SA"/>
    </w:rPr>
  </w:style>
  <w:style w:type="character" w:customStyle="1" w:styleId="458">
    <w:name w:val="texhtml"/>
    <w:autoRedefine/>
    <w:qFormat/>
    <w:uiPriority w:val="0"/>
  </w:style>
  <w:style w:type="character" w:customStyle="1" w:styleId="459">
    <w:name w:val="样式 样式 样式 宋体 小四 行距: 多倍行距 1.4 字行2 + 黑色 + Times New Roman2 Char"/>
    <w:link w:val="460"/>
    <w:autoRedefine/>
    <w:qFormat/>
    <w:uiPriority w:val="0"/>
    <w:rPr>
      <w:rFonts w:ascii="宋体" w:hAnsi="宋体" w:cs="宋体"/>
      <w:b/>
      <w:color w:val="000000"/>
      <w:spacing w:val="10"/>
      <w:sz w:val="24"/>
      <w:szCs w:val="24"/>
    </w:rPr>
  </w:style>
  <w:style w:type="paragraph" w:customStyle="1" w:styleId="460">
    <w:name w:val="样式 样式 样式 宋体 小四 行距: 多倍行距 1.4 字行2 + 黑色 + Times New Roman2"/>
    <w:basedOn w:val="461"/>
    <w:link w:val="459"/>
    <w:autoRedefine/>
    <w:qFormat/>
    <w:uiPriority w:val="0"/>
    <w:pPr>
      <w:spacing w:line="360" w:lineRule="auto"/>
      <w:ind w:firstLine="200"/>
    </w:pPr>
    <w:rPr>
      <w:rFonts w:cs="宋体"/>
      <w:lang w:val="en-US"/>
    </w:rPr>
  </w:style>
  <w:style w:type="paragraph" w:customStyle="1" w:styleId="461">
    <w:name w:val="样式 样式 宋体 小四 行距: 多倍行距 1.4 字行2 + 黑色"/>
    <w:basedOn w:val="1"/>
    <w:link w:val="462"/>
    <w:autoRedefine/>
    <w:qFormat/>
    <w:uiPriority w:val="0"/>
    <w:pPr>
      <w:spacing w:line="336" w:lineRule="auto"/>
      <w:ind w:firstLine="480" w:firstLineChars="200"/>
    </w:pPr>
    <w:rPr>
      <w:rFonts w:ascii="宋体" w:hAnsi="宋体"/>
      <w:b/>
      <w:color w:val="000000"/>
      <w:spacing w:val="10"/>
      <w:kern w:val="0"/>
      <w:sz w:val="24"/>
      <w:lang w:val="zh-CN"/>
    </w:rPr>
  </w:style>
  <w:style w:type="character" w:customStyle="1" w:styleId="462">
    <w:name w:val="样式 样式 宋体 小四 行距: 多倍行距 1.4 字行2 + 黑色 Char"/>
    <w:link w:val="461"/>
    <w:autoRedefine/>
    <w:qFormat/>
    <w:uiPriority w:val="0"/>
    <w:rPr>
      <w:rFonts w:ascii="宋体" w:hAnsi="宋体"/>
      <w:b/>
      <w:color w:val="000000"/>
      <w:spacing w:val="10"/>
      <w:sz w:val="24"/>
      <w:szCs w:val="24"/>
      <w:lang w:val="zh-CN"/>
    </w:rPr>
  </w:style>
  <w:style w:type="character" w:customStyle="1" w:styleId="463">
    <w:name w:val="Char Char163"/>
    <w:autoRedefine/>
    <w:qFormat/>
    <w:uiPriority w:val="0"/>
    <w:rPr>
      <w:rFonts w:hint="eastAsia" w:ascii="仿宋_GB2312" w:eastAsia="仿宋_GB2312"/>
      <w:kern w:val="2"/>
      <w:sz w:val="28"/>
      <w:szCs w:val="21"/>
      <w:lang w:val="en-US" w:eastAsia="zh-CN" w:bidi="ar-SA"/>
    </w:rPr>
  </w:style>
  <w:style w:type="character" w:customStyle="1" w:styleId="464">
    <w:name w:val="报告正文1 Char"/>
    <w:link w:val="465"/>
    <w:autoRedefine/>
    <w:qFormat/>
    <w:uiPriority w:val="0"/>
    <w:rPr>
      <w:color w:val="000000"/>
      <w:sz w:val="24"/>
      <w:szCs w:val="24"/>
    </w:rPr>
  </w:style>
  <w:style w:type="paragraph" w:customStyle="1" w:styleId="465">
    <w:name w:val="报告正文1"/>
    <w:basedOn w:val="312"/>
    <w:link w:val="464"/>
    <w:autoRedefine/>
    <w:qFormat/>
    <w:uiPriority w:val="0"/>
    <w:pPr>
      <w:widowControl w:val="0"/>
      <w:spacing w:after="0" w:line="360" w:lineRule="auto"/>
      <w:ind w:left="0" w:leftChars="0" w:firstLine="200"/>
      <w:jc w:val="both"/>
    </w:pPr>
    <w:rPr>
      <w:color w:val="000000"/>
      <w:kern w:val="0"/>
      <w:sz w:val="24"/>
    </w:rPr>
  </w:style>
  <w:style w:type="character" w:customStyle="1" w:styleId="466">
    <w:name w:val="正文文本缩进 Char2"/>
    <w:autoRedefine/>
    <w:qFormat/>
    <w:locked/>
    <w:uiPriority w:val="0"/>
    <w:rPr>
      <w:rFonts w:eastAsia="宋体"/>
      <w:kern w:val="2"/>
      <w:sz w:val="21"/>
      <w:lang w:val="en-US" w:eastAsia="zh-CN" w:bidi="ar-SA"/>
    </w:rPr>
  </w:style>
  <w:style w:type="character" w:customStyle="1" w:styleId="467">
    <w:name w:val="unnamed21"/>
    <w:autoRedefine/>
    <w:qFormat/>
    <w:uiPriority w:val="0"/>
    <w:rPr>
      <w:sz w:val="18"/>
      <w:szCs w:val="18"/>
      <w:u w:val="none"/>
    </w:rPr>
  </w:style>
  <w:style w:type="character" w:customStyle="1" w:styleId="468">
    <w:name w:val="style3 style1 style4"/>
    <w:autoRedefine/>
    <w:qFormat/>
    <w:uiPriority w:val="0"/>
  </w:style>
  <w:style w:type="character" w:customStyle="1" w:styleId="469">
    <w:name w:val="ourfont2"/>
    <w:autoRedefine/>
    <w:qFormat/>
    <w:uiPriority w:val="0"/>
  </w:style>
  <w:style w:type="character" w:customStyle="1" w:styleId="470">
    <w:name w:val="Char Char29"/>
    <w:autoRedefine/>
    <w:qFormat/>
    <w:uiPriority w:val="0"/>
    <w:rPr>
      <w:sz w:val="24"/>
    </w:rPr>
  </w:style>
  <w:style w:type="character" w:customStyle="1" w:styleId="471">
    <w:name w:val="ourfont11"/>
    <w:autoRedefine/>
    <w:qFormat/>
    <w:uiPriority w:val="0"/>
    <w:rPr>
      <w:sz w:val="20"/>
      <w:szCs w:val="20"/>
    </w:rPr>
  </w:style>
  <w:style w:type="character" w:customStyle="1" w:styleId="472">
    <w:name w:val="正文首行缩进 字符"/>
    <w:autoRedefine/>
    <w:qFormat/>
    <w:uiPriority w:val="0"/>
    <w:rPr>
      <w:rFonts w:ascii="仿宋_GB2312" w:hAnsi="Times New Roman" w:eastAsia="宋体" w:cs="Times New Roman"/>
      <w:kern w:val="0"/>
      <w:sz w:val="24"/>
      <w:szCs w:val="20"/>
    </w:rPr>
  </w:style>
  <w:style w:type="character" w:customStyle="1" w:styleId="473">
    <w:name w:val="样式 标题 3条标题1.1.1h3H3level_3PIM 3Level 3 HeadHeading 3 - ol... Char"/>
    <w:link w:val="474"/>
    <w:autoRedefine/>
    <w:qFormat/>
    <w:uiPriority w:val="0"/>
    <w:rPr>
      <w:rFonts w:eastAsia="黑体"/>
      <w:bCs/>
      <w:kern w:val="2"/>
      <w:sz w:val="24"/>
      <w:szCs w:val="24"/>
    </w:rPr>
  </w:style>
  <w:style w:type="paragraph" w:customStyle="1" w:styleId="474">
    <w:name w:val="样式 标题 3条标题1.1.1h3H3level_3PIM 3Level 3 HeadHeading 3 - ol..."/>
    <w:basedOn w:val="5"/>
    <w:link w:val="473"/>
    <w:autoRedefine/>
    <w:qFormat/>
    <w:uiPriority w:val="0"/>
    <w:pPr>
      <w:keepLines w:val="0"/>
      <w:spacing w:before="0" w:after="0" w:line="240" w:lineRule="auto"/>
    </w:pPr>
    <w:rPr>
      <w:rFonts w:eastAsia="黑体"/>
      <w:b w:val="0"/>
      <w:sz w:val="24"/>
      <w:szCs w:val="24"/>
    </w:rPr>
  </w:style>
  <w:style w:type="character" w:customStyle="1" w:styleId="475">
    <w:name w:val="wd12lan1"/>
    <w:autoRedefine/>
    <w:qFormat/>
    <w:uiPriority w:val="0"/>
    <w:rPr>
      <w:color w:val="075891"/>
      <w:sz w:val="20"/>
      <w:szCs w:val="20"/>
      <w:u w:val="none"/>
    </w:rPr>
  </w:style>
  <w:style w:type="character" w:customStyle="1" w:styleId="476">
    <w:name w:val="表内文字"/>
    <w:autoRedefine/>
    <w:qFormat/>
    <w:uiPriority w:val="0"/>
    <w:rPr>
      <w:rFonts w:ascii="宋体" w:hAnsi="宋体" w:eastAsia="宋体" w:cs="Times New Roman"/>
      <w:sz w:val="21"/>
      <w:szCs w:val="21"/>
    </w:rPr>
  </w:style>
  <w:style w:type="character" w:customStyle="1" w:styleId="477">
    <w:name w:val="Char Char164"/>
    <w:autoRedefine/>
    <w:qFormat/>
    <w:uiPriority w:val="0"/>
    <w:rPr>
      <w:rFonts w:hint="eastAsia" w:ascii="仿宋_GB2312" w:eastAsia="仿宋_GB2312"/>
      <w:kern w:val="2"/>
      <w:sz w:val="28"/>
      <w:szCs w:val="21"/>
      <w:lang w:val="en-US" w:eastAsia="zh-CN" w:bidi="ar-SA"/>
    </w:rPr>
  </w:style>
  <w:style w:type="character" w:customStyle="1" w:styleId="478">
    <w:name w:val="style121"/>
    <w:autoRedefine/>
    <w:qFormat/>
    <w:uiPriority w:val="0"/>
    <w:rPr>
      <w:rFonts w:hint="eastAsia" w:ascii="宋体" w:hAnsi="宋体" w:eastAsia="宋体"/>
      <w:b/>
      <w:bCs/>
      <w:color w:val="F77118"/>
      <w:kern w:val="2"/>
      <w:sz w:val="24"/>
      <w:szCs w:val="24"/>
      <w:lang w:val="en-US" w:eastAsia="zh-CN" w:bidi="ar-SA"/>
    </w:rPr>
  </w:style>
  <w:style w:type="character" w:customStyle="1" w:styleId="479">
    <w:name w:val="Char Char261"/>
    <w:autoRedefine/>
    <w:qFormat/>
    <w:uiPriority w:val="0"/>
    <w:rPr>
      <w:rFonts w:hint="default" w:ascii="Arial" w:hAnsi="Arial" w:eastAsia="黑体" w:cs="Arial"/>
      <w:b/>
      <w:kern w:val="2"/>
      <w:sz w:val="32"/>
      <w:lang w:val="en-US" w:eastAsia="zh-CN" w:bidi="ar-SA"/>
    </w:rPr>
  </w:style>
  <w:style w:type="character" w:customStyle="1" w:styleId="480">
    <w:name w:val="标题 31"/>
    <w:autoRedefine/>
    <w:qFormat/>
    <w:uiPriority w:val="0"/>
    <w:rPr>
      <w:rFonts w:eastAsia="宋体" w:cs="Times New Roman"/>
      <w:sz w:val="28"/>
      <w:lang w:val="en-US" w:eastAsia="zh-CN" w:bidi="ar-SA"/>
    </w:rPr>
  </w:style>
  <w:style w:type="character" w:customStyle="1" w:styleId="481">
    <w:name w:val="title11"/>
    <w:autoRedefine/>
    <w:qFormat/>
    <w:uiPriority w:val="0"/>
    <w:rPr>
      <w:rFonts w:hint="default" w:ascii="Times New Roman" w:hAnsi="Times New Roman" w:cs="Times New Roman"/>
      <w:b/>
      <w:bCs/>
      <w:color w:val="000000"/>
      <w:sz w:val="32"/>
      <w:szCs w:val="32"/>
    </w:rPr>
  </w:style>
  <w:style w:type="character" w:customStyle="1" w:styleId="482">
    <w:name w:val="标题 5 字符1"/>
    <w:autoRedefine/>
    <w:qFormat/>
    <w:locked/>
    <w:uiPriority w:val="0"/>
    <w:rPr>
      <w:b/>
      <w:bCs/>
      <w:sz w:val="28"/>
      <w:szCs w:val="28"/>
    </w:rPr>
  </w:style>
  <w:style w:type="character" w:customStyle="1" w:styleId="483">
    <w:name w:val="5文章(治) Char"/>
    <w:link w:val="484"/>
    <w:autoRedefine/>
    <w:qFormat/>
    <w:uiPriority w:val="0"/>
    <w:rPr>
      <w:bCs/>
      <w:color w:val="000000"/>
      <w:sz w:val="24"/>
      <w:szCs w:val="24"/>
    </w:rPr>
  </w:style>
  <w:style w:type="paragraph" w:customStyle="1" w:styleId="484">
    <w:name w:val="5文章(治)"/>
    <w:basedOn w:val="1"/>
    <w:link w:val="483"/>
    <w:autoRedefine/>
    <w:qFormat/>
    <w:uiPriority w:val="0"/>
    <w:pPr>
      <w:spacing w:line="360" w:lineRule="auto"/>
      <w:ind w:firstLine="480" w:firstLineChars="200"/>
    </w:pPr>
    <w:rPr>
      <w:bCs/>
      <w:color w:val="000000"/>
      <w:kern w:val="0"/>
      <w:sz w:val="24"/>
    </w:rPr>
  </w:style>
  <w:style w:type="character" w:customStyle="1" w:styleId="485">
    <w:name w:val="报告 Char Char Char Char"/>
    <w:link w:val="486"/>
    <w:autoRedefine/>
    <w:qFormat/>
    <w:uiPriority w:val="0"/>
    <w:rPr>
      <w:sz w:val="24"/>
      <w:szCs w:val="24"/>
    </w:rPr>
  </w:style>
  <w:style w:type="paragraph" w:customStyle="1" w:styleId="486">
    <w:name w:val="报告 Char Char Char"/>
    <w:basedOn w:val="1"/>
    <w:link w:val="485"/>
    <w:autoRedefine/>
    <w:qFormat/>
    <w:uiPriority w:val="0"/>
    <w:pPr>
      <w:adjustRightInd w:val="0"/>
      <w:spacing w:line="360" w:lineRule="auto"/>
      <w:ind w:firstLine="505"/>
      <w:textAlignment w:val="baseline"/>
    </w:pPr>
    <w:rPr>
      <w:kern w:val="0"/>
      <w:sz w:val="24"/>
    </w:rPr>
  </w:style>
  <w:style w:type="character" w:customStyle="1" w:styleId="487">
    <w:name w:val="content"/>
    <w:autoRedefine/>
    <w:qFormat/>
    <w:uiPriority w:val="0"/>
    <w:rPr>
      <w:rFonts w:ascii="宋体" w:hAnsi="宋体" w:eastAsia="宋体"/>
      <w:b/>
      <w:spacing w:val="10"/>
      <w:kern w:val="2"/>
      <w:sz w:val="24"/>
      <w:szCs w:val="24"/>
      <w:lang w:val="en-US" w:eastAsia="zh-CN" w:bidi="ar-SA"/>
    </w:rPr>
  </w:style>
  <w:style w:type="character" w:customStyle="1" w:styleId="488">
    <w:name w:val="14p1"/>
    <w:autoRedefine/>
    <w:qFormat/>
    <w:uiPriority w:val="0"/>
    <w:rPr>
      <w:sz w:val="25"/>
    </w:rPr>
  </w:style>
  <w:style w:type="character" w:customStyle="1" w:styleId="489">
    <w:name w:val="Char Char Char Char Char Char Char Char6"/>
    <w:autoRedefine/>
    <w:qFormat/>
    <w:uiPriority w:val="0"/>
    <w:rPr>
      <w:rFonts w:ascii="Times New Roman" w:hAnsi="Times New Roman" w:eastAsia="宋体" w:cs="Times New Roman"/>
      <w:sz w:val="24"/>
      <w:szCs w:val="24"/>
    </w:rPr>
  </w:style>
  <w:style w:type="character" w:customStyle="1" w:styleId="490">
    <w:name w:val="HTML 代码2"/>
    <w:autoRedefine/>
    <w:qFormat/>
    <w:uiPriority w:val="0"/>
    <w:rPr>
      <w:rFonts w:hint="eastAsia" w:ascii="黑体" w:hAnsi="Courier New" w:eastAsia="黑体" w:cs="Courier New"/>
      <w:sz w:val="24"/>
      <w:szCs w:val="24"/>
    </w:rPr>
  </w:style>
  <w:style w:type="character" w:customStyle="1" w:styleId="491">
    <w:name w:val="style51"/>
    <w:autoRedefine/>
    <w:qFormat/>
    <w:uiPriority w:val="0"/>
    <w:rPr>
      <w:b/>
      <w:color w:val="FF0000"/>
      <w:sz w:val="24"/>
    </w:rPr>
  </w:style>
  <w:style w:type="character" w:customStyle="1" w:styleId="492">
    <w:name w:val="Char Char76"/>
    <w:autoRedefine/>
    <w:qFormat/>
    <w:uiPriority w:val="0"/>
    <w:rPr>
      <w:rFonts w:ascii="Arial" w:hAnsi="Arial" w:eastAsia="宋体" w:cs="Arial"/>
      <w:b/>
      <w:bCs/>
      <w:kern w:val="2"/>
      <w:sz w:val="32"/>
      <w:szCs w:val="32"/>
      <w:lang w:val="en-US" w:eastAsia="zh-CN" w:bidi="ar-SA"/>
    </w:rPr>
  </w:style>
  <w:style w:type="character" w:customStyle="1" w:styleId="493">
    <w:name w:val="Char Char82"/>
    <w:autoRedefine/>
    <w:qFormat/>
    <w:uiPriority w:val="0"/>
    <w:rPr>
      <w:rFonts w:ascii="黑体" w:eastAsia="黑体"/>
      <w:b/>
      <w:bCs/>
      <w:sz w:val="28"/>
      <w:szCs w:val="28"/>
      <w:lang w:val="en-US" w:eastAsia="zh-CN" w:bidi="ar-SA"/>
    </w:rPr>
  </w:style>
  <w:style w:type="character" w:customStyle="1" w:styleId="494">
    <w:name w:val="页码 Char"/>
    <w:autoRedefine/>
    <w:qFormat/>
    <w:uiPriority w:val="0"/>
  </w:style>
  <w:style w:type="character" w:customStyle="1" w:styleId="495">
    <w:name w:val="search_content1"/>
    <w:autoRedefine/>
    <w:qFormat/>
    <w:uiPriority w:val="0"/>
    <w:rPr>
      <w:sz w:val="20"/>
      <w:szCs w:val="20"/>
    </w:rPr>
  </w:style>
  <w:style w:type="character" w:customStyle="1" w:styleId="496">
    <w:name w:val="m"/>
    <w:autoRedefine/>
    <w:qFormat/>
    <w:uiPriority w:val="0"/>
  </w:style>
  <w:style w:type="character" w:customStyle="1" w:styleId="497">
    <w:name w:val="t_01"/>
    <w:autoRedefine/>
    <w:qFormat/>
    <w:uiPriority w:val="0"/>
  </w:style>
  <w:style w:type="character" w:customStyle="1" w:styleId="498">
    <w:name w:val="小圈 Char"/>
    <w:link w:val="499"/>
    <w:autoRedefine/>
    <w:qFormat/>
    <w:uiPriority w:val="0"/>
    <w:rPr>
      <w:rFonts w:ascii="宋体" w:hAnsi="宋体" w:cs="宋体"/>
      <w:sz w:val="28"/>
    </w:rPr>
  </w:style>
  <w:style w:type="paragraph" w:customStyle="1" w:styleId="499">
    <w:name w:val="小圈"/>
    <w:basedOn w:val="216"/>
    <w:link w:val="498"/>
    <w:autoRedefine/>
    <w:qFormat/>
    <w:uiPriority w:val="0"/>
    <w:pPr>
      <w:tabs>
        <w:tab w:val="left" w:pos="567"/>
      </w:tabs>
      <w:ind w:firstLine="400"/>
    </w:pPr>
    <w:rPr>
      <w:kern w:val="0"/>
      <w:szCs w:val="20"/>
    </w:rPr>
  </w:style>
  <w:style w:type="character" w:customStyle="1" w:styleId="500">
    <w:name w:val="正文（lulu四号字） Char"/>
    <w:link w:val="216"/>
    <w:autoRedefine/>
    <w:qFormat/>
    <w:locked/>
    <w:uiPriority w:val="0"/>
    <w:rPr>
      <w:rFonts w:ascii="宋体" w:hAnsi="宋体" w:cs="宋体"/>
      <w:kern w:val="2"/>
      <w:sz w:val="28"/>
      <w:szCs w:val="28"/>
    </w:rPr>
  </w:style>
  <w:style w:type="character" w:customStyle="1" w:styleId="501">
    <w:name w:val="正文文字 2 Char Char1"/>
    <w:autoRedefine/>
    <w:qFormat/>
    <w:uiPriority w:val="0"/>
    <w:rPr>
      <w:rFonts w:eastAsia="宋体"/>
      <w:sz w:val="24"/>
      <w:lang w:val="en-US" w:eastAsia="zh-CN" w:bidi="ar-SA"/>
    </w:rPr>
  </w:style>
  <w:style w:type="character" w:customStyle="1" w:styleId="502">
    <w:name w:val="标题10"/>
    <w:autoRedefine/>
    <w:qFormat/>
    <w:uiPriority w:val="0"/>
  </w:style>
  <w:style w:type="character" w:customStyle="1" w:styleId="503">
    <w:name w:val="日期 Char3"/>
    <w:autoRedefine/>
    <w:qFormat/>
    <w:locked/>
    <w:uiPriority w:val="0"/>
    <w:rPr>
      <w:rFonts w:eastAsia="仿宋_GB2312"/>
      <w:kern w:val="2"/>
      <w:sz w:val="32"/>
      <w:lang w:val="en-US" w:eastAsia="zh-CN" w:bidi="ar-SA"/>
    </w:rPr>
  </w:style>
  <w:style w:type="character" w:customStyle="1" w:styleId="504">
    <w:name w:val="环正文 Char2"/>
    <w:autoRedefine/>
    <w:qFormat/>
    <w:uiPriority w:val="0"/>
    <w:rPr>
      <w:rFonts w:ascii="宋体" w:hAnsi="宋体" w:eastAsia="宋体"/>
      <w:sz w:val="24"/>
      <w:lang w:val="en-US" w:eastAsia="zh-CN" w:bidi="ar-SA"/>
    </w:rPr>
  </w:style>
  <w:style w:type="character" w:customStyle="1" w:styleId="505">
    <w:name w:val="Char Char132"/>
    <w:autoRedefine/>
    <w:qFormat/>
    <w:uiPriority w:val="0"/>
    <w:rPr>
      <w:rFonts w:hint="eastAsia" w:ascii="仿宋_GB2312" w:eastAsia="仿宋_GB2312"/>
      <w:kern w:val="2"/>
      <w:sz w:val="18"/>
      <w:szCs w:val="18"/>
      <w:lang w:val="en-US" w:eastAsia="zh-CN" w:bidi="ar-SA"/>
    </w:rPr>
  </w:style>
  <w:style w:type="character" w:customStyle="1" w:styleId="506">
    <w:name w:val="正文（首行缩进两字） Char Char1 Char Char Char Cha"/>
    <w:autoRedefine/>
    <w:qFormat/>
    <w:uiPriority w:val="0"/>
    <w:rPr>
      <w:rFonts w:ascii="仿宋_GB2312" w:eastAsia="仿宋_GB2312"/>
      <w:color w:val="000000"/>
      <w:kern w:val="2"/>
      <w:sz w:val="28"/>
      <w:szCs w:val="24"/>
      <w:lang w:val="en-US" w:eastAsia="zh-CN" w:bidi="ar-SA"/>
    </w:rPr>
  </w:style>
  <w:style w:type="character" w:customStyle="1" w:styleId="507">
    <w:name w:val="Char Char122"/>
    <w:autoRedefine/>
    <w:qFormat/>
    <w:uiPriority w:val="0"/>
    <w:rPr>
      <w:sz w:val="18"/>
      <w:szCs w:val="18"/>
    </w:rPr>
  </w:style>
  <w:style w:type="character" w:customStyle="1" w:styleId="508">
    <w:name w:val="h8 Char2"/>
    <w:autoRedefine/>
    <w:qFormat/>
    <w:uiPriority w:val="0"/>
    <w:rPr>
      <w:rFonts w:ascii="Arial" w:hAnsi="Arial" w:eastAsia="黑体"/>
      <w:kern w:val="2"/>
      <w:sz w:val="24"/>
      <w:szCs w:val="24"/>
      <w:lang w:val="en-US" w:eastAsia="zh-CN" w:bidi="ar-SA"/>
    </w:rPr>
  </w:style>
  <w:style w:type="character" w:customStyle="1" w:styleId="509">
    <w:name w:val="Char Char50"/>
    <w:autoRedefine/>
    <w:qFormat/>
    <w:uiPriority w:val="0"/>
    <w:rPr>
      <w:rFonts w:hint="eastAsia" w:ascii="黑体" w:hAnsi="黑体" w:eastAsia="黑体"/>
      <w:b/>
      <w:bCs/>
      <w:sz w:val="28"/>
      <w:szCs w:val="28"/>
      <w:lang w:val="en-US" w:eastAsia="zh-CN" w:bidi="ar-SA"/>
    </w:rPr>
  </w:style>
  <w:style w:type="character" w:customStyle="1" w:styleId="510">
    <w:name w:val="标题 2 Char Char1"/>
    <w:autoRedefine/>
    <w:qFormat/>
    <w:uiPriority w:val="0"/>
    <w:rPr>
      <w:rFonts w:ascii="宋体" w:hAnsi="宋体" w:eastAsia="宋体" w:cs="Arial"/>
      <w:b/>
      <w:bCs/>
      <w:color w:val="FFC000" w:themeColor="accent4"/>
      <w:sz w:val="28"/>
      <w:szCs w:val="36"/>
      <w:lang w:val="en-US" w:eastAsia="zh-CN" w:bidi="ar-SA"/>
      <w14:textFill>
        <w14:solidFill>
          <w14:schemeClr w14:val="accent4"/>
        </w14:solidFill>
      </w14:textFill>
    </w:rPr>
  </w:style>
  <w:style w:type="character" w:customStyle="1" w:styleId="511">
    <w:name w:val="【正文】 Char"/>
    <w:link w:val="512"/>
    <w:autoRedefine/>
    <w:qFormat/>
    <w:uiPriority w:val="0"/>
    <w:rPr>
      <w:rFonts w:ascii="Times New Roman" w:hAnsi="Times New Roman" w:eastAsia="宋体"/>
      <w:spacing w:val="0"/>
      <w:sz w:val="24"/>
    </w:rPr>
  </w:style>
  <w:style w:type="paragraph" w:customStyle="1" w:styleId="512">
    <w:name w:val="【正文】"/>
    <w:basedOn w:val="1"/>
    <w:link w:val="511"/>
    <w:autoRedefine/>
    <w:qFormat/>
    <w:uiPriority w:val="0"/>
    <w:pPr>
      <w:spacing w:line="440" w:lineRule="exact"/>
      <w:ind w:firstLine="544" w:firstLineChars="200"/>
    </w:pPr>
    <w:rPr>
      <w:rFonts w:ascii="Times New Roman" w:hAnsi="Times New Roman" w:eastAsia="宋体"/>
      <w:spacing w:val="0"/>
      <w:kern w:val="0"/>
      <w:sz w:val="24"/>
      <w:szCs w:val="20"/>
    </w:rPr>
  </w:style>
  <w:style w:type="character" w:customStyle="1" w:styleId="513">
    <w:name w:val="样式 标题 3 Char1标题 3 Char Char Char1标题 3 Char Char1h3 Char3 Cha...1"/>
    <w:autoRedefine/>
    <w:qFormat/>
    <w:uiPriority w:val="0"/>
    <w:rPr>
      <w:rFonts w:hint="default" w:ascii="Times New Roman" w:hAnsi="Times New Roman" w:eastAsia="宋体" w:cs="Times New Roman"/>
      <w:bCs/>
      <w:color w:val="FFC000" w:themeColor="accent4"/>
      <w:kern w:val="2"/>
      <w:sz w:val="28"/>
      <w:lang w:val="en-US" w:eastAsia="zh-CN"/>
      <w14:textFill>
        <w14:solidFill>
          <w14:schemeClr w14:val="accent4"/>
        </w14:solidFill>
      </w14:textFill>
    </w:rPr>
  </w:style>
  <w:style w:type="character" w:customStyle="1" w:styleId="514">
    <w:name w:val="正文3 Char1"/>
    <w:link w:val="515"/>
    <w:autoRedefine/>
    <w:qFormat/>
    <w:uiPriority w:val="0"/>
    <w:rPr>
      <w:rFonts w:ascii="Times New Roman" w:hAnsi="Times New Roman" w:eastAsia="宋体"/>
      <w:b/>
      <w:spacing w:val="-6"/>
      <w:sz w:val="28"/>
    </w:rPr>
  </w:style>
  <w:style w:type="paragraph" w:customStyle="1" w:styleId="515">
    <w:name w:val="副标题1"/>
    <w:link w:val="514"/>
    <w:autoRedefine/>
    <w:qFormat/>
    <w:uiPriority w:val="0"/>
    <w:pPr>
      <w:widowControl w:val="0"/>
      <w:adjustRightInd w:val="0"/>
      <w:spacing w:line="480" w:lineRule="exact"/>
      <w:jc w:val="both"/>
      <w:textAlignment w:val="baseline"/>
    </w:pPr>
    <w:rPr>
      <w:rFonts w:ascii="Times New Roman" w:hAnsi="Times New Roman" w:eastAsia="宋体" w:cs="Times New Roman"/>
      <w:b/>
      <w:spacing w:val="-6"/>
      <w:sz w:val="28"/>
      <w:lang w:val="en-US" w:eastAsia="zh-CN" w:bidi="ar-SA"/>
    </w:rPr>
  </w:style>
  <w:style w:type="character" w:customStyle="1" w:styleId="516">
    <w:name w:val="Char Char13"/>
    <w:autoRedefine/>
    <w:qFormat/>
    <w:uiPriority w:val="0"/>
    <w:rPr>
      <w:rFonts w:ascii="宋体" w:hAnsi="宋体" w:eastAsia="宋体" w:cs="宋体"/>
      <w:b/>
      <w:bCs/>
      <w:kern w:val="2"/>
      <w:sz w:val="24"/>
      <w:szCs w:val="20"/>
      <w:lang w:eastAsia="zh-CN" w:bidi="ar-SA"/>
    </w:rPr>
  </w:style>
  <w:style w:type="character" w:customStyle="1" w:styleId="517">
    <w:name w:val="正文文本缩进 Char1"/>
    <w:link w:val="518"/>
    <w:autoRedefine/>
    <w:qFormat/>
    <w:locked/>
    <w:uiPriority w:val="0"/>
    <w:rPr>
      <w:sz w:val="28"/>
    </w:rPr>
  </w:style>
  <w:style w:type="paragraph" w:customStyle="1" w:styleId="518">
    <w:name w:val="正文文本缩进1"/>
    <w:basedOn w:val="1"/>
    <w:link w:val="517"/>
    <w:autoRedefine/>
    <w:qFormat/>
    <w:uiPriority w:val="0"/>
    <w:pPr>
      <w:ind w:firstLine="578"/>
    </w:pPr>
    <w:rPr>
      <w:kern w:val="0"/>
      <w:sz w:val="28"/>
      <w:szCs w:val="20"/>
    </w:rPr>
  </w:style>
  <w:style w:type="character" w:customStyle="1" w:styleId="519">
    <w:name w:val="Char4 Char1"/>
    <w:autoRedefine/>
    <w:qFormat/>
    <w:uiPriority w:val="0"/>
    <w:rPr>
      <w:rFonts w:ascii="宋体" w:hAnsi="宋体" w:eastAsia="宋体"/>
      <w:kern w:val="2"/>
      <w:sz w:val="18"/>
      <w:szCs w:val="18"/>
      <w:lang w:val="en-US" w:eastAsia="zh-CN" w:bidi="ar-SA"/>
    </w:rPr>
  </w:style>
  <w:style w:type="character" w:customStyle="1" w:styleId="520">
    <w:name w:val="Char Char191"/>
    <w:autoRedefine/>
    <w:qFormat/>
    <w:uiPriority w:val="0"/>
    <w:rPr>
      <w:rFonts w:ascii="宋体" w:hAnsi="宋体" w:eastAsia="宋体"/>
      <w:b/>
      <w:color w:val="000000"/>
      <w:kern w:val="2"/>
      <w:sz w:val="28"/>
      <w:szCs w:val="24"/>
      <w:lang w:val="en-US" w:eastAsia="zh-CN" w:bidi="ar-SA"/>
    </w:rPr>
  </w:style>
  <w:style w:type="character" w:customStyle="1" w:styleId="521">
    <w:name w:val="at_1"/>
    <w:autoRedefine/>
    <w:qFormat/>
    <w:uiPriority w:val="0"/>
  </w:style>
  <w:style w:type="character" w:customStyle="1" w:styleId="522">
    <w:name w:val="Char4 Char Char2"/>
    <w:autoRedefine/>
    <w:qFormat/>
    <w:uiPriority w:val="0"/>
    <w:rPr>
      <w:rFonts w:hint="eastAsia" w:ascii="宋体" w:hAnsi="宋体" w:eastAsia="宋体"/>
      <w:kern w:val="2"/>
      <w:sz w:val="18"/>
      <w:szCs w:val="18"/>
      <w:lang w:val="en-US" w:eastAsia="zh-CN" w:bidi="ar-SA"/>
    </w:rPr>
  </w:style>
  <w:style w:type="character" w:customStyle="1" w:styleId="523">
    <w:name w:val="lh15"/>
    <w:autoRedefine/>
    <w:qFormat/>
    <w:uiPriority w:val="0"/>
  </w:style>
  <w:style w:type="character" w:customStyle="1" w:styleId="524">
    <w:name w:val="标题17"/>
    <w:autoRedefine/>
    <w:qFormat/>
    <w:uiPriority w:val="0"/>
  </w:style>
  <w:style w:type="character" w:customStyle="1" w:styleId="525">
    <w:name w:val="t1"/>
    <w:autoRedefine/>
    <w:qFormat/>
    <w:uiPriority w:val="0"/>
    <w:rPr>
      <w:rFonts w:hint="default" w:ascii="Arial" w:hAnsi="Arial" w:cs="Arial"/>
      <w:sz w:val="18"/>
      <w:szCs w:val="18"/>
    </w:rPr>
  </w:style>
  <w:style w:type="character" w:customStyle="1" w:styleId="526">
    <w:name w:val="正文文字 Char1"/>
    <w:autoRedefine/>
    <w:qFormat/>
    <w:uiPriority w:val="0"/>
    <w:rPr>
      <w:rFonts w:eastAsia="仿宋_GB2312"/>
      <w:kern w:val="2"/>
      <w:sz w:val="24"/>
      <w:lang w:val="en-US" w:eastAsia="zh-CN"/>
    </w:rPr>
  </w:style>
  <w:style w:type="character" w:customStyle="1" w:styleId="527">
    <w:name w:val="text"/>
    <w:autoRedefine/>
    <w:qFormat/>
    <w:uiPriority w:val="0"/>
    <w:rPr>
      <w:rFonts w:cs="Times New Roman"/>
    </w:rPr>
  </w:style>
  <w:style w:type="character" w:customStyle="1" w:styleId="528">
    <w:name w:val="Char Char32"/>
    <w:autoRedefine/>
    <w:qFormat/>
    <w:uiPriority w:val="0"/>
    <w:rPr>
      <w:rFonts w:ascii="Arial" w:hAnsi="Arial" w:eastAsia="宋体"/>
      <w:b/>
      <w:kern w:val="2"/>
      <w:sz w:val="32"/>
      <w:lang w:val="en-US" w:eastAsia="zh-CN"/>
    </w:rPr>
  </w:style>
  <w:style w:type="character" w:customStyle="1" w:styleId="529">
    <w:name w:val="正文样式1111 Char Char"/>
    <w:autoRedefine/>
    <w:qFormat/>
    <w:uiPriority w:val="0"/>
    <w:rPr>
      <w:rFonts w:ascii="宋体" w:hAnsi="宋体" w:eastAsia="宋体"/>
      <w:color w:val="000000"/>
      <w:kern w:val="2"/>
      <w:sz w:val="24"/>
      <w:szCs w:val="24"/>
      <w:lang w:val="en-US" w:eastAsia="zh-CN" w:bidi="ar-SA"/>
    </w:rPr>
  </w:style>
  <w:style w:type="character" w:customStyle="1" w:styleId="530">
    <w:name w:val="Char Char36"/>
    <w:autoRedefine/>
    <w:qFormat/>
    <w:uiPriority w:val="0"/>
    <w:rPr>
      <w:rFonts w:eastAsia="宋体"/>
      <w:sz w:val="28"/>
      <w:lang w:val="en-US" w:eastAsia="zh-CN" w:bidi="ar-SA"/>
    </w:rPr>
  </w:style>
  <w:style w:type="character" w:customStyle="1" w:styleId="531">
    <w:name w:val="正文2 Char"/>
    <w:link w:val="532"/>
    <w:autoRedefine/>
    <w:qFormat/>
    <w:uiPriority w:val="0"/>
    <w:rPr>
      <w:sz w:val="24"/>
    </w:rPr>
  </w:style>
  <w:style w:type="paragraph" w:customStyle="1" w:styleId="532">
    <w:name w:val="正文22"/>
    <w:link w:val="531"/>
    <w:autoRedefine/>
    <w:qFormat/>
    <w:uiPriority w:val="0"/>
    <w:pPr>
      <w:tabs>
        <w:tab w:val="right" w:pos="1474"/>
      </w:tabs>
      <w:spacing w:line="360" w:lineRule="auto"/>
    </w:pPr>
    <w:rPr>
      <w:rFonts w:ascii="Times New Roman" w:hAnsi="Times New Roman" w:eastAsia="宋体" w:cs="Times New Roman"/>
      <w:sz w:val="24"/>
      <w:lang w:val="en-US" w:eastAsia="zh-CN" w:bidi="ar-SA"/>
    </w:rPr>
  </w:style>
  <w:style w:type="character" w:customStyle="1" w:styleId="533">
    <w:name w:val="common1"/>
    <w:autoRedefine/>
    <w:qFormat/>
    <w:uiPriority w:val="0"/>
    <w:rPr>
      <w:rFonts w:ascii="黑体" w:hAnsi="黑体" w:eastAsia="黑体"/>
      <w:b/>
      <w:spacing w:val="10"/>
      <w:kern w:val="44"/>
      <w:sz w:val="18"/>
      <w:szCs w:val="18"/>
      <w:lang w:val="en-US" w:eastAsia="zh-CN"/>
    </w:rPr>
  </w:style>
  <w:style w:type="character" w:customStyle="1" w:styleId="534">
    <w:name w:val="Char Char54"/>
    <w:autoRedefine/>
    <w:qFormat/>
    <w:uiPriority w:val="0"/>
    <w:rPr>
      <w:rFonts w:eastAsia="宋体"/>
      <w:sz w:val="18"/>
      <w:szCs w:val="18"/>
      <w:lang w:val="en-US" w:eastAsia="zh-CN" w:bidi="ar-SA"/>
    </w:rPr>
  </w:style>
  <w:style w:type="character" w:customStyle="1" w:styleId="535">
    <w:name w:val="首行缩进 Char"/>
    <w:autoRedefine/>
    <w:qFormat/>
    <w:uiPriority w:val="0"/>
    <w:rPr>
      <w:rFonts w:eastAsia="宋体" w:cs="宋体"/>
      <w:sz w:val="24"/>
      <w:szCs w:val="24"/>
      <w:lang w:val="en-US" w:eastAsia="zh-CN" w:bidi="ar-SA"/>
    </w:rPr>
  </w:style>
  <w:style w:type="character" w:customStyle="1" w:styleId="536">
    <w:name w:val="标题7"/>
    <w:autoRedefine/>
    <w:qFormat/>
    <w:uiPriority w:val="0"/>
  </w:style>
  <w:style w:type="character" w:customStyle="1" w:styleId="537">
    <w:name w:val="标题 Char3"/>
    <w:autoRedefine/>
    <w:qFormat/>
    <w:locked/>
    <w:uiPriority w:val="0"/>
    <w:rPr>
      <w:rFonts w:ascii="Arial" w:hAnsi="Arial" w:eastAsia="宋体" w:cs="Arial"/>
      <w:b/>
      <w:bCs/>
      <w:kern w:val="2"/>
      <w:sz w:val="32"/>
      <w:szCs w:val="32"/>
      <w:lang w:val="en-US" w:eastAsia="zh-CN" w:bidi="ar-SA"/>
    </w:rPr>
  </w:style>
  <w:style w:type="character" w:customStyle="1" w:styleId="538">
    <w:name w:val="Char Char Char Char Char Char Char Char Char Char Char Char1"/>
    <w:autoRedefine/>
    <w:qFormat/>
    <w:uiPriority w:val="0"/>
    <w:rPr>
      <w:rFonts w:hint="eastAsia" w:ascii="宋体" w:hAnsi="Courier New" w:eastAsia="宋体"/>
      <w:kern w:val="2"/>
      <w:sz w:val="21"/>
      <w:szCs w:val="21"/>
      <w:lang w:val="en-US" w:eastAsia="zh-CN" w:bidi="ar-SA"/>
    </w:rPr>
  </w:style>
  <w:style w:type="character" w:customStyle="1" w:styleId="539">
    <w:name w:val="正文文字 2 Char Char2"/>
    <w:autoRedefine/>
    <w:qFormat/>
    <w:uiPriority w:val="0"/>
    <w:rPr>
      <w:rFonts w:eastAsia="宋体"/>
      <w:sz w:val="24"/>
      <w:lang w:val="en-US" w:eastAsia="zh-CN" w:bidi="ar-SA"/>
    </w:rPr>
  </w:style>
  <w:style w:type="character" w:customStyle="1" w:styleId="540">
    <w:name w:val="Char Char231"/>
    <w:autoRedefine/>
    <w:qFormat/>
    <w:uiPriority w:val="0"/>
    <w:rPr>
      <w:rFonts w:hint="eastAsia" w:ascii="宋体" w:hAnsi="宋体" w:eastAsia="宋体"/>
      <w:color w:val="000000"/>
      <w:kern w:val="2"/>
      <w:sz w:val="24"/>
      <w:szCs w:val="24"/>
      <w:lang w:val="en-US" w:eastAsia="zh-CN" w:bidi="ar-SA"/>
    </w:rPr>
  </w:style>
  <w:style w:type="character" w:customStyle="1" w:styleId="541">
    <w:name w:val="Char Char7"/>
    <w:autoRedefine/>
    <w:qFormat/>
    <w:uiPriority w:val="0"/>
    <w:rPr>
      <w:rFonts w:ascii="仿宋_GB2312" w:eastAsia="仿宋_GB2312"/>
      <w:sz w:val="28"/>
      <w:lang w:val="en-US" w:eastAsia="zh-CN" w:bidi="ar-SA"/>
    </w:rPr>
  </w:style>
  <w:style w:type="character" w:customStyle="1" w:styleId="542">
    <w:name w:val="环标1 Char1"/>
    <w:link w:val="543"/>
    <w:autoRedefine/>
    <w:qFormat/>
    <w:uiPriority w:val="0"/>
    <w:rPr>
      <w:rFonts w:ascii="黑体" w:hAnsi="Courier New" w:eastAsia="黑体"/>
      <w:kern w:val="44"/>
      <w:sz w:val="32"/>
    </w:rPr>
  </w:style>
  <w:style w:type="paragraph" w:customStyle="1" w:styleId="543">
    <w:name w:val="环标1"/>
    <w:basedOn w:val="3"/>
    <w:link w:val="542"/>
    <w:autoRedefine/>
    <w:qFormat/>
    <w:uiPriority w:val="0"/>
    <w:pPr>
      <w:keepNext w:val="0"/>
      <w:tabs>
        <w:tab w:val="left" w:pos="425"/>
      </w:tabs>
      <w:overflowPunct/>
      <w:adjustRightInd w:val="0"/>
      <w:snapToGrid/>
      <w:spacing w:before="0" w:after="120" w:line="312" w:lineRule="atLeast"/>
      <w:ind w:left="0" w:firstLine="0"/>
      <w:jc w:val="left"/>
      <w:textAlignment w:val="baseline"/>
    </w:pPr>
    <w:rPr>
      <w:rFonts w:ascii="黑体" w:hAnsi="Courier New"/>
      <w:b w:val="0"/>
      <w:bCs w:val="0"/>
      <w:color w:val="auto"/>
      <w:sz w:val="32"/>
      <w:szCs w:val="20"/>
    </w:rPr>
  </w:style>
  <w:style w:type="character" w:customStyle="1" w:styleId="544">
    <w:name w:val="H2 Char1"/>
    <w:autoRedefine/>
    <w:qFormat/>
    <w:uiPriority w:val="0"/>
    <w:rPr>
      <w:rFonts w:ascii="宋体" w:hAnsi="宋体"/>
      <w:b/>
      <w:bCs/>
      <w:kern w:val="2"/>
      <w:sz w:val="28"/>
      <w:szCs w:val="32"/>
    </w:rPr>
  </w:style>
  <w:style w:type="character" w:customStyle="1" w:styleId="545">
    <w:name w:val="H6 Char Char"/>
    <w:autoRedefine/>
    <w:qFormat/>
    <w:uiPriority w:val="0"/>
    <w:rPr>
      <w:rFonts w:ascii="Arial" w:hAnsi="Arial" w:eastAsia="黑体" w:cs="Times New Roman"/>
      <w:b/>
      <w:bCs/>
      <w:kern w:val="2"/>
      <w:sz w:val="24"/>
      <w:szCs w:val="24"/>
    </w:rPr>
  </w:style>
  <w:style w:type="character" w:customStyle="1" w:styleId="546">
    <w:name w:val=". (a.) Char"/>
    <w:autoRedefine/>
    <w:qFormat/>
    <w:uiPriority w:val="0"/>
    <w:rPr>
      <w:kern w:val="2"/>
      <w:sz w:val="28"/>
    </w:rPr>
  </w:style>
  <w:style w:type="character" w:customStyle="1" w:styleId="547">
    <w:name w:val="msonormal"/>
    <w:autoRedefine/>
    <w:qFormat/>
    <w:uiPriority w:val="0"/>
  </w:style>
  <w:style w:type="character" w:customStyle="1" w:styleId="548">
    <w:name w:val="c4 Char Char"/>
    <w:link w:val="549"/>
    <w:autoRedefine/>
    <w:qFormat/>
    <w:uiPriority w:val="0"/>
    <w:rPr>
      <w:rFonts w:ascii="黑体" w:hAnsi="宋体" w:eastAsia="黑体" w:cs="宋体"/>
      <w:sz w:val="28"/>
      <w:szCs w:val="28"/>
      <w:lang w:val="zh-CN"/>
    </w:rPr>
  </w:style>
  <w:style w:type="paragraph" w:customStyle="1" w:styleId="549">
    <w:name w:val="c4"/>
    <w:basedOn w:val="1"/>
    <w:link w:val="548"/>
    <w:autoRedefine/>
    <w:qFormat/>
    <w:uiPriority w:val="0"/>
    <w:pPr>
      <w:widowControl/>
      <w:tabs>
        <w:tab w:val="left" w:pos="1701"/>
        <w:tab w:val="left" w:pos="2247"/>
      </w:tabs>
      <w:spacing w:beforeLines="50" w:afterLines="50" w:line="360" w:lineRule="auto"/>
      <w:ind w:left="2247" w:hanging="420"/>
      <w:jc w:val="left"/>
      <w:outlineLvl w:val="3"/>
    </w:pPr>
    <w:rPr>
      <w:rFonts w:ascii="黑体" w:hAnsi="宋体" w:eastAsia="黑体" w:cs="宋体"/>
      <w:kern w:val="0"/>
      <w:sz w:val="28"/>
      <w:szCs w:val="28"/>
      <w:lang w:val="zh-CN"/>
    </w:rPr>
  </w:style>
  <w:style w:type="character" w:customStyle="1" w:styleId="550">
    <w:name w:val="news1"/>
    <w:autoRedefine/>
    <w:qFormat/>
    <w:uiPriority w:val="0"/>
    <w:rPr>
      <w:color w:val="000000"/>
      <w:sz w:val="28"/>
      <w:szCs w:val="28"/>
      <w:u w:val="none"/>
    </w:rPr>
  </w:style>
  <w:style w:type="character" w:customStyle="1" w:styleId="551">
    <w:name w:val="批注主题 Char2"/>
    <w:autoRedefine/>
    <w:qFormat/>
    <w:locked/>
    <w:uiPriority w:val="0"/>
    <w:rPr>
      <w:b/>
      <w:bCs/>
      <w:kern w:val="2"/>
      <w:sz w:val="21"/>
      <w:szCs w:val="24"/>
    </w:rPr>
  </w:style>
  <w:style w:type="character" w:customStyle="1" w:styleId="552">
    <w:name w:val="批注文字 Char3"/>
    <w:autoRedefine/>
    <w:qFormat/>
    <w:locked/>
    <w:uiPriority w:val="0"/>
    <w:rPr>
      <w:rFonts w:eastAsia="宋体"/>
      <w:kern w:val="2"/>
      <w:sz w:val="21"/>
      <w:szCs w:val="24"/>
      <w:lang w:val="en-US" w:eastAsia="zh-CN" w:bidi="ar-SA"/>
    </w:rPr>
  </w:style>
  <w:style w:type="character" w:customStyle="1" w:styleId="553">
    <w:name w:val="公式 Char"/>
    <w:link w:val="554"/>
    <w:autoRedefine/>
    <w:qFormat/>
    <w:uiPriority w:val="0"/>
    <w:rPr>
      <w:sz w:val="28"/>
    </w:rPr>
  </w:style>
  <w:style w:type="paragraph" w:customStyle="1" w:styleId="554">
    <w:name w:val="公式"/>
    <w:link w:val="553"/>
    <w:autoRedefine/>
    <w:qFormat/>
    <w:uiPriority w:val="0"/>
    <w:pPr>
      <w:jc w:val="center"/>
    </w:pPr>
    <w:rPr>
      <w:rFonts w:ascii="Times New Roman" w:hAnsi="Times New Roman" w:eastAsia="宋体" w:cs="Times New Roman"/>
      <w:sz w:val="28"/>
      <w:lang w:val="en-US" w:eastAsia="zh-CN" w:bidi="ar-SA"/>
    </w:rPr>
  </w:style>
  <w:style w:type="character" w:customStyle="1" w:styleId="555">
    <w:name w:val="正文 Char"/>
    <w:autoRedefine/>
    <w:qFormat/>
    <w:uiPriority w:val="0"/>
    <w:rPr>
      <w:rFonts w:ascii="仿宋_GB2312" w:hAnsi="宋体" w:eastAsia="仿宋_GB2312"/>
      <w:color w:val="000000"/>
      <w:kern w:val="2"/>
      <w:sz w:val="28"/>
      <w:szCs w:val="24"/>
      <w:lang w:val="en-US" w:eastAsia="zh-CN" w:bidi="ar-SA"/>
    </w:rPr>
  </w:style>
  <w:style w:type="character" w:customStyle="1" w:styleId="556">
    <w:name w:val="正文改 Char"/>
    <w:link w:val="557"/>
    <w:autoRedefine/>
    <w:qFormat/>
    <w:uiPriority w:val="0"/>
    <w:rPr>
      <w:rFonts w:ascii="宋体" w:hAnsi="宋体"/>
      <w:kern w:val="2"/>
      <w:sz w:val="28"/>
      <w:szCs w:val="22"/>
    </w:rPr>
  </w:style>
  <w:style w:type="paragraph" w:customStyle="1" w:styleId="557">
    <w:name w:val="正文改"/>
    <w:basedOn w:val="1"/>
    <w:link w:val="556"/>
    <w:autoRedefine/>
    <w:qFormat/>
    <w:uiPriority w:val="0"/>
    <w:pPr>
      <w:spacing w:line="560" w:lineRule="exact"/>
      <w:ind w:firstLine="560" w:firstLineChars="200"/>
    </w:pPr>
    <w:rPr>
      <w:rFonts w:ascii="宋体" w:hAnsi="宋体"/>
      <w:sz w:val="28"/>
      <w:szCs w:val="22"/>
    </w:rPr>
  </w:style>
  <w:style w:type="character" w:customStyle="1" w:styleId="558">
    <w:name w:val="No Spacing Char"/>
    <w:link w:val="559"/>
    <w:autoRedefine/>
    <w:qFormat/>
    <w:locked/>
    <w:uiPriority w:val="0"/>
    <w:rPr>
      <w:rFonts w:ascii="Arial" w:hAnsi="Arial" w:eastAsia="仿宋"/>
      <w:w w:val="90"/>
      <w:sz w:val="24"/>
    </w:rPr>
  </w:style>
  <w:style w:type="paragraph" w:customStyle="1" w:styleId="559">
    <w:name w:val="无间隔7"/>
    <w:link w:val="558"/>
    <w:autoRedefine/>
    <w:qFormat/>
    <w:uiPriority w:val="0"/>
    <w:pPr>
      <w:widowControl w:val="0"/>
      <w:jc w:val="both"/>
    </w:pPr>
    <w:rPr>
      <w:rFonts w:ascii="Arial" w:hAnsi="Arial" w:eastAsia="仿宋" w:cs="Times New Roman"/>
      <w:w w:val="90"/>
      <w:sz w:val="24"/>
      <w:lang w:val="en-US" w:eastAsia="zh-CN" w:bidi="ar-SA"/>
    </w:rPr>
  </w:style>
  <w:style w:type="character" w:customStyle="1" w:styleId="560">
    <w:name w:val="head121"/>
    <w:autoRedefine/>
    <w:qFormat/>
    <w:uiPriority w:val="0"/>
    <w:rPr>
      <w:sz w:val="22"/>
      <w:szCs w:val="22"/>
    </w:rPr>
  </w:style>
  <w:style w:type="character" w:customStyle="1" w:styleId="561">
    <w:name w:val="表头博泵"/>
    <w:autoRedefine/>
    <w:qFormat/>
    <w:uiPriority w:val="0"/>
    <w:rPr>
      <w:rFonts w:ascii="Times New Roman" w:hAnsi="Times New Roman" w:eastAsia="宋体"/>
      <w:b/>
      <w:bCs/>
      <w:color w:val="000000"/>
      <w:kern w:val="2"/>
      <w:sz w:val="24"/>
    </w:rPr>
  </w:style>
  <w:style w:type="character" w:customStyle="1" w:styleId="562">
    <w:name w:val="sv1hyw"/>
    <w:autoRedefine/>
    <w:qFormat/>
    <w:uiPriority w:val="0"/>
  </w:style>
  <w:style w:type="character" w:customStyle="1" w:styleId="563">
    <w:name w:val="H6 Char1"/>
    <w:autoRedefine/>
    <w:qFormat/>
    <w:uiPriority w:val="0"/>
    <w:rPr>
      <w:rFonts w:ascii="Arial" w:hAnsi="Arial" w:eastAsia="黑体"/>
      <w:b/>
      <w:bCs/>
      <w:kern w:val="2"/>
      <w:sz w:val="24"/>
      <w:szCs w:val="24"/>
      <w:lang w:val="en-US" w:eastAsia="zh-CN" w:bidi="ar-SA"/>
    </w:rPr>
  </w:style>
  <w:style w:type="character" w:customStyle="1" w:styleId="564">
    <w:name w:val="批注框文本 Char1"/>
    <w:autoRedefine/>
    <w:qFormat/>
    <w:uiPriority w:val="0"/>
    <w:rPr>
      <w:rFonts w:ascii="Times New Roman" w:hAnsi="Times New Roman" w:eastAsia="宋体" w:cs="Times New Roman"/>
      <w:kern w:val="0"/>
      <w:sz w:val="18"/>
      <w:szCs w:val="18"/>
    </w:rPr>
  </w:style>
  <w:style w:type="character" w:customStyle="1" w:styleId="565">
    <w:name w:val="Char Char219"/>
    <w:autoRedefine/>
    <w:qFormat/>
    <w:uiPriority w:val="0"/>
    <w:rPr>
      <w:rFonts w:eastAsia="宋体"/>
      <w:sz w:val="18"/>
      <w:lang w:val="en-US" w:eastAsia="zh-CN" w:bidi="ar-SA"/>
    </w:rPr>
  </w:style>
  <w:style w:type="character" w:customStyle="1" w:styleId="566">
    <w:name w:val="正文5号 Char Char"/>
    <w:link w:val="567"/>
    <w:autoRedefine/>
    <w:qFormat/>
    <w:uiPriority w:val="0"/>
    <w:rPr>
      <w:sz w:val="18"/>
    </w:rPr>
  </w:style>
  <w:style w:type="paragraph" w:customStyle="1" w:styleId="567">
    <w:name w:val="正文首行缩进3"/>
    <w:basedOn w:val="1"/>
    <w:link w:val="566"/>
    <w:autoRedefine/>
    <w:qFormat/>
    <w:uiPriority w:val="0"/>
    <w:pPr>
      <w:snapToGrid w:val="0"/>
      <w:spacing w:line="500" w:lineRule="exact"/>
      <w:ind w:firstLine="480" w:firstLineChars="200"/>
    </w:pPr>
    <w:rPr>
      <w:kern w:val="0"/>
      <w:sz w:val="18"/>
      <w:szCs w:val="20"/>
    </w:rPr>
  </w:style>
  <w:style w:type="character" w:customStyle="1" w:styleId="568">
    <w:name w:val="Char Char74"/>
    <w:autoRedefine/>
    <w:qFormat/>
    <w:uiPriority w:val="0"/>
    <w:rPr>
      <w:rFonts w:ascii="Arial" w:hAnsi="Arial" w:eastAsia="宋体" w:cs="Arial"/>
      <w:b/>
      <w:bCs/>
      <w:kern w:val="2"/>
      <w:sz w:val="32"/>
      <w:szCs w:val="32"/>
      <w:lang w:val="en-US" w:eastAsia="zh-CN" w:bidi="ar-SA"/>
    </w:rPr>
  </w:style>
  <w:style w:type="character" w:customStyle="1" w:styleId="569">
    <w:name w:val="上标 Char"/>
    <w:link w:val="570"/>
    <w:autoRedefine/>
    <w:qFormat/>
    <w:uiPriority w:val="0"/>
    <w:rPr>
      <w:rFonts w:ascii="宋体" w:hAnsi="宋体"/>
      <w:sz w:val="28"/>
      <w:szCs w:val="28"/>
      <w:vertAlign w:val="superscript"/>
    </w:rPr>
  </w:style>
  <w:style w:type="paragraph" w:customStyle="1" w:styleId="570">
    <w:name w:val="上标"/>
    <w:basedOn w:val="1"/>
    <w:link w:val="569"/>
    <w:autoRedefine/>
    <w:qFormat/>
    <w:uiPriority w:val="0"/>
    <w:pPr>
      <w:widowControl/>
      <w:spacing w:line="500" w:lineRule="exact"/>
      <w:ind w:firstLine="570"/>
      <w:jc w:val="left"/>
    </w:pPr>
    <w:rPr>
      <w:rFonts w:ascii="宋体" w:hAnsi="宋体"/>
      <w:kern w:val="0"/>
      <w:sz w:val="28"/>
      <w:szCs w:val="28"/>
      <w:vertAlign w:val="superscript"/>
    </w:rPr>
  </w:style>
  <w:style w:type="character" w:customStyle="1" w:styleId="571">
    <w:name w:val="Subtle Emphasis1"/>
    <w:autoRedefine/>
    <w:qFormat/>
    <w:uiPriority w:val="0"/>
    <w:rPr>
      <w:rFonts w:ascii="宋体" w:hAnsi="宋体" w:eastAsia="宋体"/>
      <w:i/>
      <w:color w:val="808080"/>
      <w:kern w:val="2"/>
      <w:sz w:val="21"/>
      <w:lang w:val="en-US" w:eastAsia="zh-CN"/>
    </w:rPr>
  </w:style>
  <w:style w:type="character" w:customStyle="1" w:styleId="572">
    <w:name w:val="你的正文 Char"/>
    <w:link w:val="573"/>
    <w:autoRedefine/>
    <w:qFormat/>
    <w:uiPriority w:val="0"/>
    <w:rPr>
      <w:rFonts w:ascii="宋体" w:hAnsi="宋体"/>
      <w:color w:val="000000"/>
      <w:sz w:val="28"/>
      <w:szCs w:val="28"/>
    </w:rPr>
  </w:style>
  <w:style w:type="paragraph" w:customStyle="1" w:styleId="573">
    <w:name w:val="你的正文"/>
    <w:basedOn w:val="1"/>
    <w:link w:val="572"/>
    <w:autoRedefine/>
    <w:qFormat/>
    <w:uiPriority w:val="0"/>
    <w:pPr>
      <w:widowControl/>
      <w:spacing w:line="520" w:lineRule="exact"/>
      <w:ind w:firstLine="560" w:firstLineChars="200"/>
      <w:jc w:val="left"/>
    </w:pPr>
    <w:rPr>
      <w:rFonts w:ascii="宋体" w:hAnsi="宋体"/>
      <w:color w:val="000000"/>
      <w:kern w:val="0"/>
      <w:sz w:val="28"/>
      <w:szCs w:val="28"/>
    </w:rPr>
  </w:style>
  <w:style w:type="character" w:customStyle="1" w:styleId="574">
    <w:name w:val="normal1"/>
    <w:autoRedefine/>
    <w:qFormat/>
    <w:uiPriority w:val="0"/>
    <w:rPr>
      <w:rFonts w:hint="default" w:ascii="Arial" w:hAnsi="Arial" w:eastAsia="宋体" w:cs="Arial"/>
      <w:color w:val="555555"/>
      <w:kern w:val="2"/>
      <w:sz w:val="19"/>
      <w:szCs w:val="19"/>
      <w:lang w:val="en-US" w:eastAsia="zh-CN" w:bidi="ar-SA"/>
    </w:rPr>
  </w:style>
  <w:style w:type="character" w:customStyle="1" w:styleId="575">
    <w:name w:val="正文文本缩进 字符"/>
    <w:autoRedefine/>
    <w:qFormat/>
    <w:uiPriority w:val="0"/>
    <w:rPr>
      <w:rFonts w:ascii="Times New Roman" w:hAnsi="Times New Roman" w:eastAsia="宋体" w:cs="Times New Roman"/>
      <w:szCs w:val="24"/>
    </w:rPr>
  </w:style>
  <w:style w:type="character" w:customStyle="1" w:styleId="576">
    <w:name w:val="附录二级条标题 Char"/>
    <w:link w:val="577"/>
    <w:autoRedefine/>
    <w:qFormat/>
    <w:uiPriority w:val="0"/>
    <w:rPr>
      <w:rFonts w:ascii="黑体" w:eastAsia="黑体"/>
      <w:kern w:val="21"/>
      <w:sz w:val="21"/>
    </w:rPr>
  </w:style>
  <w:style w:type="paragraph" w:customStyle="1" w:styleId="577">
    <w:name w:val="附录二级条标题"/>
    <w:basedOn w:val="578"/>
    <w:next w:val="257"/>
    <w:link w:val="576"/>
    <w:autoRedefine/>
    <w:qFormat/>
    <w:uiPriority w:val="0"/>
    <w:pPr>
      <w:tabs>
        <w:tab w:val="left" w:pos="360"/>
        <w:tab w:val="left" w:pos="828"/>
      </w:tabs>
      <w:ind w:left="360" w:hanging="360"/>
      <w:outlineLvl w:val="3"/>
    </w:pPr>
    <w:rPr>
      <w:lang w:val="en-US"/>
    </w:rPr>
  </w:style>
  <w:style w:type="paragraph" w:customStyle="1" w:styleId="578">
    <w:name w:val="附录一级条标题"/>
    <w:basedOn w:val="579"/>
    <w:next w:val="257"/>
    <w:link w:val="581"/>
    <w:autoRedefine/>
    <w:qFormat/>
    <w:uiPriority w:val="0"/>
    <w:pPr>
      <w:tabs>
        <w:tab w:val="left" w:pos="360"/>
        <w:tab w:val="left" w:pos="828"/>
      </w:tabs>
      <w:autoSpaceDN w:val="0"/>
      <w:spacing w:beforeLines="0" w:afterLines="0"/>
      <w:ind w:left="828" w:hanging="240" w:hangingChars="200"/>
      <w:outlineLvl w:val="2"/>
    </w:pPr>
    <w:rPr>
      <w:lang w:val="zh-CN"/>
    </w:rPr>
  </w:style>
  <w:style w:type="paragraph" w:customStyle="1" w:styleId="579">
    <w:name w:val="附录章标题"/>
    <w:next w:val="257"/>
    <w:link w:val="580"/>
    <w:autoRedefine/>
    <w:qFormat/>
    <w:uiPriority w:val="0"/>
    <w:pPr>
      <w:wordWrap w:val="0"/>
      <w:overflowPunct w:val="0"/>
      <w:autoSpaceDE w:val="0"/>
      <w:spacing w:beforeLines="50" w:afterLines="50"/>
      <w:jc w:val="both"/>
      <w:textAlignment w:val="baseline"/>
      <w:outlineLvl w:val="1"/>
    </w:pPr>
    <w:rPr>
      <w:rFonts w:ascii="黑体" w:hAnsi="Times New Roman" w:eastAsia="黑体" w:cs="Times New Roman"/>
      <w:kern w:val="21"/>
      <w:sz w:val="21"/>
      <w:lang w:val="en-US" w:eastAsia="zh-CN" w:bidi="ar-SA"/>
    </w:rPr>
  </w:style>
  <w:style w:type="character" w:customStyle="1" w:styleId="580">
    <w:name w:val="附录章标题 Char"/>
    <w:link w:val="579"/>
    <w:autoRedefine/>
    <w:qFormat/>
    <w:uiPriority w:val="0"/>
    <w:rPr>
      <w:rFonts w:ascii="黑体" w:eastAsia="黑体"/>
      <w:kern w:val="21"/>
      <w:sz w:val="21"/>
    </w:rPr>
  </w:style>
  <w:style w:type="character" w:customStyle="1" w:styleId="581">
    <w:name w:val="附录一级条标题 Char"/>
    <w:link w:val="578"/>
    <w:autoRedefine/>
    <w:qFormat/>
    <w:uiPriority w:val="0"/>
    <w:rPr>
      <w:rFonts w:ascii="黑体" w:eastAsia="黑体"/>
      <w:kern w:val="21"/>
      <w:sz w:val="21"/>
      <w:lang w:val="zh-CN"/>
    </w:rPr>
  </w:style>
  <w:style w:type="character" w:customStyle="1" w:styleId="582">
    <w:name w:val="样式 宋体 小四 Char"/>
    <w:autoRedefine/>
    <w:qFormat/>
    <w:uiPriority w:val="0"/>
    <w:rPr>
      <w:rFonts w:ascii="宋体" w:eastAsia="仿宋_GB2312" w:cs="宋体"/>
      <w:kern w:val="2"/>
      <w:sz w:val="24"/>
      <w:szCs w:val="24"/>
      <w:lang w:val="zh-CN" w:eastAsia="zh-CN" w:bidi="ar-SA"/>
    </w:rPr>
  </w:style>
  <w:style w:type="character" w:customStyle="1" w:styleId="583">
    <w:name w:val="ak1"/>
    <w:autoRedefine/>
    <w:qFormat/>
    <w:uiPriority w:val="0"/>
    <w:rPr>
      <w:sz w:val="18"/>
      <w:szCs w:val="18"/>
      <w:u w:val="none"/>
    </w:rPr>
  </w:style>
  <w:style w:type="character" w:customStyle="1" w:styleId="584">
    <w:name w:val="占位符文本1"/>
    <w:autoRedefine/>
    <w:qFormat/>
    <w:uiPriority w:val="0"/>
    <w:rPr>
      <w:color w:val="808080"/>
    </w:rPr>
  </w:style>
  <w:style w:type="character" w:customStyle="1" w:styleId="585">
    <w:name w:val="16"/>
    <w:autoRedefine/>
    <w:qFormat/>
    <w:uiPriority w:val="0"/>
    <w:rPr>
      <w:rFonts w:hint="eastAsia" w:ascii="宋体" w:hAnsi="宋体" w:eastAsia="宋体"/>
      <w:sz w:val="28"/>
      <w:szCs w:val="28"/>
    </w:rPr>
  </w:style>
  <w:style w:type="character" w:customStyle="1" w:styleId="586">
    <w:name w:val="正文文本 Char1"/>
    <w:autoRedefine/>
    <w:qFormat/>
    <w:uiPriority w:val="0"/>
    <w:rPr>
      <w:rFonts w:ascii="宋体" w:hAnsi="宋体" w:eastAsia="宋体"/>
      <w:kern w:val="2"/>
      <w:sz w:val="24"/>
      <w:lang w:val="en-US" w:eastAsia="zh-CN"/>
    </w:rPr>
  </w:style>
  <w:style w:type="character" w:customStyle="1" w:styleId="587">
    <w:name w:val="正文首行缩进2字符 Char Char1"/>
    <w:autoRedefine/>
    <w:qFormat/>
    <w:uiPriority w:val="0"/>
    <w:rPr>
      <w:rFonts w:eastAsia="宋体"/>
      <w:kern w:val="2"/>
      <w:sz w:val="28"/>
      <w:lang w:val="en-US" w:eastAsia="zh-CN" w:bidi="ar-SA"/>
    </w:rPr>
  </w:style>
  <w:style w:type="character" w:customStyle="1" w:styleId="588">
    <w:name w:val="color_huei1"/>
    <w:autoRedefine/>
    <w:qFormat/>
    <w:uiPriority w:val="0"/>
    <w:rPr>
      <w:color w:val="666666"/>
    </w:rPr>
  </w:style>
  <w:style w:type="character" w:customStyle="1" w:styleId="589">
    <w:name w:val="样式 标题 3标题 3目标题 3 Char Char Char标题 3 Char Charh3H3level_3P...2 Char"/>
    <w:link w:val="590"/>
    <w:autoRedefine/>
    <w:qFormat/>
    <w:uiPriority w:val="0"/>
    <w:rPr>
      <w:rFonts w:ascii="黑体" w:hAnsi="宋体" w:eastAsia="黑体"/>
      <w:b/>
      <w:bCs/>
      <w:color w:val="000000"/>
      <w:kern w:val="2"/>
      <w:sz w:val="24"/>
      <w:szCs w:val="24"/>
    </w:rPr>
  </w:style>
  <w:style w:type="paragraph" w:customStyle="1" w:styleId="590">
    <w:name w:val="样式 标题 3标题 3目标题 3 Char Char Char标题 3 Char Charh3H3level_3P...2"/>
    <w:basedOn w:val="5"/>
    <w:link w:val="589"/>
    <w:autoRedefine/>
    <w:qFormat/>
    <w:uiPriority w:val="0"/>
    <w:pPr>
      <w:spacing w:before="0" w:after="0" w:line="480" w:lineRule="exact"/>
      <w:outlineLvl w:val="9"/>
    </w:pPr>
    <w:rPr>
      <w:rFonts w:ascii="黑体" w:hAnsi="宋体" w:eastAsia="黑体"/>
      <w:color w:val="000000"/>
      <w:sz w:val="24"/>
      <w:szCs w:val="24"/>
    </w:rPr>
  </w:style>
  <w:style w:type="character" w:customStyle="1" w:styleId="591">
    <w:name w:val="首行缩进 Char Char Char Char Char"/>
    <w:link w:val="592"/>
    <w:autoRedefine/>
    <w:qFormat/>
    <w:uiPriority w:val="0"/>
    <w:rPr>
      <w:rFonts w:ascii="Arial" w:hAnsi="Arial" w:eastAsia="仿宋_GB2312"/>
      <w:sz w:val="28"/>
      <w:szCs w:val="28"/>
    </w:rPr>
  </w:style>
  <w:style w:type="paragraph" w:customStyle="1" w:styleId="592">
    <w:name w:val="首行缩进 Char Char Char Char"/>
    <w:basedOn w:val="1"/>
    <w:link w:val="591"/>
    <w:autoRedefine/>
    <w:qFormat/>
    <w:uiPriority w:val="0"/>
    <w:pPr>
      <w:spacing w:line="360" w:lineRule="auto"/>
      <w:ind w:firstLine="560"/>
    </w:pPr>
    <w:rPr>
      <w:rFonts w:ascii="Arial" w:hAnsi="Arial" w:eastAsia="仿宋_GB2312"/>
      <w:kern w:val="0"/>
      <w:sz w:val="28"/>
      <w:szCs w:val="28"/>
    </w:rPr>
  </w:style>
  <w:style w:type="character" w:customStyle="1" w:styleId="593">
    <w:name w:val="tex-biaoti1"/>
    <w:autoRedefine/>
    <w:qFormat/>
    <w:uiPriority w:val="0"/>
  </w:style>
  <w:style w:type="character" w:customStyle="1" w:styleId="594">
    <w:name w:val="un"/>
    <w:autoRedefine/>
    <w:qFormat/>
    <w:uiPriority w:val="0"/>
  </w:style>
  <w:style w:type="character" w:customStyle="1" w:styleId="595">
    <w:name w:val="Char Char91"/>
    <w:autoRedefine/>
    <w:qFormat/>
    <w:locked/>
    <w:uiPriority w:val="0"/>
    <w:rPr>
      <w:rFonts w:eastAsia="宋体"/>
      <w:kern w:val="2"/>
      <w:sz w:val="18"/>
      <w:lang w:val="en-US" w:eastAsia="zh-CN" w:bidi="ar-SA"/>
    </w:rPr>
  </w:style>
  <w:style w:type="character" w:customStyle="1" w:styleId="596">
    <w:name w:val="单学凯环表头 Char"/>
    <w:link w:val="597"/>
    <w:autoRedefine/>
    <w:qFormat/>
    <w:uiPriority w:val="0"/>
    <w:rPr>
      <w:rFonts w:ascii="宋体" w:hAnsi="宋体"/>
      <w:b/>
      <w:bCs/>
      <w:color w:val="000000"/>
      <w:sz w:val="24"/>
      <w:szCs w:val="24"/>
    </w:rPr>
  </w:style>
  <w:style w:type="paragraph" w:customStyle="1" w:styleId="597">
    <w:name w:val="单学凯环表头"/>
    <w:basedOn w:val="1"/>
    <w:link w:val="596"/>
    <w:autoRedefine/>
    <w:qFormat/>
    <w:uiPriority w:val="0"/>
    <w:pPr>
      <w:widowControl/>
      <w:tabs>
        <w:tab w:val="left" w:pos="-1008"/>
        <w:tab w:val="left" w:pos="4873"/>
      </w:tabs>
      <w:adjustRightInd w:val="0"/>
      <w:jc w:val="center"/>
      <w:textAlignment w:val="baseline"/>
    </w:pPr>
    <w:rPr>
      <w:rFonts w:ascii="宋体" w:hAnsi="宋体"/>
      <w:b/>
      <w:bCs/>
      <w:color w:val="000000"/>
      <w:kern w:val="0"/>
      <w:sz w:val="24"/>
    </w:rPr>
  </w:style>
  <w:style w:type="character" w:customStyle="1" w:styleId="598">
    <w:name w:val="第一条1"/>
    <w:autoRedefine/>
    <w:qFormat/>
    <w:uiPriority w:val="0"/>
    <w:rPr>
      <w:rFonts w:hint="eastAsia" w:ascii="黑体" w:eastAsia="黑体"/>
      <w:sz w:val="24"/>
    </w:rPr>
  </w:style>
  <w:style w:type="character" w:customStyle="1" w:styleId="599">
    <w:name w:val="样式 标题 2节 + (符号) Arial Black 小四 Char"/>
    <w:link w:val="600"/>
    <w:autoRedefine/>
    <w:qFormat/>
    <w:uiPriority w:val="0"/>
    <w:rPr>
      <w:rFonts w:ascii="宋体" w:hAnsi="Arial Black" w:eastAsia="仿宋_GB2312"/>
      <w:kern w:val="21"/>
      <w:sz w:val="28"/>
    </w:rPr>
  </w:style>
  <w:style w:type="paragraph" w:customStyle="1" w:styleId="600">
    <w:name w:val="样式 标题 2节 + (符号) Arial Black 小四"/>
    <w:basedOn w:val="5"/>
    <w:link w:val="599"/>
    <w:autoRedefine/>
    <w:qFormat/>
    <w:uiPriority w:val="0"/>
    <w:pPr>
      <w:spacing w:before="0" w:after="0" w:line="360" w:lineRule="auto"/>
      <w:ind w:left="140"/>
    </w:pPr>
    <w:rPr>
      <w:rFonts w:ascii="宋体" w:hAnsi="Arial Black" w:eastAsia="仿宋_GB2312"/>
      <w:b w:val="0"/>
      <w:bCs w:val="0"/>
      <w:kern w:val="21"/>
      <w:sz w:val="28"/>
      <w:szCs w:val="20"/>
    </w:rPr>
  </w:style>
  <w:style w:type="character" w:customStyle="1" w:styleId="601">
    <w:name w:val=". (1.) Char"/>
    <w:autoRedefine/>
    <w:qFormat/>
    <w:uiPriority w:val="0"/>
    <w:rPr>
      <w:kern w:val="2"/>
      <w:sz w:val="28"/>
    </w:rPr>
  </w:style>
  <w:style w:type="character" w:customStyle="1" w:styleId="602">
    <w:name w:val="s2ze7v"/>
    <w:autoRedefine/>
    <w:qFormat/>
    <w:uiPriority w:val="0"/>
  </w:style>
  <w:style w:type="character" w:customStyle="1" w:styleId="603">
    <w:name w:val="s8xye"/>
    <w:autoRedefine/>
    <w:qFormat/>
    <w:uiPriority w:val="0"/>
  </w:style>
  <w:style w:type="character" w:customStyle="1" w:styleId="604">
    <w:name w:val="Intense Emphasis1"/>
    <w:autoRedefine/>
    <w:qFormat/>
    <w:uiPriority w:val="0"/>
    <w:rPr>
      <w:rFonts w:ascii="宋体" w:hAnsi="宋体" w:eastAsia="宋体"/>
      <w:b/>
      <w:i/>
      <w:color w:val="4F81BD"/>
      <w:kern w:val="2"/>
      <w:sz w:val="21"/>
      <w:lang w:val="en-US" w:eastAsia="zh-CN"/>
    </w:rPr>
  </w:style>
  <w:style w:type="character" w:customStyle="1" w:styleId="605">
    <w:name w:val="large1"/>
    <w:autoRedefine/>
    <w:qFormat/>
    <w:uiPriority w:val="0"/>
    <w:rPr>
      <w:sz w:val="22"/>
      <w:szCs w:val="22"/>
    </w:rPr>
  </w:style>
  <w:style w:type="character" w:customStyle="1" w:styleId="606">
    <w:name w:val="body11"/>
    <w:autoRedefine/>
    <w:qFormat/>
    <w:uiPriority w:val="0"/>
    <w:rPr>
      <w:sz w:val="20"/>
    </w:rPr>
  </w:style>
  <w:style w:type="character" w:customStyle="1" w:styleId="607">
    <w:name w:val="正文_01 Char"/>
    <w:link w:val="608"/>
    <w:autoRedefine/>
    <w:qFormat/>
    <w:uiPriority w:val="0"/>
    <w:rPr>
      <w:rFonts w:eastAsia="仿宋_GB2312"/>
      <w:sz w:val="28"/>
      <w:szCs w:val="28"/>
    </w:rPr>
  </w:style>
  <w:style w:type="paragraph" w:customStyle="1" w:styleId="608">
    <w:name w:val="正文_01"/>
    <w:link w:val="607"/>
    <w:autoRedefine/>
    <w:qFormat/>
    <w:uiPriority w:val="0"/>
    <w:pPr>
      <w:widowControl w:val="0"/>
      <w:spacing w:line="360" w:lineRule="auto"/>
      <w:ind w:firstLine="560" w:firstLineChars="200"/>
      <w:jc w:val="both"/>
    </w:pPr>
    <w:rPr>
      <w:rFonts w:ascii="Times New Roman" w:hAnsi="Times New Roman" w:eastAsia="仿宋_GB2312" w:cs="Times New Roman"/>
      <w:sz w:val="28"/>
      <w:szCs w:val="28"/>
      <w:lang w:val="en-US" w:eastAsia="zh-CN" w:bidi="ar-SA"/>
    </w:rPr>
  </w:style>
  <w:style w:type="character" w:customStyle="1" w:styleId="609">
    <w:name w:val="HTML 打字机7"/>
    <w:autoRedefine/>
    <w:qFormat/>
    <w:uiPriority w:val="0"/>
    <w:rPr>
      <w:rFonts w:ascii="黑体" w:hAnsi="Courier New" w:eastAsia="黑体" w:cs="Courier New"/>
      <w:sz w:val="18"/>
      <w:szCs w:val="18"/>
    </w:rPr>
  </w:style>
  <w:style w:type="character" w:customStyle="1" w:styleId="610">
    <w:name w:val="样式 表格内容 + Times New Roman 小五 加粗 Char Char"/>
    <w:autoRedefine/>
    <w:qFormat/>
    <w:uiPriority w:val="0"/>
    <w:rPr>
      <w:rFonts w:ascii="宋体" w:hAnsi="宋体" w:eastAsia="宋体" w:cs="宋体"/>
      <w:b/>
      <w:bCs/>
      <w:kern w:val="2"/>
      <w:sz w:val="18"/>
      <w:lang w:val="en-US" w:eastAsia="zh-CN" w:bidi="ar-SA"/>
    </w:rPr>
  </w:style>
  <w:style w:type="character" w:customStyle="1" w:styleId="611">
    <w:name w:val="Char Char21"/>
    <w:autoRedefine/>
    <w:qFormat/>
    <w:uiPriority w:val="0"/>
    <w:rPr>
      <w:rFonts w:ascii="宋体" w:hAnsi="宋体" w:eastAsia="宋体"/>
      <w:kern w:val="2"/>
      <w:sz w:val="24"/>
      <w:lang w:val="en-US" w:eastAsia="zh-CN"/>
    </w:rPr>
  </w:style>
  <w:style w:type="character" w:customStyle="1" w:styleId="612">
    <w:name w:val="16p"/>
    <w:autoRedefine/>
    <w:qFormat/>
    <w:uiPriority w:val="0"/>
  </w:style>
  <w:style w:type="character" w:customStyle="1" w:styleId="613">
    <w:name w:val="sss1"/>
    <w:autoRedefine/>
    <w:qFormat/>
    <w:uiPriority w:val="0"/>
    <w:rPr>
      <w:rFonts w:hint="eastAsia" w:ascii="宋体" w:hAnsi="宋体" w:eastAsia="宋体"/>
      <w:color w:val="999999"/>
      <w:sz w:val="21"/>
      <w:szCs w:val="21"/>
      <w:u w:val="none"/>
    </w:rPr>
  </w:style>
  <w:style w:type="character" w:customStyle="1" w:styleId="614">
    <w:name w:val="第三层条 Char1"/>
    <w:autoRedefine/>
    <w:qFormat/>
    <w:uiPriority w:val="0"/>
    <w:rPr>
      <w:rFonts w:hint="default" w:ascii="Times New Roman" w:hAnsi="Times New Roman" w:eastAsia="宋体" w:cs="Times New Roman"/>
      <w:b/>
      <w:bCs/>
      <w:sz w:val="28"/>
      <w:szCs w:val="28"/>
    </w:rPr>
  </w:style>
  <w:style w:type="character" w:customStyle="1" w:styleId="615">
    <w:name w:val="style471"/>
    <w:autoRedefine/>
    <w:qFormat/>
    <w:uiPriority w:val="0"/>
    <w:rPr>
      <w:sz w:val="20"/>
      <w:szCs w:val="20"/>
    </w:rPr>
  </w:style>
  <w:style w:type="character" w:customStyle="1" w:styleId="616">
    <w:name w:val="Char Char51"/>
    <w:autoRedefine/>
    <w:qFormat/>
    <w:uiPriority w:val="0"/>
    <w:rPr>
      <w:rFonts w:hint="eastAsia" w:ascii="黑体" w:hAnsi="黑体" w:eastAsia="黑体"/>
      <w:bCs/>
      <w:sz w:val="21"/>
      <w:szCs w:val="30"/>
    </w:rPr>
  </w:style>
  <w:style w:type="character" w:customStyle="1" w:styleId="617">
    <w:name w:val="TOC 1 Char"/>
    <w:autoRedefine/>
    <w:qFormat/>
    <w:locked/>
    <w:uiPriority w:val="0"/>
    <w:rPr>
      <w:rFonts w:eastAsia="宋体" w:cs="Times New Roman"/>
      <w:b/>
      <w:bCs/>
      <w:caps/>
    </w:rPr>
  </w:style>
  <w:style w:type="character" w:customStyle="1" w:styleId="618">
    <w:name w:val="普通 (Web) Char Char"/>
    <w:autoRedefine/>
    <w:qFormat/>
    <w:uiPriority w:val="0"/>
    <w:rPr>
      <w:rFonts w:ascii="宋体" w:hAnsi="宋体" w:eastAsia="宋体" w:cs="宋体"/>
      <w:sz w:val="24"/>
      <w:szCs w:val="24"/>
      <w:lang w:val="en-US" w:eastAsia="zh-CN" w:bidi="ar-SA"/>
    </w:rPr>
  </w:style>
  <w:style w:type="character" w:customStyle="1" w:styleId="619">
    <w:name w:val="h8 Char1"/>
    <w:autoRedefine/>
    <w:qFormat/>
    <w:uiPriority w:val="0"/>
    <w:rPr>
      <w:rFonts w:ascii="Arial" w:hAnsi="Arial" w:eastAsia="黑体"/>
      <w:kern w:val="2"/>
      <w:sz w:val="24"/>
      <w:szCs w:val="24"/>
      <w:lang w:val="en-US" w:eastAsia="zh-CN" w:bidi="ar-SA"/>
    </w:rPr>
  </w:style>
  <w:style w:type="character" w:customStyle="1" w:styleId="620">
    <w:name w:val="tx1"/>
    <w:autoRedefine/>
    <w:qFormat/>
    <w:uiPriority w:val="0"/>
    <w:rPr>
      <w:b/>
      <w:bCs/>
    </w:rPr>
  </w:style>
  <w:style w:type="character" w:customStyle="1" w:styleId="621">
    <w:name w:val="页眉 字符1"/>
    <w:autoRedefine/>
    <w:qFormat/>
    <w:locked/>
    <w:uiPriority w:val="0"/>
    <w:rPr>
      <w:sz w:val="18"/>
      <w:szCs w:val="18"/>
    </w:rPr>
  </w:style>
  <w:style w:type="character" w:customStyle="1" w:styleId="622">
    <w:name w:val="text0"/>
    <w:autoRedefine/>
    <w:qFormat/>
    <w:uiPriority w:val="0"/>
  </w:style>
  <w:style w:type="character" w:customStyle="1" w:styleId="623">
    <w:name w:val="v15"/>
    <w:autoRedefine/>
    <w:qFormat/>
    <w:uiPriority w:val="0"/>
  </w:style>
  <w:style w:type="character" w:customStyle="1" w:styleId="624">
    <w:name w:val="链接"/>
    <w:autoRedefine/>
    <w:qFormat/>
    <w:uiPriority w:val="0"/>
    <w:rPr>
      <w:rFonts w:ascii="Times New Roman" w:eastAsia="宋体"/>
      <w:color w:val="0000FF"/>
      <w:sz w:val="21"/>
      <w:u w:val="single" w:color="0000FF"/>
      <w:vertAlign w:val="baseline"/>
      <w:lang w:val="en-US" w:eastAsia="zh-CN"/>
    </w:rPr>
  </w:style>
  <w:style w:type="character" w:customStyle="1" w:styleId="625">
    <w:name w:val="普通文字 Char Char Char Char Char Char Char Char Char Char Char"/>
    <w:autoRedefine/>
    <w:qFormat/>
    <w:uiPriority w:val="0"/>
    <w:rPr>
      <w:rFonts w:ascii="宋体" w:hAnsi="Courier New" w:eastAsia="宋体"/>
      <w:kern w:val="2"/>
      <w:sz w:val="21"/>
      <w:szCs w:val="21"/>
      <w:lang w:val="en-US" w:eastAsia="zh-CN" w:bidi="ar-SA"/>
    </w:rPr>
  </w:style>
  <w:style w:type="character" w:customStyle="1" w:styleId="626">
    <w:name w:val="zw1"/>
    <w:autoRedefine/>
    <w:qFormat/>
    <w:uiPriority w:val="0"/>
    <w:rPr>
      <w:rFonts w:hint="eastAsia" w:ascii="宋体" w:hAnsi="宋体" w:eastAsia="宋体"/>
      <w:sz w:val="22"/>
    </w:rPr>
  </w:style>
  <w:style w:type="character" w:customStyle="1" w:styleId="627">
    <w:name w:val="s6lx"/>
    <w:autoRedefine/>
    <w:qFormat/>
    <w:uiPriority w:val="0"/>
  </w:style>
  <w:style w:type="character" w:customStyle="1" w:styleId="628">
    <w:name w:val="环评正文文字缩进（江东模板） Char Char"/>
    <w:autoRedefine/>
    <w:qFormat/>
    <w:uiPriority w:val="0"/>
    <w:rPr>
      <w:rFonts w:ascii="宋体" w:hAnsi="宋体" w:eastAsia="宋体"/>
      <w:kern w:val="2"/>
      <w:sz w:val="16"/>
      <w:szCs w:val="16"/>
      <w:lang w:val="en-US" w:eastAsia="zh-CN" w:bidi="ar-SA"/>
    </w:rPr>
  </w:style>
  <w:style w:type="character" w:customStyle="1" w:styleId="629">
    <w:name w:val="news_c_da1"/>
    <w:autoRedefine/>
    <w:qFormat/>
    <w:uiPriority w:val="0"/>
    <w:rPr>
      <w:rFonts w:hint="default" w:ascii="ˎ̥" w:hAnsi="ˎ̥"/>
      <w:b/>
      <w:bCs/>
      <w:color w:val="000000"/>
      <w:sz w:val="24"/>
      <w:szCs w:val="24"/>
    </w:rPr>
  </w:style>
  <w:style w:type="character" w:customStyle="1" w:styleId="630">
    <w:name w:val="Char Char136"/>
    <w:autoRedefine/>
    <w:qFormat/>
    <w:uiPriority w:val="0"/>
    <w:rPr>
      <w:rFonts w:ascii="宋体" w:hAnsi="宋体" w:eastAsia="宋体" w:cs="宋体"/>
      <w:b/>
      <w:bCs/>
      <w:kern w:val="2"/>
      <w:sz w:val="24"/>
      <w:szCs w:val="20"/>
      <w:lang w:eastAsia="zh-CN" w:bidi="ar-SA"/>
    </w:rPr>
  </w:style>
  <w:style w:type="character" w:customStyle="1" w:styleId="631">
    <w:name w:val="z141"/>
    <w:autoRedefine/>
    <w:qFormat/>
    <w:uiPriority w:val="0"/>
    <w:rPr>
      <w:sz w:val="21"/>
      <w:szCs w:val="21"/>
    </w:rPr>
  </w:style>
  <w:style w:type="character" w:customStyle="1" w:styleId="632">
    <w:name w:val="正文四号ss Char Char"/>
    <w:link w:val="633"/>
    <w:autoRedefine/>
    <w:qFormat/>
    <w:locked/>
    <w:uiPriority w:val="0"/>
    <w:rPr>
      <w:rFonts w:ascii="宋体" w:hAnsi="宋体"/>
      <w:kern w:val="2"/>
      <w:sz w:val="28"/>
      <w:szCs w:val="28"/>
    </w:rPr>
  </w:style>
  <w:style w:type="paragraph" w:customStyle="1" w:styleId="633">
    <w:name w:val="正文四号ss"/>
    <w:basedOn w:val="1"/>
    <w:next w:val="1"/>
    <w:link w:val="632"/>
    <w:autoRedefine/>
    <w:qFormat/>
    <w:uiPriority w:val="0"/>
    <w:pPr>
      <w:spacing w:line="500" w:lineRule="exact"/>
      <w:ind w:firstLine="200" w:firstLineChars="200"/>
    </w:pPr>
    <w:rPr>
      <w:rFonts w:ascii="宋体" w:hAnsi="宋体"/>
      <w:sz w:val="28"/>
      <w:szCs w:val="28"/>
    </w:rPr>
  </w:style>
  <w:style w:type="character" w:customStyle="1" w:styleId="634">
    <w:name w:val="无间隔 Char"/>
    <w:link w:val="635"/>
    <w:autoRedefine/>
    <w:qFormat/>
    <w:locked/>
    <w:uiPriority w:val="0"/>
    <w:rPr>
      <w:sz w:val="32"/>
      <w:szCs w:val="32"/>
    </w:rPr>
  </w:style>
  <w:style w:type="paragraph" w:customStyle="1" w:styleId="635">
    <w:name w:val="无间隔1111"/>
    <w:basedOn w:val="1"/>
    <w:link w:val="634"/>
    <w:autoRedefine/>
    <w:qFormat/>
    <w:uiPriority w:val="0"/>
    <w:pPr>
      <w:widowControl/>
      <w:jc w:val="left"/>
    </w:pPr>
    <w:rPr>
      <w:kern w:val="0"/>
      <w:sz w:val="32"/>
      <w:szCs w:val="32"/>
    </w:rPr>
  </w:style>
  <w:style w:type="character" w:customStyle="1" w:styleId="636">
    <w:name w:val="Char Char56"/>
    <w:autoRedefine/>
    <w:qFormat/>
    <w:uiPriority w:val="0"/>
    <w:rPr>
      <w:rFonts w:ascii="Arial" w:hAnsi="Arial" w:eastAsia="宋体" w:cs="Arial"/>
      <w:b/>
      <w:bCs/>
      <w:sz w:val="32"/>
      <w:szCs w:val="32"/>
      <w:lang w:val="en-US" w:eastAsia="zh-CN" w:bidi="ar-SA"/>
    </w:rPr>
  </w:style>
  <w:style w:type="character" w:customStyle="1" w:styleId="637">
    <w:name w:val="text1"/>
    <w:autoRedefine/>
    <w:qFormat/>
    <w:uiPriority w:val="0"/>
    <w:rPr>
      <w:rFonts w:hint="eastAsia" w:ascii="宋体" w:hAnsi="宋体" w:eastAsia="宋体"/>
      <w:sz w:val="18"/>
      <w:szCs w:val="18"/>
    </w:rPr>
  </w:style>
  <w:style w:type="character" w:customStyle="1" w:styleId="638">
    <w:name w:val="框图正文 Char Char"/>
    <w:autoRedefine/>
    <w:qFormat/>
    <w:uiPriority w:val="0"/>
    <w:rPr>
      <w:rFonts w:eastAsia="宋体"/>
      <w:kern w:val="2"/>
      <w:sz w:val="21"/>
      <w:szCs w:val="24"/>
      <w:lang w:val="en-US" w:eastAsia="zh-CN" w:bidi="ar-SA"/>
    </w:rPr>
  </w:style>
  <w:style w:type="character" w:customStyle="1" w:styleId="639">
    <w:name w:val="sxwt2u"/>
    <w:autoRedefine/>
    <w:qFormat/>
    <w:uiPriority w:val="0"/>
  </w:style>
  <w:style w:type="character" w:customStyle="1" w:styleId="640">
    <w:name w:val="正文缩进21"/>
    <w:autoRedefine/>
    <w:qFormat/>
    <w:uiPriority w:val="0"/>
    <w:rPr>
      <w:rFonts w:hint="eastAsia" w:ascii="仿宋_GB2312" w:eastAsia="仿宋_GB2312"/>
      <w:kern w:val="2"/>
      <w:sz w:val="28"/>
      <w:szCs w:val="24"/>
      <w:lang w:val="en-US" w:eastAsia="zh-CN" w:bidi="ar-SA"/>
    </w:rPr>
  </w:style>
  <w:style w:type="character" w:customStyle="1" w:styleId="641">
    <w:name w:val="td11"/>
    <w:autoRedefine/>
    <w:qFormat/>
    <w:uiPriority w:val="0"/>
    <w:rPr>
      <w:sz w:val="20"/>
      <w:szCs w:val="20"/>
    </w:rPr>
  </w:style>
  <w:style w:type="character" w:customStyle="1" w:styleId="642">
    <w:name w:val="Char Char59"/>
    <w:autoRedefine/>
    <w:qFormat/>
    <w:uiPriority w:val="0"/>
    <w:rPr>
      <w:rFonts w:ascii="Arial" w:hAnsi="Arial" w:eastAsia="宋体" w:cs="Arial"/>
      <w:b/>
      <w:bCs/>
      <w:sz w:val="32"/>
      <w:szCs w:val="32"/>
      <w:lang w:val="en-US" w:eastAsia="zh-CN" w:bidi="ar-SA"/>
    </w:rPr>
  </w:style>
  <w:style w:type="character" w:customStyle="1" w:styleId="643">
    <w:name w:val="style151"/>
    <w:autoRedefine/>
    <w:qFormat/>
    <w:uiPriority w:val="0"/>
    <w:rPr>
      <w:color w:val="000000"/>
    </w:rPr>
  </w:style>
  <w:style w:type="character" w:customStyle="1" w:styleId="644">
    <w:name w:val="目标题 1) Char1"/>
    <w:autoRedefine/>
    <w:qFormat/>
    <w:locked/>
    <w:uiPriority w:val="0"/>
    <w:rPr>
      <w:rFonts w:ascii="Arial" w:hAnsi="Arial" w:eastAsia="黑体"/>
      <w:sz w:val="24"/>
      <w:lang w:val="en-US" w:eastAsia="zh-CN" w:bidi="ar-SA"/>
    </w:rPr>
  </w:style>
  <w:style w:type="character" w:customStyle="1" w:styleId="645">
    <w:name w:val="Char Char Char Char Char Char Char Char5"/>
    <w:autoRedefine/>
    <w:qFormat/>
    <w:uiPriority w:val="0"/>
    <w:rPr>
      <w:rFonts w:ascii="Times New Roman" w:hAnsi="Times New Roman" w:eastAsia="宋体" w:cs="Times New Roman"/>
      <w:sz w:val="24"/>
      <w:szCs w:val="24"/>
    </w:rPr>
  </w:style>
  <w:style w:type="character" w:customStyle="1" w:styleId="646">
    <w:name w:val="首2页项目名称 Char"/>
    <w:link w:val="647"/>
    <w:autoRedefine/>
    <w:qFormat/>
    <w:uiPriority w:val="0"/>
    <w:rPr>
      <w:rFonts w:ascii="楷体" w:hAnsi="楷体" w:eastAsia="楷体"/>
      <w:sz w:val="44"/>
      <w:szCs w:val="44"/>
    </w:rPr>
  </w:style>
  <w:style w:type="paragraph" w:customStyle="1" w:styleId="647">
    <w:name w:val="首2页项目名称"/>
    <w:basedOn w:val="434"/>
    <w:link w:val="646"/>
    <w:autoRedefine/>
    <w:qFormat/>
    <w:uiPriority w:val="0"/>
    <w:pPr>
      <w:spacing w:line="800" w:lineRule="exact"/>
    </w:pPr>
    <w:rPr>
      <w:rFonts w:ascii="楷体" w:hAnsi="楷体" w:eastAsia="楷体"/>
      <w:kern w:val="0"/>
      <w:sz w:val="44"/>
      <w:szCs w:val="44"/>
    </w:rPr>
  </w:style>
  <w:style w:type="character" w:customStyle="1" w:styleId="648">
    <w:name w:val="title31"/>
    <w:autoRedefine/>
    <w:qFormat/>
    <w:uiPriority w:val="0"/>
    <w:rPr>
      <w:rFonts w:ascii="黑体" w:eastAsia="黑体" w:cs="Times New Roman"/>
      <w:sz w:val="36"/>
      <w:szCs w:val="36"/>
    </w:rPr>
  </w:style>
  <w:style w:type="character" w:customStyle="1" w:styleId="649">
    <w:name w:val="HTML 打字机6"/>
    <w:autoRedefine/>
    <w:qFormat/>
    <w:uiPriority w:val="0"/>
    <w:rPr>
      <w:rFonts w:hint="eastAsia" w:ascii="黑体" w:hAnsi="Courier New" w:eastAsia="黑体" w:cs="Courier New"/>
      <w:sz w:val="18"/>
      <w:szCs w:val="18"/>
    </w:rPr>
  </w:style>
  <w:style w:type="character" w:customStyle="1" w:styleId="650">
    <w:name w:val="脚注文本 字符1"/>
    <w:autoRedefine/>
    <w:qFormat/>
    <w:locked/>
    <w:uiPriority w:val="0"/>
    <w:rPr>
      <w:sz w:val="18"/>
      <w:szCs w:val="18"/>
      <w:lang w:val="zh-CN" w:eastAsia="zh-CN"/>
    </w:rPr>
  </w:style>
  <w:style w:type="character" w:customStyle="1" w:styleId="651">
    <w:name w:val="postbody"/>
    <w:autoRedefine/>
    <w:qFormat/>
    <w:uiPriority w:val="0"/>
  </w:style>
  <w:style w:type="character" w:customStyle="1" w:styleId="652">
    <w:name w:val="样式 样式 c1 + Times New Roman 四号 黑色 两端对齐 段前: 0.5 行 段后: 0.5 行 + (中文)... Char"/>
    <w:link w:val="653"/>
    <w:autoRedefine/>
    <w:qFormat/>
    <w:uiPriority w:val="0"/>
    <w:rPr>
      <w:rFonts w:ascii="Arial" w:hAnsi="Arial"/>
      <w:b/>
      <w:kern w:val="2"/>
      <w:sz w:val="28"/>
    </w:rPr>
  </w:style>
  <w:style w:type="paragraph" w:customStyle="1" w:styleId="653">
    <w:name w:val="样式 样式 c1 + Times New Roman 四号 黑色 两端对齐 段前: 0.5 行 段后: 0.5 行 + (中文)..."/>
    <w:basedOn w:val="4"/>
    <w:link w:val="652"/>
    <w:autoRedefine/>
    <w:qFormat/>
    <w:uiPriority w:val="0"/>
    <w:pPr>
      <w:tabs>
        <w:tab w:val="left" w:pos="985"/>
      </w:tabs>
      <w:spacing w:line="413" w:lineRule="auto"/>
      <w:ind w:left="985" w:hanging="851"/>
      <w:jc w:val="center"/>
    </w:pPr>
    <w:rPr>
      <w:rFonts w:ascii="Arial" w:hAnsi="Arial"/>
      <w:bCs w:val="0"/>
      <w:sz w:val="28"/>
      <w:szCs w:val="20"/>
    </w:rPr>
  </w:style>
  <w:style w:type="character" w:customStyle="1" w:styleId="654">
    <w:name w:val="样式 样式 首行缩进:  2 字符 + 首行缩进:  2 字符2 Char"/>
    <w:link w:val="655"/>
    <w:autoRedefine/>
    <w:qFormat/>
    <w:uiPriority w:val="0"/>
    <w:rPr>
      <w:rFonts w:eastAsia="楷体_GB2312" w:cs="宋体"/>
      <w:spacing w:val="6"/>
      <w:sz w:val="28"/>
    </w:rPr>
  </w:style>
  <w:style w:type="paragraph" w:customStyle="1" w:styleId="655">
    <w:name w:val="样式 样式 首行缩进:  2 字符 + 首行缩进:  2 字符2"/>
    <w:basedOn w:val="1"/>
    <w:link w:val="654"/>
    <w:autoRedefine/>
    <w:qFormat/>
    <w:uiPriority w:val="0"/>
    <w:pPr>
      <w:spacing w:line="440" w:lineRule="exact"/>
      <w:ind w:firstLine="584" w:firstLineChars="200"/>
    </w:pPr>
    <w:rPr>
      <w:rFonts w:eastAsia="楷体_GB2312" w:cs="宋体"/>
      <w:spacing w:val="6"/>
      <w:kern w:val="0"/>
      <w:sz w:val="28"/>
      <w:szCs w:val="20"/>
    </w:rPr>
  </w:style>
  <w:style w:type="character" w:customStyle="1" w:styleId="656">
    <w:name w:val="font241"/>
    <w:autoRedefine/>
    <w:qFormat/>
    <w:uiPriority w:val="0"/>
    <w:rPr>
      <w:rFonts w:ascii="仿宋_GB2312" w:eastAsia="仿宋_GB2312"/>
      <w:kern w:val="2"/>
      <w:sz w:val="21"/>
      <w:lang w:val="en-US" w:eastAsia="zh-CN"/>
    </w:rPr>
  </w:style>
  <w:style w:type="character" w:customStyle="1" w:styleId="657">
    <w:name w:val="al11"/>
    <w:autoRedefine/>
    <w:qFormat/>
    <w:uiPriority w:val="0"/>
    <w:rPr>
      <w:color w:val="333333"/>
      <w:sz w:val="18"/>
      <w:szCs w:val="18"/>
    </w:rPr>
  </w:style>
  <w:style w:type="character" w:customStyle="1" w:styleId="658">
    <w:name w:val="refer-title2"/>
    <w:autoRedefine/>
    <w:qFormat/>
    <w:uiPriority w:val="0"/>
  </w:style>
  <w:style w:type="character" w:customStyle="1" w:styleId="659">
    <w:name w:val="样式1 Char Char Char"/>
    <w:autoRedefine/>
    <w:qFormat/>
    <w:uiPriority w:val="0"/>
    <w:rPr>
      <w:rFonts w:ascii="宋体" w:hAnsi="宋体"/>
      <w:spacing w:val="-12"/>
      <w:kern w:val="2"/>
      <w:sz w:val="24"/>
      <w:szCs w:val="24"/>
    </w:rPr>
  </w:style>
  <w:style w:type="character" w:customStyle="1" w:styleId="660">
    <w:name w:val="样式 正文1 + 首行缩进:  2 字符 Char"/>
    <w:link w:val="661"/>
    <w:autoRedefine/>
    <w:qFormat/>
    <w:locked/>
    <w:uiPriority w:val="0"/>
    <w:rPr>
      <w:rFonts w:ascii="宋体" w:hAnsi="宋体" w:cs="宋体"/>
      <w:sz w:val="28"/>
      <w:szCs w:val="28"/>
    </w:rPr>
  </w:style>
  <w:style w:type="paragraph" w:customStyle="1" w:styleId="661">
    <w:name w:val="样式 正文1 + 首行缩进:  2 字符"/>
    <w:basedOn w:val="1"/>
    <w:link w:val="660"/>
    <w:autoRedefine/>
    <w:qFormat/>
    <w:uiPriority w:val="0"/>
    <w:pPr>
      <w:adjustRightInd w:val="0"/>
      <w:snapToGrid w:val="0"/>
      <w:spacing w:line="360" w:lineRule="auto"/>
      <w:ind w:firstLine="560" w:firstLineChars="200"/>
    </w:pPr>
    <w:rPr>
      <w:rFonts w:ascii="宋体" w:hAnsi="宋体" w:cs="宋体"/>
      <w:kern w:val="0"/>
      <w:sz w:val="28"/>
      <w:szCs w:val="28"/>
    </w:rPr>
  </w:style>
  <w:style w:type="character" w:customStyle="1" w:styleId="662">
    <w:name w:val="表格样式2 Char"/>
    <w:autoRedefine/>
    <w:qFormat/>
    <w:uiPriority w:val="0"/>
    <w:rPr>
      <w:rFonts w:ascii="宋体" w:hAnsi="宋体" w:eastAsia="宋体"/>
      <w:sz w:val="24"/>
      <w:szCs w:val="24"/>
      <w:lang w:val="zh-CN" w:eastAsia="zh-CN" w:bidi="ar-SA"/>
    </w:rPr>
  </w:style>
  <w:style w:type="character" w:customStyle="1" w:styleId="663">
    <w:name w:val="标题 字符1"/>
    <w:autoRedefine/>
    <w:qFormat/>
    <w:locked/>
    <w:uiPriority w:val="0"/>
    <w:rPr>
      <w:rFonts w:ascii="Arial" w:hAnsi="Arial" w:cs="Arial"/>
      <w:b/>
      <w:bCs/>
      <w:sz w:val="32"/>
      <w:szCs w:val="32"/>
    </w:rPr>
  </w:style>
  <w:style w:type="character" w:customStyle="1" w:styleId="664">
    <w:name w:val="注释标题 字符1"/>
    <w:autoRedefine/>
    <w:qFormat/>
    <w:locked/>
    <w:uiPriority w:val="0"/>
    <w:rPr>
      <w:sz w:val="24"/>
      <w:szCs w:val="24"/>
    </w:rPr>
  </w:style>
  <w:style w:type="character" w:customStyle="1" w:styleId="665">
    <w:name w:val="样式 图号 + 宋体 Char"/>
    <w:autoRedefine/>
    <w:qFormat/>
    <w:uiPriority w:val="0"/>
    <w:rPr>
      <w:rFonts w:ascii="宋体" w:hAnsi="宋体" w:eastAsia="宋体"/>
      <w:b/>
      <w:bCs/>
      <w:kern w:val="32"/>
      <w:sz w:val="24"/>
      <w:szCs w:val="24"/>
      <w:lang w:val="en-US" w:eastAsia="zh-CN" w:bidi="ar-SA"/>
    </w:rPr>
  </w:style>
  <w:style w:type="character" w:customStyle="1" w:styleId="666">
    <w:name w:val="正文文本 字符"/>
    <w:autoRedefine/>
    <w:qFormat/>
    <w:locked/>
    <w:uiPriority w:val="0"/>
    <w:rPr>
      <w:rFonts w:ascii="仿宋_GB2312" w:hAnsi="Times New Roman" w:eastAsia="仿宋_GB2312" w:cs="Times New Roman"/>
      <w:kern w:val="0"/>
      <w:sz w:val="28"/>
      <w:szCs w:val="20"/>
    </w:rPr>
  </w:style>
  <w:style w:type="character" w:customStyle="1" w:styleId="667">
    <w:name w:val="style3 grey"/>
    <w:autoRedefine/>
    <w:qFormat/>
    <w:uiPriority w:val="0"/>
  </w:style>
  <w:style w:type="character" w:customStyle="1" w:styleId="668">
    <w:name w:val="正文首行缩进 2 字符1"/>
    <w:autoRedefine/>
    <w:qFormat/>
    <w:locked/>
    <w:uiPriority w:val="0"/>
    <w:rPr>
      <w:sz w:val="24"/>
    </w:rPr>
  </w:style>
  <w:style w:type="character" w:customStyle="1" w:styleId="669">
    <w:name w:val="Char Char413"/>
    <w:autoRedefine/>
    <w:qFormat/>
    <w:uiPriority w:val="0"/>
    <w:rPr>
      <w:rFonts w:eastAsia="宋体"/>
      <w:kern w:val="2"/>
      <w:sz w:val="21"/>
      <w:szCs w:val="24"/>
      <w:lang w:val="en-US" w:eastAsia="zh-CN" w:bidi="ar-SA"/>
    </w:rPr>
  </w:style>
  <w:style w:type="character" w:customStyle="1" w:styleId="670">
    <w:name w:val="lemmatitleh1"/>
    <w:autoRedefine/>
    <w:qFormat/>
    <w:uiPriority w:val="0"/>
  </w:style>
  <w:style w:type="character" w:customStyle="1" w:styleId="671">
    <w:name w:val="HTML 预设格式 字符"/>
    <w:autoRedefine/>
    <w:qFormat/>
    <w:uiPriority w:val="0"/>
    <w:rPr>
      <w:rFonts w:ascii="黑体" w:hAnsi="Courier New" w:eastAsia="黑体" w:cs="Courier New"/>
      <w:kern w:val="0"/>
      <w:sz w:val="20"/>
      <w:szCs w:val="20"/>
    </w:rPr>
  </w:style>
  <w:style w:type="character" w:customStyle="1" w:styleId="672">
    <w:name w:val="标题6"/>
    <w:autoRedefine/>
    <w:qFormat/>
    <w:uiPriority w:val="0"/>
  </w:style>
  <w:style w:type="character" w:customStyle="1" w:styleId="673">
    <w:name w:val="正文格式 Char Char Char2 Char"/>
    <w:link w:val="674"/>
    <w:autoRedefine/>
    <w:qFormat/>
    <w:uiPriority w:val="0"/>
    <w:rPr>
      <w:rFonts w:ascii="宋体"/>
      <w:sz w:val="24"/>
      <w:szCs w:val="24"/>
    </w:rPr>
  </w:style>
  <w:style w:type="paragraph" w:customStyle="1" w:styleId="674">
    <w:name w:val="正文格式 Char Char Char2"/>
    <w:basedOn w:val="1"/>
    <w:link w:val="673"/>
    <w:autoRedefine/>
    <w:qFormat/>
    <w:uiPriority w:val="0"/>
    <w:pPr>
      <w:spacing w:line="360" w:lineRule="auto"/>
      <w:ind w:firstLine="482"/>
    </w:pPr>
    <w:rPr>
      <w:rFonts w:ascii="宋体"/>
      <w:kern w:val="0"/>
      <w:sz w:val="24"/>
    </w:rPr>
  </w:style>
  <w:style w:type="character" w:customStyle="1" w:styleId="675">
    <w:name w:val="我的正文 Char Char"/>
    <w:autoRedefine/>
    <w:qFormat/>
    <w:uiPriority w:val="0"/>
    <w:rPr>
      <w:rFonts w:ascii="宋体" w:hAnsi="宋体" w:eastAsia="宋体"/>
      <w:color w:val="000000"/>
      <w:kern w:val="2"/>
      <w:sz w:val="28"/>
      <w:szCs w:val="28"/>
      <w:lang w:val="en-US" w:eastAsia="zh-CN" w:bidi="ar-SA"/>
    </w:rPr>
  </w:style>
  <w:style w:type="character" w:customStyle="1" w:styleId="676">
    <w:name w:val="v-split3"/>
    <w:autoRedefine/>
    <w:qFormat/>
    <w:uiPriority w:val="0"/>
    <w:rPr>
      <w:color w:val="C1C1C1"/>
    </w:rPr>
  </w:style>
  <w:style w:type="character" w:customStyle="1" w:styleId="677">
    <w:name w:val="Char Char135"/>
    <w:autoRedefine/>
    <w:qFormat/>
    <w:uiPriority w:val="0"/>
    <w:rPr>
      <w:rFonts w:ascii="宋体" w:hAnsi="宋体" w:eastAsia="宋体" w:cs="宋体"/>
      <w:b/>
      <w:bCs/>
      <w:kern w:val="2"/>
      <w:sz w:val="24"/>
      <w:szCs w:val="20"/>
      <w:lang w:eastAsia="zh-CN" w:bidi="ar-SA"/>
    </w:rPr>
  </w:style>
  <w:style w:type="character" w:customStyle="1" w:styleId="678">
    <w:name w:val="Footer Char"/>
    <w:autoRedefine/>
    <w:qFormat/>
    <w:locked/>
    <w:uiPriority w:val="0"/>
    <w:rPr>
      <w:rFonts w:ascii="Times New Roman" w:hAnsi="Times New Roman" w:eastAsia="宋体" w:cs="Times New Roman"/>
      <w:sz w:val="18"/>
      <w:szCs w:val="18"/>
    </w:rPr>
  </w:style>
  <w:style w:type="character" w:customStyle="1" w:styleId="679">
    <w:name w:val="px121"/>
    <w:autoRedefine/>
    <w:qFormat/>
    <w:uiPriority w:val="0"/>
  </w:style>
  <w:style w:type="character" w:customStyle="1" w:styleId="680">
    <w:name w:val="注释标题 Char1"/>
    <w:autoRedefine/>
    <w:qFormat/>
    <w:uiPriority w:val="0"/>
    <w:rPr>
      <w:rFonts w:ascii="Times New Roman" w:hAnsi="Times New Roman" w:eastAsia="宋体" w:cs="Times New Roman"/>
      <w:kern w:val="0"/>
      <w:sz w:val="20"/>
      <w:szCs w:val="20"/>
    </w:rPr>
  </w:style>
  <w:style w:type="character" w:customStyle="1" w:styleId="681">
    <w:name w:val="样式 标题 3 + (中文) 仿宋_GB2312 四号 Char"/>
    <w:link w:val="682"/>
    <w:autoRedefine/>
    <w:qFormat/>
    <w:uiPriority w:val="0"/>
    <w:rPr>
      <w:rFonts w:eastAsia="仿宋_GB2312"/>
      <w:b/>
      <w:bCs/>
      <w:kern w:val="2"/>
      <w:sz w:val="28"/>
      <w:szCs w:val="32"/>
    </w:rPr>
  </w:style>
  <w:style w:type="paragraph" w:customStyle="1" w:styleId="682">
    <w:name w:val="样式 标题 3 + (中文) 仿宋_GB2312 四号"/>
    <w:basedOn w:val="5"/>
    <w:link w:val="681"/>
    <w:autoRedefine/>
    <w:qFormat/>
    <w:uiPriority w:val="0"/>
    <w:pPr>
      <w:spacing w:before="0" w:after="0" w:line="240" w:lineRule="auto"/>
      <w:ind w:firstLine="200" w:firstLineChars="200"/>
      <w:jc w:val="left"/>
    </w:pPr>
    <w:rPr>
      <w:rFonts w:eastAsia="仿宋_GB2312"/>
      <w:sz w:val="28"/>
    </w:rPr>
  </w:style>
  <w:style w:type="character" w:customStyle="1" w:styleId="683">
    <w:name w:val="样式82 Char"/>
    <w:link w:val="684"/>
    <w:autoRedefine/>
    <w:qFormat/>
    <w:uiPriority w:val="0"/>
    <w:rPr>
      <w:rFonts w:ascii="宋体" w:hAnsi="宋体"/>
      <w:sz w:val="28"/>
      <w:szCs w:val="28"/>
    </w:rPr>
  </w:style>
  <w:style w:type="paragraph" w:customStyle="1" w:styleId="684">
    <w:name w:val="样式82"/>
    <w:basedOn w:val="1"/>
    <w:link w:val="683"/>
    <w:autoRedefine/>
    <w:qFormat/>
    <w:uiPriority w:val="0"/>
    <w:pPr>
      <w:spacing w:line="360" w:lineRule="auto"/>
      <w:ind w:firstLine="560" w:firstLineChars="200"/>
    </w:pPr>
    <w:rPr>
      <w:rFonts w:ascii="宋体" w:hAnsi="宋体"/>
      <w:kern w:val="0"/>
      <w:sz w:val="28"/>
      <w:szCs w:val="28"/>
    </w:rPr>
  </w:style>
  <w:style w:type="character" w:customStyle="1" w:styleId="685">
    <w:name w:val="正文文本缩进 2 Char1"/>
    <w:autoRedefine/>
    <w:qFormat/>
    <w:uiPriority w:val="0"/>
    <w:rPr>
      <w:rFonts w:ascii="Times New Roman" w:hAnsi="Times New Roman" w:eastAsia="宋体" w:cs="Times New Roman"/>
      <w:kern w:val="0"/>
      <w:sz w:val="20"/>
      <w:szCs w:val="20"/>
    </w:rPr>
  </w:style>
  <w:style w:type="character" w:customStyle="1" w:styleId="686">
    <w:name w:val="明显参考1"/>
    <w:autoRedefine/>
    <w:qFormat/>
    <w:uiPriority w:val="32"/>
    <w:rPr>
      <w:rFonts w:ascii="宋体" w:hAnsi="宋体" w:eastAsia="宋体"/>
      <w:b/>
      <w:bCs/>
      <w:smallCaps/>
      <w:color w:val="C0504D"/>
      <w:spacing w:val="5"/>
    </w:rPr>
  </w:style>
  <w:style w:type="character" w:customStyle="1" w:styleId="687">
    <w:name w:val="aaa"/>
    <w:autoRedefine/>
    <w:qFormat/>
    <w:uiPriority w:val="0"/>
    <w:rPr>
      <w:rFonts w:cs="Times New Roman"/>
    </w:rPr>
  </w:style>
  <w:style w:type="character" w:customStyle="1" w:styleId="688">
    <w:name w:val="c1 Char Char"/>
    <w:link w:val="689"/>
    <w:autoRedefine/>
    <w:qFormat/>
    <w:uiPriority w:val="0"/>
    <w:rPr>
      <w:rFonts w:ascii="宋体" w:hAnsi="宋体"/>
      <w:b/>
      <w:sz w:val="32"/>
      <w:szCs w:val="32"/>
    </w:rPr>
  </w:style>
  <w:style w:type="paragraph" w:customStyle="1" w:styleId="689">
    <w:name w:val="c1"/>
    <w:basedOn w:val="1"/>
    <w:link w:val="688"/>
    <w:autoRedefine/>
    <w:qFormat/>
    <w:uiPriority w:val="0"/>
    <w:pPr>
      <w:widowControl/>
      <w:spacing w:beforeLines="50" w:afterLines="50" w:line="360" w:lineRule="auto"/>
      <w:ind w:firstLine="482" w:firstLineChars="150"/>
      <w:jc w:val="center"/>
      <w:outlineLvl w:val="0"/>
    </w:pPr>
    <w:rPr>
      <w:rFonts w:ascii="宋体" w:hAnsi="宋体"/>
      <w:b/>
      <w:kern w:val="0"/>
      <w:sz w:val="32"/>
      <w:szCs w:val="32"/>
    </w:rPr>
  </w:style>
  <w:style w:type="character" w:customStyle="1" w:styleId="690">
    <w:name w:val="red"/>
    <w:autoRedefine/>
    <w:qFormat/>
    <w:uiPriority w:val="0"/>
  </w:style>
  <w:style w:type="character" w:customStyle="1" w:styleId="691">
    <w:name w:val="word2"/>
    <w:autoRedefine/>
    <w:qFormat/>
    <w:uiPriority w:val="0"/>
    <w:rPr>
      <w:rFonts w:cs="Times New Roman"/>
    </w:rPr>
  </w:style>
  <w:style w:type="character" w:customStyle="1" w:styleId="692">
    <w:name w:val="subtitle1"/>
    <w:autoRedefine/>
    <w:qFormat/>
    <w:uiPriority w:val="0"/>
    <w:rPr>
      <w:color w:val="FF0000"/>
      <w:sz w:val="21"/>
      <w:szCs w:val="21"/>
    </w:rPr>
  </w:style>
  <w:style w:type="character" w:customStyle="1" w:styleId="693">
    <w:name w:val="Char Char57"/>
    <w:autoRedefine/>
    <w:qFormat/>
    <w:uiPriority w:val="0"/>
    <w:rPr>
      <w:rFonts w:ascii="Arial" w:hAnsi="Arial" w:eastAsia="宋体" w:cs="Arial"/>
      <w:b/>
      <w:bCs/>
      <w:sz w:val="32"/>
      <w:szCs w:val="32"/>
      <w:lang w:val="en-US" w:eastAsia="zh-CN" w:bidi="ar-SA"/>
    </w:rPr>
  </w:style>
  <w:style w:type="character" w:customStyle="1" w:styleId="694">
    <w:name w:val="小四+首行缩进 Char2"/>
    <w:link w:val="695"/>
    <w:autoRedefine/>
    <w:qFormat/>
    <w:locked/>
    <w:uiPriority w:val="0"/>
    <w:rPr>
      <w:rFonts w:ascii="宋体" w:hAnsi="宋体" w:cs="宋体"/>
      <w:sz w:val="24"/>
    </w:rPr>
  </w:style>
  <w:style w:type="paragraph" w:customStyle="1" w:styleId="695">
    <w:name w:val="小四+首行缩进"/>
    <w:basedOn w:val="1"/>
    <w:link w:val="694"/>
    <w:autoRedefine/>
    <w:qFormat/>
    <w:uiPriority w:val="0"/>
    <w:pPr>
      <w:spacing w:line="360" w:lineRule="auto"/>
      <w:ind w:firstLine="482"/>
    </w:pPr>
    <w:rPr>
      <w:rFonts w:ascii="宋体" w:hAnsi="宋体" w:cs="宋体"/>
      <w:kern w:val="0"/>
      <w:sz w:val="24"/>
      <w:szCs w:val="20"/>
    </w:rPr>
  </w:style>
  <w:style w:type="character" w:customStyle="1" w:styleId="696">
    <w:name w:val="Char Char Char Char Char Char Char9"/>
    <w:link w:val="697"/>
    <w:autoRedefine/>
    <w:qFormat/>
    <w:uiPriority w:val="0"/>
    <w:rPr>
      <w:kern w:val="2"/>
      <w:sz w:val="24"/>
      <w:szCs w:val="24"/>
    </w:rPr>
  </w:style>
  <w:style w:type="paragraph" w:customStyle="1" w:styleId="697">
    <w:name w:val="Char Char Char Char Char Char9"/>
    <w:basedOn w:val="1"/>
    <w:link w:val="696"/>
    <w:autoRedefine/>
    <w:qFormat/>
    <w:uiPriority w:val="0"/>
    <w:rPr>
      <w:sz w:val="24"/>
    </w:rPr>
  </w:style>
  <w:style w:type="character" w:customStyle="1" w:styleId="698">
    <w:name w:val="日期 字符1"/>
    <w:autoRedefine/>
    <w:qFormat/>
    <w:locked/>
    <w:uiPriority w:val="0"/>
    <w:rPr>
      <w:rFonts w:ascii="仿宋_GB2312" w:eastAsia="仿宋_GB2312"/>
      <w:kern w:val="2"/>
      <w:sz w:val="32"/>
    </w:rPr>
  </w:style>
  <w:style w:type="character" w:customStyle="1" w:styleId="699">
    <w:name w:val="标题5改 Char"/>
    <w:link w:val="700"/>
    <w:autoRedefine/>
    <w:qFormat/>
    <w:uiPriority w:val="0"/>
    <w:rPr>
      <w:rFonts w:ascii="宋体" w:hAnsi="宋体"/>
      <w:b/>
      <w:kern w:val="2"/>
      <w:sz w:val="28"/>
      <w:szCs w:val="28"/>
    </w:rPr>
  </w:style>
  <w:style w:type="paragraph" w:customStyle="1" w:styleId="700">
    <w:name w:val="标题5改"/>
    <w:basedOn w:val="1"/>
    <w:link w:val="699"/>
    <w:autoRedefine/>
    <w:qFormat/>
    <w:uiPriority w:val="0"/>
    <w:pPr>
      <w:spacing w:line="560" w:lineRule="exact"/>
      <w:ind w:firstLine="200" w:firstLineChars="200"/>
      <w:jc w:val="left"/>
      <w:outlineLvl w:val="4"/>
    </w:pPr>
    <w:rPr>
      <w:rFonts w:ascii="宋体" w:hAnsi="宋体"/>
      <w:b/>
      <w:sz w:val="28"/>
      <w:szCs w:val="28"/>
    </w:rPr>
  </w:style>
  <w:style w:type="character" w:customStyle="1" w:styleId="701">
    <w:name w:val="热电厂正文 Char Char Char Char Char"/>
    <w:link w:val="702"/>
    <w:autoRedefine/>
    <w:qFormat/>
    <w:uiPriority w:val="0"/>
    <w:rPr>
      <w:sz w:val="24"/>
      <w:szCs w:val="24"/>
    </w:rPr>
  </w:style>
  <w:style w:type="paragraph" w:customStyle="1" w:styleId="702">
    <w:name w:val="热电厂正文 Char Char Char Char"/>
    <w:basedOn w:val="1"/>
    <w:link w:val="701"/>
    <w:autoRedefine/>
    <w:qFormat/>
    <w:uiPriority w:val="0"/>
    <w:pPr>
      <w:spacing w:line="440" w:lineRule="exact"/>
      <w:ind w:firstLine="480" w:firstLineChars="200"/>
    </w:pPr>
    <w:rPr>
      <w:kern w:val="0"/>
      <w:sz w:val="24"/>
    </w:rPr>
  </w:style>
  <w:style w:type="character" w:customStyle="1" w:styleId="703">
    <w:name w:val="Char Char411"/>
    <w:autoRedefine/>
    <w:qFormat/>
    <w:uiPriority w:val="0"/>
    <w:rPr>
      <w:rFonts w:eastAsia="宋体"/>
      <w:sz w:val="24"/>
      <w:lang w:val="en-US" w:eastAsia="zh-CN" w:bidi="ar-SA"/>
    </w:rPr>
  </w:style>
  <w:style w:type="character" w:customStyle="1" w:styleId="704">
    <w:name w:val="Char Char Char Char Char5"/>
    <w:link w:val="705"/>
    <w:autoRedefine/>
    <w:qFormat/>
    <w:uiPriority w:val="0"/>
    <w:rPr>
      <w:kern w:val="2"/>
      <w:sz w:val="24"/>
      <w:szCs w:val="24"/>
      <w:lang w:val="zh-CN"/>
    </w:rPr>
  </w:style>
  <w:style w:type="paragraph" w:customStyle="1" w:styleId="705">
    <w:name w:val="Char Char Char9"/>
    <w:basedOn w:val="1"/>
    <w:link w:val="704"/>
    <w:autoRedefine/>
    <w:qFormat/>
    <w:uiPriority w:val="0"/>
    <w:rPr>
      <w:sz w:val="24"/>
      <w:lang w:val="zh-CN"/>
    </w:rPr>
  </w:style>
  <w:style w:type="character" w:customStyle="1" w:styleId="706">
    <w:name w:val="unnamed111"/>
    <w:autoRedefine/>
    <w:qFormat/>
    <w:uiPriority w:val="0"/>
    <w:rPr>
      <w:color w:val="003366"/>
      <w:sz w:val="24"/>
      <w:szCs w:val="24"/>
      <w:u w:val="none"/>
    </w:rPr>
  </w:style>
  <w:style w:type="character" w:customStyle="1" w:styleId="707">
    <w:name w:val="Char Char Char Char Char6"/>
    <w:link w:val="708"/>
    <w:autoRedefine/>
    <w:qFormat/>
    <w:uiPriority w:val="0"/>
    <w:rPr>
      <w:kern w:val="2"/>
      <w:sz w:val="24"/>
      <w:szCs w:val="24"/>
    </w:rPr>
  </w:style>
  <w:style w:type="paragraph" w:customStyle="1" w:styleId="708">
    <w:name w:val="Char Char Char10"/>
    <w:basedOn w:val="1"/>
    <w:link w:val="707"/>
    <w:autoRedefine/>
    <w:qFormat/>
    <w:uiPriority w:val="0"/>
    <w:rPr>
      <w:sz w:val="24"/>
    </w:rPr>
  </w:style>
  <w:style w:type="character" w:customStyle="1" w:styleId="709">
    <w:name w:val="part"/>
    <w:autoRedefine/>
    <w:qFormat/>
    <w:uiPriority w:val="0"/>
  </w:style>
  <w:style w:type="character" w:customStyle="1" w:styleId="710">
    <w:name w:val="环表头 Char4"/>
    <w:autoRedefine/>
    <w:qFormat/>
    <w:uiPriority w:val="0"/>
    <w:rPr>
      <w:rFonts w:ascii="宋体" w:hAnsi="宋体" w:eastAsia="宋体" w:cs="Courier New"/>
      <w:b/>
      <w:color w:val="000000"/>
      <w:sz w:val="24"/>
      <w:lang w:val="en-US" w:eastAsia="zh-CN" w:bidi="ar-SA"/>
    </w:rPr>
  </w:style>
  <w:style w:type="character" w:customStyle="1" w:styleId="711">
    <w:name w:val="附录二级条标题 Char Char"/>
    <w:autoRedefine/>
    <w:qFormat/>
    <w:uiPriority w:val="0"/>
    <w:rPr>
      <w:rFonts w:ascii="黑体" w:eastAsia="黑体"/>
      <w:kern w:val="21"/>
      <w:sz w:val="21"/>
      <w:lang w:val="en-US" w:eastAsia="zh-CN" w:bidi="ar-SA"/>
    </w:rPr>
  </w:style>
  <w:style w:type="character" w:customStyle="1" w:styleId="712">
    <w:name w:val="h9 Char"/>
    <w:autoRedefine/>
    <w:qFormat/>
    <w:uiPriority w:val="0"/>
    <w:rPr>
      <w:rFonts w:ascii="Arial" w:hAnsi="Arial" w:eastAsia="黑体"/>
      <w:kern w:val="2"/>
      <w:sz w:val="24"/>
    </w:rPr>
  </w:style>
  <w:style w:type="character" w:customStyle="1" w:styleId="713">
    <w:name w:val="ttitle1"/>
    <w:autoRedefine/>
    <w:qFormat/>
    <w:uiPriority w:val="0"/>
    <w:rPr>
      <w:rFonts w:cs="Times New Roman"/>
      <w:spacing w:val="120"/>
      <w:sz w:val="21"/>
      <w:szCs w:val="21"/>
    </w:rPr>
  </w:style>
  <w:style w:type="character" w:customStyle="1" w:styleId="714">
    <w:name w:val="书籍标题1"/>
    <w:autoRedefine/>
    <w:qFormat/>
    <w:uiPriority w:val="33"/>
    <w:rPr>
      <w:b/>
      <w:bCs/>
      <w:smallCaps/>
      <w:spacing w:val="5"/>
    </w:rPr>
  </w:style>
  <w:style w:type="character" w:customStyle="1" w:styleId="715">
    <w:name w:val="HTML 打字机2"/>
    <w:autoRedefine/>
    <w:qFormat/>
    <w:uiPriority w:val="0"/>
    <w:rPr>
      <w:rFonts w:hint="eastAsia" w:ascii="黑体" w:hAnsi="Courier New" w:eastAsia="黑体" w:cs="Courier New"/>
      <w:sz w:val="18"/>
      <w:szCs w:val="18"/>
    </w:rPr>
  </w:style>
  <w:style w:type="character" w:customStyle="1" w:styleId="716">
    <w:name w:val="正文文本缩进 3 字符"/>
    <w:autoRedefine/>
    <w:qFormat/>
    <w:uiPriority w:val="0"/>
    <w:rPr>
      <w:rFonts w:ascii="宋体" w:hAnsi="宋体" w:eastAsia="宋体" w:cs="Times New Roman"/>
      <w:kern w:val="0"/>
      <w:sz w:val="24"/>
      <w:szCs w:val="20"/>
    </w:rPr>
  </w:style>
  <w:style w:type="character" w:customStyle="1" w:styleId="717">
    <w:name w:val="text_new"/>
    <w:autoRedefine/>
    <w:qFormat/>
    <w:uiPriority w:val="0"/>
  </w:style>
  <w:style w:type="character" w:customStyle="1" w:styleId="718">
    <w:name w:val="goog_qs-tidbit-0"/>
    <w:autoRedefine/>
    <w:qFormat/>
    <w:uiPriority w:val="0"/>
    <w:rPr>
      <w:rFonts w:cs="Times New Roman"/>
    </w:rPr>
  </w:style>
  <w:style w:type="character" w:customStyle="1" w:styleId="719">
    <w:name w:val="Char Char412"/>
    <w:autoRedefine/>
    <w:qFormat/>
    <w:uiPriority w:val="0"/>
    <w:rPr>
      <w:rFonts w:eastAsia="宋体"/>
      <w:kern w:val="2"/>
      <w:sz w:val="21"/>
      <w:szCs w:val="24"/>
      <w:lang w:val="en-US" w:eastAsia="zh-CN" w:bidi="ar-SA"/>
    </w:rPr>
  </w:style>
  <w:style w:type="character" w:customStyle="1" w:styleId="720">
    <w:name w:val="书籍标题11"/>
    <w:autoRedefine/>
    <w:qFormat/>
    <w:uiPriority w:val="33"/>
    <w:rPr>
      <w:rFonts w:ascii="Cambria" w:hAnsi="Cambria" w:eastAsia="宋体" w:cs="Times New Roman"/>
      <w:b/>
      <w:i/>
      <w:sz w:val="24"/>
      <w:szCs w:val="24"/>
    </w:rPr>
  </w:style>
  <w:style w:type="character" w:customStyle="1" w:styleId="721">
    <w:name w:val="标题1新 Char"/>
    <w:link w:val="722"/>
    <w:autoRedefine/>
    <w:qFormat/>
    <w:uiPriority w:val="0"/>
    <w:rPr>
      <w:rFonts w:eastAsia="黑体"/>
      <w:sz w:val="32"/>
      <w:szCs w:val="24"/>
    </w:rPr>
  </w:style>
  <w:style w:type="paragraph" w:customStyle="1" w:styleId="722">
    <w:name w:val="标题1新"/>
    <w:basedOn w:val="1"/>
    <w:link w:val="721"/>
    <w:autoRedefine/>
    <w:qFormat/>
    <w:uiPriority w:val="0"/>
    <w:pPr>
      <w:spacing w:line="900" w:lineRule="exact"/>
      <w:jc w:val="center"/>
      <w:outlineLvl w:val="0"/>
    </w:pPr>
    <w:rPr>
      <w:rFonts w:eastAsia="黑体"/>
      <w:kern w:val="0"/>
      <w:sz w:val="32"/>
    </w:rPr>
  </w:style>
  <w:style w:type="character" w:customStyle="1" w:styleId="723">
    <w:name w:val="Char Char28"/>
    <w:autoRedefine/>
    <w:qFormat/>
    <w:uiPriority w:val="0"/>
    <w:rPr>
      <w:kern w:val="2"/>
      <w:sz w:val="24"/>
    </w:rPr>
  </w:style>
  <w:style w:type="character" w:customStyle="1" w:styleId="724">
    <w:name w:val="oblog_text"/>
    <w:autoRedefine/>
    <w:qFormat/>
    <w:uiPriority w:val="0"/>
    <w:rPr>
      <w:rFonts w:hint="eastAsia" w:ascii="宋体" w:hAnsi="宋体" w:eastAsia="宋体"/>
      <w:kern w:val="2"/>
      <w:sz w:val="21"/>
      <w:szCs w:val="21"/>
      <w:lang w:val="en-US" w:eastAsia="zh-CN" w:bidi="ar-SA"/>
    </w:rPr>
  </w:style>
  <w:style w:type="character" w:customStyle="1" w:styleId="725">
    <w:name w:val="环表头 Char2"/>
    <w:autoRedefine/>
    <w:qFormat/>
    <w:uiPriority w:val="0"/>
    <w:rPr>
      <w:rFonts w:ascii="黑体" w:hAnsi="宋体" w:eastAsia="黑体"/>
      <w:color w:val="000000"/>
      <w:sz w:val="24"/>
      <w:szCs w:val="24"/>
      <w:lang w:val="en-US" w:eastAsia="zh-CN" w:bidi="ar-SA"/>
    </w:rPr>
  </w:style>
  <w:style w:type="character" w:customStyle="1" w:styleId="726">
    <w:name w:val="chen表头1 Char"/>
    <w:link w:val="727"/>
    <w:autoRedefine/>
    <w:qFormat/>
    <w:uiPriority w:val="0"/>
    <w:rPr>
      <w:rFonts w:eastAsia="楷体_GB2312"/>
      <w:b/>
      <w:sz w:val="24"/>
      <w:szCs w:val="24"/>
    </w:rPr>
  </w:style>
  <w:style w:type="paragraph" w:customStyle="1" w:styleId="727">
    <w:name w:val="chen表头1"/>
    <w:basedOn w:val="1"/>
    <w:link w:val="726"/>
    <w:autoRedefine/>
    <w:qFormat/>
    <w:uiPriority w:val="0"/>
    <w:pPr>
      <w:spacing w:after="120" w:line="500" w:lineRule="exact"/>
      <w:jc w:val="center"/>
    </w:pPr>
    <w:rPr>
      <w:rFonts w:eastAsia="楷体_GB2312"/>
      <w:b/>
      <w:kern w:val="0"/>
      <w:sz w:val="24"/>
    </w:rPr>
  </w:style>
  <w:style w:type="character" w:customStyle="1" w:styleId="728">
    <w:name w:val="hhcwt表头 Char Char"/>
    <w:link w:val="729"/>
    <w:autoRedefine/>
    <w:qFormat/>
    <w:uiPriority w:val="0"/>
    <w:rPr>
      <w:rFonts w:ascii="楷体_GB2312" w:eastAsia="楷体_GB2312"/>
      <w:b/>
      <w:bCs/>
      <w:sz w:val="24"/>
    </w:rPr>
  </w:style>
  <w:style w:type="paragraph" w:customStyle="1" w:styleId="729">
    <w:name w:val="hhcwt表头"/>
    <w:basedOn w:val="1"/>
    <w:link w:val="728"/>
    <w:autoRedefine/>
    <w:qFormat/>
    <w:uiPriority w:val="0"/>
    <w:pPr>
      <w:spacing w:after="120" w:line="500" w:lineRule="exact"/>
      <w:jc w:val="center"/>
    </w:pPr>
    <w:rPr>
      <w:rFonts w:ascii="楷体_GB2312" w:eastAsia="楷体_GB2312"/>
      <w:b/>
      <w:bCs/>
      <w:kern w:val="0"/>
      <w:sz w:val="24"/>
      <w:szCs w:val="20"/>
    </w:rPr>
  </w:style>
  <w:style w:type="character" w:customStyle="1" w:styleId="730">
    <w:name w:val="宏文本 Char1"/>
    <w:autoRedefine/>
    <w:qFormat/>
    <w:uiPriority w:val="0"/>
    <w:rPr>
      <w:rFonts w:ascii="Courier New" w:hAnsi="Courier New"/>
      <w:sz w:val="24"/>
      <w:szCs w:val="24"/>
      <w:lang w:val="en-US" w:eastAsia="zh-CN" w:bidi="ar-SA"/>
    </w:rPr>
  </w:style>
  <w:style w:type="character" w:customStyle="1" w:styleId="731">
    <w:name w:val="Char Char Char Char Char Char Char10"/>
    <w:link w:val="732"/>
    <w:autoRedefine/>
    <w:qFormat/>
    <w:uiPriority w:val="0"/>
    <w:rPr>
      <w:kern w:val="2"/>
      <w:sz w:val="24"/>
      <w:szCs w:val="24"/>
    </w:rPr>
  </w:style>
  <w:style w:type="paragraph" w:customStyle="1" w:styleId="732">
    <w:name w:val="Char Char Char Char Char Char10"/>
    <w:basedOn w:val="1"/>
    <w:link w:val="731"/>
    <w:autoRedefine/>
    <w:qFormat/>
    <w:uiPriority w:val="0"/>
    <w:rPr>
      <w:sz w:val="24"/>
    </w:rPr>
  </w:style>
  <w:style w:type="character" w:customStyle="1" w:styleId="733">
    <w:name w:val="Char Char Char Char Char Char Char12"/>
    <w:link w:val="734"/>
    <w:autoRedefine/>
    <w:qFormat/>
    <w:uiPriority w:val="0"/>
    <w:rPr>
      <w:kern w:val="2"/>
      <w:sz w:val="24"/>
      <w:szCs w:val="24"/>
    </w:rPr>
  </w:style>
  <w:style w:type="paragraph" w:customStyle="1" w:styleId="734">
    <w:name w:val="Char Char Char Char Char Char12"/>
    <w:basedOn w:val="1"/>
    <w:link w:val="733"/>
    <w:autoRedefine/>
    <w:qFormat/>
    <w:uiPriority w:val="0"/>
    <w:rPr>
      <w:sz w:val="24"/>
    </w:rPr>
  </w:style>
  <w:style w:type="character" w:customStyle="1" w:styleId="735">
    <w:name w:val="Char Char37"/>
    <w:autoRedefine/>
    <w:qFormat/>
    <w:uiPriority w:val="0"/>
    <w:rPr>
      <w:rFonts w:eastAsia="宋体"/>
      <w:bCs/>
      <w:kern w:val="2"/>
      <w:sz w:val="28"/>
      <w:lang w:val="en-US" w:eastAsia="zh-CN" w:bidi="ar-SA"/>
    </w:rPr>
  </w:style>
  <w:style w:type="character" w:customStyle="1" w:styleId="736">
    <w:name w:val="黑体标题 Char Char"/>
    <w:autoRedefine/>
    <w:qFormat/>
    <w:uiPriority w:val="0"/>
    <w:rPr>
      <w:rFonts w:ascii="宋体" w:hAnsi="宋体" w:eastAsia="宋体"/>
      <w:b/>
      <w:spacing w:val="10"/>
      <w:kern w:val="2"/>
      <w:sz w:val="28"/>
      <w:szCs w:val="18"/>
      <w:lang w:val="en-US" w:eastAsia="zh-CN" w:bidi="ar-SA"/>
    </w:rPr>
  </w:style>
  <w:style w:type="character" w:customStyle="1" w:styleId="737">
    <w:name w:val="tpc_content"/>
    <w:autoRedefine/>
    <w:qFormat/>
    <w:uiPriority w:val="0"/>
    <w:rPr>
      <w:rFonts w:cs="Times New Roman"/>
    </w:rPr>
  </w:style>
  <w:style w:type="character" w:customStyle="1" w:styleId="738">
    <w:name w:val="l151"/>
    <w:autoRedefine/>
    <w:qFormat/>
    <w:uiPriority w:val="0"/>
  </w:style>
  <w:style w:type="character" w:customStyle="1" w:styleId="739">
    <w:name w:val="Char Char1910"/>
    <w:autoRedefine/>
    <w:qFormat/>
    <w:uiPriority w:val="0"/>
    <w:rPr>
      <w:rFonts w:eastAsia="宋体"/>
      <w:kern w:val="2"/>
      <w:sz w:val="21"/>
      <w:szCs w:val="24"/>
      <w:lang w:val="en-US" w:eastAsia="zh-CN" w:bidi="ar-SA"/>
    </w:rPr>
  </w:style>
  <w:style w:type="character" w:customStyle="1" w:styleId="740">
    <w:name w:val="正文格式 Char"/>
    <w:link w:val="741"/>
    <w:autoRedefine/>
    <w:qFormat/>
    <w:locked/>
    <w:uiPriority w:val="0"/>
    <w:rPr>
      <w:rFonts w:ascii="宋体" w:hAnsi="宋体"/>
      <w:sz w:val="24"/>
      <w:szCs w:val="24"/>
    </w:rPr>
  </w:style>
  <w:style w:type="paragraph" w:customStyle="1" w:styleId="741">
    <w:name w:val="正文格式"/>
    <w:basedOn w:val="1"/>
    <w:link w:val="740"/>
    <w:autoRedefine/>
    <w:qFormat/>
    <w:uiPriority w:val="0"/>
    <w:pPr>
      <w:spacing w:line="360" w:lineRule="auto"/>
      <w:ind w:firstLine="482"/>
    </w:pPr>
    <w:rPr>
      <w:rFonts w:ascii="宋体" w:hAnsi="宋体"/>
      <w:kern w:val="0"/>
      <w:sz w:val="24"/>
    </w:rPr>
  </w:style>
  <w:style w:type="character" w:customStyle="1" w:styleId="742">
    <w:name w:val="款标题1.1.1.1 Char Char"/>
    <w:autoRedefine/>
    <w:qFormat/>
    <w:uiPriority w:val="0"/>
    <w:rPr>
      <w:rFonts w:ascii="Arial" w:hAnsi="Arial" w:eastAsia="黑体"/>
      <w:b/>
      <w:bCs/>
      <w:sz w:val="28"/>
      <w:szCs w:val="28"/>
      <w:lang w:val="en-US" w:eastAsia="zh-CN" w:bidi="ar-SA"/>
    </w:rPr>
  </w:style>
  <w:style w:type="character" w:customStyle="1" w:styleId="743">
    <w:name w:val="副标题 字符1"/>
    <w:autoRedefine/>
    <w:qFormat/>
    <w:locked/>
    <w:uiPriority w:val="0"/>
    <w:rPr>
      <w:rFonts w:ascii="Cambria" w:hAnsi="Cambria"/>
      <w:sz w:val="24"/>
      <w:szCs w:val="24"/>
    </w:rPr>
  </w:style>
  <w:style w:type="character" w:customStyle="1" w:styleId="744">
    <w:name w:val="Char Char83"/>
    <w:autoRedefine/>
    <w:qFormat/>
    <w:uiPriority w:val="0"/>
    <w:rPr>
      <w:rFonts w:ascii="黑体" w:eastAsia="黑体"/>
      <w:b/>
      <w:bCs/>
      <w:sz w:val="28"/>
      <w:szCs w:val="28"/>
      <w:lang w:val="en-US" w:eastAsia="zh-CN" w:bidi="ar-SA"/>
    </w:rPr>
  </w:style>
  <w:style w:type="character" w:customStyle="1" w:styleId="745">
    <w:name w:val="兴武正文 Char"/>
    <w:link w:val="746"/>
    <w:autoRedefine/>
    <w:qFormat/>
    <w:uiPriority w:val="0"/>
    <w:rPr>
      <w:sz w:val="24"/>
    </w:rPr>
  </w:style>
  <w:style w:type="paragraph" w:customStyle="1" w:styleId="746">
    <w:name w:val="兴武正文"/>
    <w:basedOn w:val="1"/>
    <w:link w:val="745"/>
    <w:autoRedefine/>
    <w:qFormat/>
    <w:uiPriority w:val="0"/>
    <w:pPr>
      <w:spacing w:line="480" w:lineRule="exact"/>
      <w:ind w:firstLine="200" w:firstLineChars="200"/>
    </w:pPr>
    <w:rPr>
      <w:kern w:val="0"/>
      <w:sz w:val="24"/>
      <w:szCs w:val="20"/>
    </w:rPr>
  </w:style>
  <w:style w:type="character" w:customStyle="1" w:styleId="747">
    <w:name w:val="正文文本 Char2"/>
    <w:autoRedefine/>
    <w:qFormat/>
    <w:locked/>
    <w:uiPriority w:val="0"/>
    <w:rPr>
      <w:rFonts w:ascii="仿宋_GB2312" w:eastAsia="仿宋_GB2312"/>
      <w:sz w:val="28"/>
      <w:lang w:val="en-US" w:eastAsia="zh-CN" w:bidi="ar-SA"/>
    </w:rPr>
  </w:style>
  <w:style w:type="character" w:customStyle="1" w:styleId="748">
    <w:name w:val="标题5"/>
    <w:autoRedefine/>
    <w:qFormat/>
    <w:uiPriority w:val="0"/>
  </w:style>
  <w:style w:type="character" w:customStyle="1" w:styleId="749">
    <w:name w:val="样式 宋体 四号"/>
    <w:autoRedefine/>
    <w:qFormat/>
    <w:uiPriority w:val="0"/>
    <w:rPr>
      <w:rFonts w:ascii="宋体" w:eastAsia="宋体"/>
      <w:sz w:val="24"/>
    </w:rPr>
  </w:style>
  <w:style w:type="character" w:customStyle="1" w:styleId="750">
    <w:name w:val="环表头 Char6"/>
    <w:autoRedefine/>
    <w:qFormat/>
    <w:uiPriority w:val="0"/>
    <w:rPr>
      <w:rFonts w:ascii="宋体" w:hAnsi="宋体" w:eastAsia="宋体" w:cs="Courier New"/>
      <w:b/>
      <w:color w:val="000000"/>
      <w:kern w:val="2"/>
      <w:sz w:val="24"/>
      <w:szCs w:val="21"/>
      <w:lang w:val="en-US" w:eastAsia="zh-CN" w:bidi="ar-SA"/>
    </w:rPr>
  </w:style>
  <w:style w:type="character" w:customStyle="1" w:styleId="751">
    <w:name w:val="3zw1"/>
    <w:autoRedefine/>
    <w:qFormat/>
    <w:uiPriority w:val="0"/>
    <w:rPr>
      <w:rFonts w:cs="Times New Roman"/>
      <w:color w:val="000000"/>
      <w:sz w:val="28"/>
      <w:szCs w:val="28"/>
      <w:u w:val="none"/>
    </w:rPr>
  </w:style>
  <w:style w:type="character" w:customStyle="1" w:styleId="752">
    <w:name w:val="环表头 Char3"/>
    <w:link w:val="753"/>
    <w:autoRedefine/>
    <w:qFormat/>
    <w:uiPriority w:val="0"/>
    <w:rPr>
      <w:rFonts w:ascii="宋体" w:hAnsi="宋体"/>
      <w:sz w:val="24"/>
    </w:rPr>
  </w:style>
  <w:style w:type="paragraph" w:customStyle="1" w:styleId="753">
    <w:name w:val="环表头"/>
    <w:basedOn w:val="754"/>
    <w:link w:val="752"/>
    <w:autoRedefine/>
    <w:qFormat/>
    <w:uiPriority w:val="0"/>
    <w:pPr>
      <w:spacing w:before="60" w:after="60"/>
      <w:ind w:right="28" w:firstLine="0"/>
      <w:jc w:val="center"/>
    </w:pPr>
    <w:rPr>
      <w:lang w:val="en-US"/>
    </w:rPr>
  </w:style>
  <w:style w:type="paragraph" w:customStyle="1" w:styleId="754">
    <w:name w:val="环正文"/>
    <w:basedOn w:val="1"/>
    <w:link w:val="755"/>
    <w:autoRedefine/>
    <w:qFormat/>
    <w:uiPriority w:val="0"/>
    <w:pPr>
      <w:widowControl/>
      <w:suppressAutoHyphens/>
      <w:adjustRightInd w:val="0"/>
      <w:spacing w:line="312" w:lineRule="atLeast"/>
      <w:ind w:firstLine="567"/>
      <w:textAlignment w:val="baseline"/>
    </w:pPr>
    <w:rPr>
      <w:rFonts w:ascii="宋体" w:hAnsi="宋体"/>
      <w:kern w:val="0"/>
      <w:sz w:val="24"/>
      <w:szCs w:val="20"/>
      <w:lang w:val="zh-CN"/>
    </w:rPr>
  </w:style>
  <w:style w:type="character" w:customStyle="1" w:styleId="755">
    <w:name w:val="环正文 Char1"/>
    <w:link w:val="754"/>
    <w:autoRedefine/>
    <w:qFormat/>
    <w:locked/>
    <w:uiPriority w:val="0"/>
    <w:rPr>
      <w:rFonts w:ascii="宋体" w:hAnsi="宋体"/>
      <w:sz w:val="24"/>
      <w:lang w:val="zh-CN"/>
    </w:rPr>
  </w:style>
  <w:style w:type="character" w:customStyle="1" w:styleId="756">
    <w:name w:val="text2"/>
    <w:autoRedefine/>
    <w:qFormat/>
    <w:uiPriority w:val="0"/>
    <w:rPr>
      <w:rFonts w:hint="eastAsia" w:ascii="宋体" w:hAnsi="宋体" w:eastAsia="宋体"/>
      <w:kern w:val="2"/>
      <w:sz w:val="21"/>
      <w:szCs w:val="21"/>
      <w:lang w:val="en-US" w:eastAsia="zh-CN" w:bidi="ar-SA"/>
    </w:rPr>
  </w:style>
  <w:style w:type="character" w:customStyle="1" w:styleId="757">
    <w:name w:val="Char Char33"/>
    <w:autoRedefine/>
    <w:qFormat/>
    <w:uiPriority w:val="0"/>
    <w:rPr>
      <w:rFonts w:eastAsia="宋体"/>
      <w:b/>
      <w:bCs/>
      <w:kern w:val="2"/>
      <w:sz w:val="24"/>
      <w:szCs w:val="24"/>
      <w:lang w:val="en-US" w:eastAsia="zh-CN" w:bidi="ar-SA"/>
    </w:rPr>
  </w:style>
  <w:style w:type="character" w:customStyle="1" w:styleId="758">
    <w:name w:val="结束语 Char1"/>
    <w:autoRedefine/>
    <w:qFormat/>
    <w:uiPriority w:val="99"/>
    <w:rPr>
      <w:rFonts w:ascii="Times New Roman" w:hAnsi="Times New Roman" w:eastAsia="宋体" w:cs="Times New Roman"/>
      <w:kern w:val="0"/>
      <w:sz w:val="20"/>
      <w:szCs w:val="20"/>
    </w:rPr>
  </w:style>
  <w:style w:type="character" w:customStyle="1" w:styleId="759">
    <w:name w:val="mtext2"/>
    <w:autoRedefine/>
    <w:qFormat/>
    <w:uiPriority w:val="0"/>
    <w:rPr>
      <w:rFonts w:cs="Times New Roman"/>
      <w:color w:val="333333"/>
    </w:rPr>
  </w:style>
  <w:style w:type="character" w:customStyle="1" w:styleId="760">
    <w:name w:val="表、图名 Char"/>
    <w:link w:val="761"/>
    <w:autoRedefine/>
    <w:qFormat/>
    <w:uiPriority w:val="0"/>
    <w:rPr>
      <w:rFonts w:eastAsia="黑体"/>
      <w:szCs w:val="21"/>
    </w:rPr>
  </w:style>
  <w:style w:type="paragraph" w:customStyle="1" w:styleId="761">
    <w:name w:val="表、图名"/>
    <w:basedOn w:val="325"/>
    <w:link w:val="760"/>
    <w:autoRedefine/>
    <w:qFormat/>
    <w:uiPriority w:val="0"/>
    <w:pPr>
      <w:adjustRightInd w:val="0"/>
      <w:snapToGrid w:val="0"/>
      <w:spacing w:line="240" w:lineRule="auto"/>
    </w:pPr>
    <w:rPr>
      <w:rFonts w:ascii="Times New Roman" w:hAnsi="Times New Roman"/>
      <w:b w:val="0"/>
      <w:kern w:val="0"/>
      <w:sz w:val="20"/>
      <w:szCs w:val="21"/>
    </w:rPr>
  </w:style>
  <w:style w:type="character" w:customStyle="1" w:styleId="762">
    <w:name w:val="hb4 Char"/>
    <w:autoRedefine/>
    <w:qFormat/>
    <w:uiPriority w:val="0"/>
    <w:rPr>
      <w:rFonts w:ascii="宋体" w:hAnsi="宋体" w:eastAsia="宋体"/>
      <w:sz w:val="24"/>
      <w:szCs w:val="24"/>
      <w:lang w:val="en-US" w:eastAsia="zh-CN" w:bidi="ar-SA"/>
    </w:rPr>
  </w:style>
  <w:style w:type="character" w:customStyle="1" w:styleId="763">
    <w:name w:val="Body Text 21 Char"/>
    <w:link w:val="764"/>
    <w:autoRedefine/>
    <w:qFormat/>
    <w:uiPriority w:val="0"/>
    <w:rPr>
      <w:rFonts w:ascii="宋体" w:hAnsi="宋体" w:eastAsia="仿宋体"/>
      <w:sz w:val="24"/>
      <w:szCs w:val="24"/>
    </w:rPr>
  </w:style>
  <w:style w:type="paragraph" w:customStyle="1" w:styleId="764">
    <w:name w:val="Body Text 21"/>
    <w:basedOn w:val="1"/>
    <w:link w:val="763"/>
    <w:autoRedefine/>
    <w:qFormat/>
    <w:uiPriority w:val="0"/>
    <w:pPr>
      <w:widowControl/>
      <w:adjustRightInd w:val="0"/>
      <w:jc w:val="left"/>
    </w:pPr>
    <w:rPr>
      <w:rFonts w:ascii="宋体" w:hAnsi="宋体" w:eastAsia="仿宋体"/>
      <w:kern w:val="0"/>
      <w:sz w:val="24"/>
    </w:rPr>
  </w:style>
  <w:style w:type="character" w:customStyle="1" w:styleId="765">
    <w:name w:val="Char Char52"/>
    <w:autoRedefine/>
    <w:qFormat/>
    <w:uiPriority w:val="0"/>
    <w:rPr>
      <w:rFonts w:hint="default" w:ascii="Arial" w:hAnsi="Arial" w:eastAsia="宋体" w:cs="Arial"/>
      <w:b/>
      <w:bCs/>
      <w:sz w:val="32"/>
      <w:szCs w:val="32"/>
      <w:lang w:val="en-US" w:eastAsia="zh-CN" w:bidi="ar-SA"/>
    </w:rPr>
  </w:style>
  <w:style w:type="character" w:customStyle="1" w:styleId="766">
    <w:name w:val="信息计划书 标题样式 Char Char"/>
    <w:autoRedefine/>
    <w:qFormat/>
    <w:uiPriority w:val="0"/>
    <w:rPr>
      <w:rFonts w:ascii="Times New Roman" w:hAnsi="Times New Roman"/>
      <w:kern w:val="2"/>
      <w:sz w:val="24"/>
      <w:szCs w:val="24"/>
    </w:rPr>
  </w:style>
  <w:style w:type="character" w:customStyle="1" w:styleId="767">
    <w:name w:val="图例 Char"/>
    <w:autoRedefine/>
    <w:qFormat/>
    <w:uiPriority w:val="0"/>
    <w:rPr>
      <w:rFonts w:ascii="Arial" w:hAnsi="Arial" w:eastAsia="宋体" w:cs="Arial"/>
      <w:kern w:val="2"/>
      <w:sz w:val="28"/>
      <w:szCs w:val="28"/>
      <w:lang w:val="en-US" w:eastAsia="zh-CN" w:bidi="ar-SA"/>
    </w:rPr>
  </w:style>
  <w:style w:type="character" w:customStyle="1" w:styleId="768">
    <w:name w:val="性质正文 Char"/>
    <w:link w:val="769"/>
    <w:autoRedefine/>
    <w:qFormat/>
    <w:locked/>
    <w:uiPriority w:val="0"/>
    <w:rPr>
      <w:rFonts w:eastAsia="楷体_GB2312"/>
      <w:spacing w:val="4"/>
    </w:rPr>
  </w:style>
  <w:style w:type="paragraph" w:customStyle="1" w:styleId="769">
    <w:name w:val="性质正文"/>
    <w:basedOn w:val="1"/>
    <w:link w:val="768"/>
    <w:autoRedefine/>
    <w:qFormat/>
    <w:uiPriority w:val="0"/>
    <w:pPr>
      <w:tabs>
        <w:tab w:val="left" w:pos="4320"/>
        <w:tab w:val="left" w:pos="9975"/>
      </w:tabs>
      <w:adjustRightInd w:val="0"/>
      <w:spacing w:line="280" w:lineRule="exact"/>
      <w:ind w:left="1644" w:right="567" w:hanging="1077"/>
      <w:textAlignment w:val="baseline"/>
    </w:pPr>
    <w:rPr>
      <w:rFonts w:eastAsia="楷体_GB2312"/>
      <w:spacing w:val="4"/>
      <w:kern w:val="0"/>
      <w:sz w:val="20"/>
      <w:szCs w:val="20"/>
    </w:rPr>
  </w:style>
  <w:style w:type="character" w:customStyle="1" w:styleId="770">
    <w:name w:val="9css21"/>
    <w:autoRedefine/>
    <w:qFormat/>
    <w:uiPriority w:val="0"/>
  </w:style>
  <w:style w:type="character" w:customStyle="1" w:styleId="771">
    <w:name w:val="Char Char2"/>
    <w:autoRedefine/>
    <w:qFormat/>
    <w:uiPriority w:val="0"/>
    <w:rPr>
      <w:rFonts w:ascii="宋体" w:hAnsi="宋体" w:eastAsia="宋体"/>
      <w:kern w:val="2"/>
      <w:sz w:val="24"/>
      <w:lang w:val="en-US" w:eastAsia="zh-CN"/>
    </w:rPr>
  </w:style>
  <w:style w:type="character" w:customStyle="1" w:styleId="772">
    <w:name w:val="10f"/>
    <w:autoRedefine/>
    <w:qFormat/>
    <w:uiPriority w:val="0"/>
  </w:style>
  <w:style w:type="character" w:customStyle="1" w:styleId="773">
    <w:name w:val="style311"/>
    <w:autoRedefine/>
    <w:qFormat/>
    <w:uiPriority w:val="0"/>
    <w:rPr>
      <w:b/>
      <w:bCs/>
      <w:color w:val="000000"/>
      <w:sz w:val="18"/>
      <w:szCs w:val="18"/>
    </w:rPr>
  </w:style>
  <w:style w:type="character" w:customStyle="1" w:styleId="774">
    <w:name w:val="fsl1"/>
    <w:autoRedefine/>
    <w:qFormat/>
    <w:uiPriority w:val="0"/>
    <w:rPr>
      <w:rFonts w:ascii="黑体" w:hAnsi="黑体" w:eastAsia="黑体"/>
      <w:b/>
      <w:color w:val="0082C6"/>
      <w:spacing w:val="10"/>
      <w:kern w:val="44"/>
      <w:sz w:val="21"/>
      <w:lang w:val="en-US" w:eastAsia="zh-CN"/>
    </w:rPr>
  </w:style>
  <w:style w:type="character" w:customStyle="1" w:styleId="775">
    <w:name w:val="small14"/>
    <w:autoRedefine/>
    <w:qFormat/>
    <w:uiPriority w:val="0"/>
  </w:style>
  <w:style w:type="character" w:customStyle="1" w:styleId="776">
    <w:name w:val="sgiivq"/>
    <w:autoRedefine/>
    <w:qFormat/>
    <w:uiPriority w:val="0"/>
  </w:style>
  <w:style w:type="character" w:customStyle="1" w:styleId="777">
    <w:name w:val="Body Text 2 Char"/>
    <w:autoRedefine/>
    <w:qFormat/>
    <w:uiPriority w:val="0"/>
    <w:rPr>
      <w:rFonts w:eastAsia="宋体" w:cs="Times New Roman"/>
      <w:kern w:val="2"/>
      <w:sz w:val="24"/>
      <w:szCs w:val="24"/>
      <w:lang w:val="en-US" w:eastAsia="zh-CN" w:bidi="ar-SA"/>
    </w:rPr>
  </w:style>
  <w:style w:type="character" w:customStyle="1" w:styleId="778">
    <w:name w:val="keyword"/>
    <w:autoRedefine/>
    <w:qFormat/>
    <w:uiPriority w:val="0"/>
  </w:style>
  <w:style w:type="character" w:customStyle="1" w:styleId="779">
    <w:name w:val="Char4 Char Char Char Char"/>
    <w:link w:val="780"/>
    <w:autoRedefine/>
    <w:qFormat/>
    <w:uiPriority w:val="0"/>
    <w:rPr>
      <w:sz w:val="24"/>
      <w:szCs w:val="24"/>
    </w:rPr>
  </w:style>
  <w:style w:type="paragraph" w:customStyle="1" w:styleId="780">
    <w:name w:val="Char4 Char Char Char"/>
    <w:basedOn w:val="1"/>
    <w:link w:val="779"/>
    <w:autoRedefine/>
    <w:qFormat/>
    <w:uiPriority w:val="0"/>
    <w:rPr>
      <w:kern w:val="0"/>
      <w:sz w:val="24"/>
    </w:rPr>
  </w:style>
  <w:style w:type="character" w:customStyle="1" w:styleId="781">
    <w:name w:val="文档结构图 字符"/>
    <w:autoRedefine/>
    <w:qFormat/>
    <w:uiPriority w:val="0"/>
    <w:rPr>
      <w:rFonts w:ascii="Times New Roman" w:hAnsi="Times New Roman" w:eastAsia="宋体" w:cs="Times New Roman"/>
      <w:kern w:val="0"/>
      <w:sz w:val="24"/>
      <w:szCs w:val="20"/>
      <w:shd w:val="clear" w:color="auto" w:fill="000080"/>
    </w:rPr>
  </w:style>
  <w:style w:type="character" w:customStyle="1" w:styleId="782">
    <w:name w:val="hhcwt标题1 Char Char"/>
    <w:link w:val="783"/>
    <w:autoRedefine/>
    <w:qFormat/>
    <w:uiPriority w:val="0"/>
    <w:rPr>
      <w:rFonts w:eastAsia="黑体"/>
      <w:kern w:val="44"/>
      <w:sz w:val="36"/>
      <w:szCs w:val="24"/>
      <w:lang w:val="zh-CN"/>
    </w:rPr>
  </w:style>
  <w:style w:type="paragraph" w:customStyle="1" w:styleId="783">
    <w:name w:val="hhcwt标题1"/>
    <w:basedOn w:val="1"/>
    <w:link w:val="782"/>
    <w:autoRedefine/>
    <w:qFormat/>
    <w:uiPriority w:val="0"/>
    <w:pPr>
      <w:keepNext/>
      <w:keepLines/>
      <w:autoSpaceDE w:val="0"/>
      <w:autoSpaceDN w:val="0"/>
      <w:adjustRightInd w:val="0"/>
      <w:spacing w:before="120" w:after="120" w:line="336" w:lineRule="auto"/>
      <w:outlineLvl w:val="0"/>
    </w:pPr>
    <w:rPr>
      <w:rFonts w:eastAsia="黑体"/>
      <w:kern w:val="44"/>
      <w:sz w:val="36"/>
      <w:lang w:val="zh-CN"/>
    </w:rPr>
  </w:style>
  <w:style w:type="character" w:customStyle="1" w:styleId="784">
    <w:name w:val="HTML 代码12"/>
    <w:autoRedefine/>
    <w:qFormat/>
    <w:uiPriority w:val="0"/>
    <w:rPr>
      <w:rFonts w:hint="eastAsia" w:ascii="黑体" w:hAnsi="Courier New" w:eastAsia="黑体" w:cs="Courier New"/>
      <w:sz w:val="24"/>
      <w:szCs w:val="24"/>
    </w:rPr>
  </w:style>
  <w:style w:type="character" w:customStyle="1" w:styleId="785">
    <w:name w:val="14red1"/>
    <w:autoRedefine/>
    <w:qFormat/>
    <w:uiPriority w:val="0"/>
    <w:rPr>
      <w:color w:val="FF0000"/>
      <w:sz w:val="21"/>
      <w:szCs w:val="21"/>
      <w:u w:val="none"/>
    </w:rPr>
  </w:style>
  <w:style w:type="character" w:customStyle="1" w:styleId="786">
    <w:name w:val="style1"/>
    <w:autoRedefine/>
    <w:qFormat/>
    <w:uiPriority w:val="0"/>
  </w:style>
  <w:style w:type="character" w:customStyle="1" w:styleId="787">
    <w:name w:val="图例 Char Char"/>
    <w:autoRedefine/>
    <w:qFormat/>
    <w:uiPriority w:val="0"/>
    <w:rPr>
      <w:rFonts w:ascii="Arial" w:hAnsi="Arial" w:eastAsia="宋体" w:cs="Arial"/>
      <w:kern w:val="2"/>
      <w:sz w:val="28"/>
      <w:szCs w:val="28"/>
      <w:lang w:val="en-US" w:eastAsia="zh-CN" w:bidi="ar-SA"/>
    </w:rPr>
  </w:style>
  <w:style w:type="character" w:customStyle="1" w:styleId="788">
    <w:name w:val="spelle"/>
    <w:autoRedefine/>
    <w:qFormat/>
    <w:uiPriority w:val="0"/>
  </w:style>
  <w:style w:type="character" w:customStyle="1" w:styleId="789">
    <w:name w:val="我的样式（正文） Char Char"/>
    <w:autoRedefine/>
    <w:qFormat/>
    <w:uiPriority w:val="0"/>
    <w:rPr>
      <w:rFonts w:ascii="宋体" w:hAnsi="华文楷体" w:eastAsia="宋体"/>
      <w:kern w:val="2"/>
      <w:sz w:val="24"/>
      <w:szCs w:val="24"/>
      <w:lang w:val="en-US" w:eastAsia="zh-CN" w:bidi="ar-SA"/>
    </w:rPr>
  </w:style>
  <w:style w:type="character" w:customStyle="1" w:styleId="790">
    <w:name w:val="ystyle"/>
    <w:autoRedefine/>
    <w:qFormat/>
    <w:uiPriority w:val="0"/>
  </w:style>
  <w:style w:type="character" w:customStyle="1" w:styleId="791">
    <w:name w:val="Char Char73"/>
    <w:autoRedefine/>
    <w:qFormat/>
    <w:uiPriority w:val="0"/>
    <w:rPr>
      <w:rFonts w:ascii="Arial" w:hAnsi="Arial" w:eastAsia="宋体" w:cs="Arial"/>
      <w:b/>
      <w:bCs/>
      <w:kern w:val="2"/>
      <w:sz w:val="32"/>
      <w:szCs w:val="32"/>
      <w:lang w:val="en-US" w:eastAsia="zh-CN" w:bidi="ar-SA"/>
    </w:rPr>
  </w:style>
  <w:style w:type="character" w:customStyle="1" w:styleId="792">
    <w:name w:val="表蕊 Char1"/>
    <w:link w:val="793"/>
    <w:autoRedefine/>
    <w:qFormat/>
    <w:uiPriority w:val="0"/>
    <w:rPr>
      <w:rFonts w:eastAsia="楷体_GB2312"/>
      <w:color w:val="000000"/>
      <w:spacing w:val="-10"/>
      <w:sz w:val="21"/>
      <w:szCs w:val="21"/>
    </w:rPr>
  </w:style>
  <w:style w:type="paragraph" w:customStyle="1" w:styleId="793">
    <w:name w:val="表蕊"/>
    <w:basedOn w:val="1"/>
    <w:link w:val="792"/>
    <w:autoRedefine/>
    <w:qFormat/>
    <w:uiPriority w:val="0"/>
    <w:pPr>
      <w:adjustRightInd w:val="0"/>
      <w:spacing w:line="280" w:lineRule="atLeast"/>
      <w:jc w:val="left"/>
      <w:textAlignment w:val="baseline"/>
    </w:pPr>
    <w:rPr>
      <w:rFonts w:eastAsia="楷体_GB2312"/>
      <w:color w:val="000000"/>
      <w:spacing w:val="-10"/>
      <w:kern w:val="0"/>
      <w:szCs w:val="21"/>
    </w:rPr>
  </w:style>
  <w:style w:type="character" w:customStyle="1" w:styleId="794">
    <w:name w:val="样式 标题 3标题 3 Char标题 3 Char Char Char Char Char Char Char Char C... Char"/>
    <w:link w:val="795"/>
    <w:autoRedefine/>
    <w:qFormat/>
    <w:uiPriority w:val="0"/>
    <w:rPr>
      <w:rFonts w:ascii="宋体" w:hAnsi="宋体"/>
      <w:b/>
      <w:kern w:val="2"/>
      <w:sz w:val="24"/>
    </w:rPr>
  </w:style>
  <w:style w:type="paragraph" w:customStyle="1" w:styleId="795">
    <w:name w:val="样式 标题 3标题 3 Char标题 3 Char Char Char Char Char Char Char Char C..."/>
    <w:basedOn w:val="5"/>
    <w:link w:val="794"/>
    <w:autoRedefine/>
    <w:qFormat/>
    <w:uiPriority w:val="0"/>
    <w:pPr>
      <w:tabs>
        <w:tab w:val="left" w:pos="360"/>
        <w:tab w:val="left" w:pos="720"/>
        <w:tab w:val="left" w:pos="900"/>
      </w:tabs>
      <w:spacing w:before="0" w:after="0" w:line="360" w:lineRule="auto"/>
      <w:ind w:left="720" w:hanging="720"/>
    </w:pPr>
    <w:rPr>
      <w:rFonts w:ascii="宋体" w:hAnsi="宋体"/>
      <w:bCs w:val="0"/>
      <w:sz w:val="24"/>
      <w:szCs w:val="20"/>
    </w:rPr>
  </w:style>
  <w:style w:type="character" w:customStyle="1" w:styleId="796">
    <w:name w:val="style221"/>
    <w:autoRedefine/>
    <w:qFormat/>
    <w:uiPriority w:val="0"/>
    <w:rPr>
      <w:rFonts w:cs="Times New Roman"/>
      <w:color w:val="006633"/>
    </w:rPr>
  </w:style>
  <w:style w:type="character" w:customStyle="1" w:styleId="797">
    <w:name w:val="表头文字 Char Char Char Char"/>
    <w:link w:val="798"/>
    <w:autoRedefine/>
    <w:qFormat/>
    <w:uiPriority w:val="0"/>
    <w:rPr>
      <w:rFonts w:eastAsia="华文中宋"/>
      <w:b/>
      <w:sz w:val="28"/>
      <w:szCs w:val="24"/>
    </w:rPr>
  </w:style>
  <w:style w:type="paragraph" w:customStyle="1" w:styleId="798">
    <w:name w:val="表头文字 Char Char Char"/>
    <w:basedOn w:val="1"/>
    <w:link w:val="797"/>
    <w:autoRedefine/>
    <w:qFormat/>
    <w:uiPriority w:val="0"/>
    <w:pPr>
      <w:spacing w:line="360" w:lineRule="auto"/>
      <w:jc w:val="center"/>
    </w:pPr>
    <w:rPr>
      <w:rFonts w:eastAsia="华文中宋"/>
      <w:b/>
      <w:kern w:val="0"/>
      <w:sz w:val="28"/>
    </w:rPr>
  </w:style>
  <w:style w:type="character" w:customStyle="1" w:styleId="799">
    <w:name w:val="main1"/>
    <w:autoRedefine/>
    <w:qFormat/>
    <w:uiPriority w:val="0"/>
    <w:rPr>
      <w:color w:val="333333"/>
      <w:sz w:val="18"/>
    </w:rPr>
  </w:style>
  <w:style w:type="character" w:customStyle="1" w:styleId="800">
    <w:name w:val="二级条标题 Char Char"/>
    <w:autoRedefine/>
    <w:qFormat/>
    <w:uiPriority w:val="0"/>
    <w:rPr>
      <w:rFonts w:ascii="黑体" w:eastAsia="黑体"/>
      <w:sz w:val="21"/>
      <w:lang w:val="en-US" w:eastAsia="zh-CN" w:bidi="ar-SA"/>
    </w:rPr>
  </w:style>
  <w:style w:type="character" w:customStyle="1" w:styleId="801">
    <w:name w:val="正文文本 3 字符1"/>
    <w:autoRedefine/>
    <w:qFormat/>
    <w:locked/>
    <w:uiPriority w:val="0"/>
    <w:rPr>
      <w:kern w:val="2"/>
      <w:sz w:val="16"/>
      <w:szCs w:val="16"/>
    </w:rPr>
  </w:style>
  <w:style w:type="character" w:customStyle="1" w:styleId="802">
    <w:name w:val="HTML 打字机5"/>
    <w:autoRedefine/>
    <w:qFormat/>
    <w:uiPriority w:val="0"/>
    <w:rPr>
      <w:rFonts w:hint="eastAsia" w:ascii="黑体" w:hAnsi="Courier New" w:eastAsia="黑体" w:cs="Courier New"/>
      <w:sz w:val="18"/>
      <w:szCs w:val="18"/>
    </w:rPr>
  </w:style>
  <w:style w:type="character" w:customStyle="1" w:styleId="803">
    <w:name w:val="标题 9 字符1"/>
    <w:autoRedefine/>
    <w:qFormat/>
    <w:locked/>
    <w:uiPriority w:val="0"/>
    <w:rPr>
      <w:rFonts w:ascii="Arial" w:hAnsi="Arial" w:eastAsia="黑体"/>
      <w:kern w:val="2"/>
      <w:sz w:val="24"/>
    </w:rPr>
  </w:style>
  <w:style w:type="character" w:customStyle="1" w:styleId="804">
    <w:name w:val="headline-content2"/>
    <w:autoRedefine/>
    <w:qFormat/>
    <w:uiPriority w:val="0"/>
    <w:rPr>
      <w:rFonts w:cs="Times New Roman"/>
    </w:rPr>
  </w:style>
  <w:style w:type="character" w:customStyle="1" w:styleId="805">
    <w:name w:val="question-title2"/>
    <w:autoRedefine/>
    <w:qFormat/>
    <w:uiPriority w:val="0"/>
  </w:style>
  <w:style w:type="character" w:customStyle="1" w:styleId="806">
    <w:name w:val="表格标题新 Char Char"/>
    <w:autoRedefine/>
    <w:qFormat/>
    <w:uiPriority w:val="0"/>
    <w:rPr>
      <w:rFonts w:ascii="仿宋_GB2312" w:hAnsi="Times New Roman" w:eastAsia="黑体"/>
      <w:b/>
      <w:snapToGrid w:val="0"/>
      <w:spacing w:val="4"/>
      <w:kern w:val="0"/>
      <w:sz w:val="24"/>
    </w:rPr>
  </w:style>
  <w:style w:type="character" w:customStyle="1" w:styleId="807">
    <w:name w:val="附录一级条标题 Char Char"/>
    <w:autoRedefine/>
    <w:qFormat/>
    <w:uiPriority w:val="0"/>
    <w:rPr>
      <w:rFonts w:ascii="黑体" w:eastAsia="黑体"/>
      <w:kern w:val="21"/>
      <w:sz w:val="21"/>
      <w:lang w:val="en-US" w:eastAsia="zh-CN" w:bidi="ar-SA"/>
    </w:rPr>
  </w:style>
  <w:style w:type="character" w:customStyle="1" w:styleId="808">
    <w:name w:val="sxuoj4"/>
    <w:autoRedefine/>
    <w:qFormat/>
    <w:uiPriority w:val="0"/>
  </w:style>
  <w:style w:type="character" w:customStyle="1" w:styleId="809">
    <w:name w:val="标题3新 Char"/>
    <w:link w:val="810"/>
    <w:autoRedefine/>
    <w:qFormat/>
    <w:uiPriority w:val="0"/>
    <w:rPr>
      <w:rFonts w:ascii="黑体" w:hAnsi="黑体" w:eastAsia="黑体"/>
      <w:kern w:val="2"/>
      <w:sz w:val="28"/>
      <w:szCs w:val="24"/>
    </w:rPr>
  </w:style>
  <w:style w:type="paragraph" w:customStyle="1" w:styleId="810">
    <w:name w:val="标题3新"/>
    <w:basedOn w:val="5"/>
    <w:link w:val="809"/>
    <w:autoRedefine/>
    <w:qFormat/>
    <w:uiPriority w:val="0"/>
    <w:pPr>
      <w:spacing w:before="0" w:after="0" w:line="560" w:lineRule="exact"/>
      <w:ind w:firstLine="200" w:firstLineChars="200"/>
      <w:jc w:val="left"/>
    </w:pPr>
    <w:rPr>
      <w:rFonts w:ascii="黑体" w:hAnsi="黑体" w:eastAsia="黑体"/>
      <w:b w:val="0"/>
      <w:bCs w:val="0"/>
      <w:sz w:val="28"/>
      <w:szCs w:val="24"/>
    </w:rPr>
  </w:style>
  <w:style w:type="character" w:customStyle="1" w:styleId="811">
    <w:name w:val="环标1 Char"/>
    <w:autoRedefine/>
    <w:qFormat/>
    <w:uiPriority w:val="0"/>
    <w:rPr>
      <w:rFonts w:ascii="宋体" w:hAnsi="Courier New" w:eastAsia="黑体"/>
      <w:b/>
      <w:kern w:val="44"/>
      <w:sz w:val="32"/>
      <w:lang w:val="en-US" w:eastAsia="zh-CN" w:bidi="ar-SA"/>
    </w:rPr>
  </w:style>
  <w:style w:type="character" w:customStyle="1" w:styleId="812">
    <w:name w:val="sfmq"/>
    <w:autoRedefine/>
    <w:qFormat/>
    <w:uiPriority w:val="0"/>
  </w:style>
  <w:style w:type="character" w:customStyle="1" w:styleId="813">
    <w:name w:val="3xi"/>
    <w:autoRedefine/>
    <w:qFormat/>
    <w:uiPriority w:val="0"/>
  </w:style>
  <w:style w:type="character" w:customStyle="1" w:styleId="814">
    <w:name w:val="Char Char30"/>
    <w:autoRedefine/>
    <w:qFormat/>
    <w:uiPriority w:val="0"/>
    <w:rPr>
      <w:rFonts w:ascii="宋体" w:hAnsi="Courier New" w:eastAsia="宋体" w:cs="Courier New"/>
      <w:sz w:val="21"/>
      <w:szCs w:val="21"/>
      <w:lang w:val="en-US" w:eastAsia="zh-CN" w:bidi="ar-SA"/>
    </w:rPr>
  </w:style>
  <w:style w:type="character" w:customStyle="1" w:styleId="815">
    <w:name w:val="表 标题 Char"/>
    <w:link w:val="816"/>
    <w:autoRedefine/>
    <w:qFormat/>
    <w:uiPriority w:val="0"/>
    <w:rPr>
      <w:b/>
      <w:sz w:val="24"/>
    </w:rPr>
  </w:style>
  <w:style w:type="paragraph" w:customStyle="1" w:styleId="816">
    <w:name w:val="表 标题"/>
    <w:basedOn w:val="65"/>
    <w:next w:val="1"/>
    <w:link w:val="815"/>
    <w:autoRedefine/>
    <w:qFormat/>
    <w:uiPriority w:val="0"/>
    <w:pPr>
      <w:spacing w:beforeLines="50"/>
      <w:ind w:left="0" w:firstLine="0"/>
      <w:jc w:val="center"/>
    </w:pPr>
    <w:rPr>
      <w:b/>
      <w:smallCaps w:val="0"/>
      <w:kern w:val="0"/>
      <w:sz w:val="24"/>
    </w:rPr>
  </w:style>
  <w:style w:type="character" w:customStyle="1" w:styleId="817">
    <w:name w:val="main-1"/>
    <w:autoRedefine/>
    <w:qFormat/>
    <w:uiPriority w:val="0"/>
  </w:style>
  <w:style w:type="character" w:customStyle="1" w:styleId="818">
    <w:name w:val="s8h0t"/>
    <w:autoRedefine/>
    <w:qFormat/>
    <w:uiPriority w:val="0"/>
  </w:style>
  <w:style w:type="character" w:customStyle="1" w:styleId="819">
    <w:name w:val="标题4改 Char"/>
    <w:link w:val="820"/>
    <w:autoRedefine/>
    <w:qFormat/>
    <w:uiPriority w:val="0"/>
    <w:rPr>
      <w:rFonts w:ascii="华文细黑" w:hAnsi="黑体" w:eastAsia="华文细黑"/>
      <w:bCs/>
      <w:kern w:val="2"/>
      <w:sz w:val="28"/>
      <w:szCs w:val="32"/>
      <w:lang w:val="en-GB"/>
    </w:rPr>
  </w:style>
  <w:style w:type="paragraph" w:customStyle="1" w:styleId="820">
    <w:name w:val="标题4改"/>
    <w:basedOn w:val="4"/>
    <w:link w:val="819"/>
    <w:autoRedefine/>
    <w:qFormat/>
    <w:uiPriority w:val="0"/>
    <w:pPr>
      <w:tabs>
        <w:tab w:val="left" w:pos="7615"/>
      </w:tabs>
      <w:spacing w:before="0" w:after="0" w:line="560" w:lineRule="exact"/>
      <w:ind w:firstLine="200" w:firstLineChars="200"/>
      <w:jc w:val="left"/>
      <w:outlineLvl w:val="3"/>
    </w:pPr>
    <w:rPr>
      <w:rFonts w:ascii="华文细黑" w:hAnsi="黑体" w:eastAsia="华文细黑"/>
      <w:b w:val="0"/>
      <w:sz w:val="28"/>
      <w:lang w:val="en-GB"/>
    </w:rPr>
  </w:style>
  <w:style w:type="character" w:customStyle="1" w:styleId="821">
    <w:name w:val="标题 1 字符1"/>
    <w:autoRedefine/>
    <w:qFormat/>
    <w:locked/>
    <w:uiPriority w:val="0"/>
    <w:rPr>
      <w:b/>
      <w:bCs/>
      <w:kern w:val="44"/>
      <w:sz w:val="44"/>
      <w:szCs w:val="44"/>
    </w:rPr>
  </w:style>
  <w:style w:type="character" w:customStyle="1" w:styleId="822">
    <w:name w:val="mnpmenulabel1"/>
    <w:autoRedefine/>
    <w:qFormat/>
    <w:uiPriority w:val="0"/>
    <w:rPr>
      <w:rFonts w:hint="default" w:ascii="Verdana" w:hAnsi="Verdana"/>
      <w:b/>
      <w:bCs/>
      <w:i/>
      <w:iCs/>
      <w:color w:val="000000"/>
      <w:sz w:val="18"/>
      <w:szCs w:val="18"/>
      <w:shd w:val="clear" w:color="auto" w:fill="F1F1F1"/>
    </w:rPr>
  </w:style>
  <w:style w:type="character" w:customStyle="1" w:styleId="823">
    <w:name w:val="Char Char220"/>
    <w:autoRedefine/>
    <w:qFormat/>
    <w:uiPriority w:val="0"/>
    <w:rPr>
      <w:rFonts w:eastAsia="宋体"/>
      <w:kern w:val="2"/>
      <w:sz w:val="18"/>
      <w:szCs w:val="18"/>
      <w:lang w:val="en-US" w:eastAsia="zh-CN" w:bidi="ar-SA"/>
    </w:rPr>
  </w:style>
  <w:style w:type="character" w:customStyle="1" w:styleId="824">
    <w:name w:val="节标题1 Char"/>
    <w:link w:val="825"/>
    <w:autoRedefine/>
    <w:qFormat/>
    <w:uiPriority w:val="0"/>
    <w:rPr>
      <w:rFonts w:ascii="宋体" w:hAnsi="宋体"/>
      <w:b/>
      <w:sz w:val="28"/>
      <w:szCs w:val="24"/>
    </w:rPr>
  </w:style>
  <w:style w:type="paragraph" w:customStyle="1" w:styleId="825">
    <w:name w:val="节标题1"/>
    <w:basedOn w:val="1"/>
    <w:link w:val="824"/>
    <w:autoRedefine/>
    <w:qFormat/>
    <w:uiPriority w:val="0"/>
    <w:pPr>
      <w:adjustRightInd w:val="0"/>
      <w:snapToGrid w:val="0"/>
      <w:spacing w:beforeLines="50" w:line="360" w:lineRule="auto"/>
    </w:pPr>
    <w:rPr>
      <w:rFonts w:ascii="宋体" w:hAnsi="宋体"/>
      <w:b/>
      <w:kern w:val="0"/>
      <w:sz w:val="28"/>
    </w:rPr>
  </w:style>
  <w:style w:type="character" w:customStyle="1" w:styleId="826">
    <w:name w:val="结束语 Char3"/>
    <w:autoRedefine/>
    <w:qFormat/>
    <w:uiPriority w:val="0"/>
    <w:rPr>
      <w:kern w:val="2"/>
      <w:sz w:val="21"/>
      <w:szCs w:val="24"/>
    </w:rPr>
  </w:style>
  <w:style w:type="character" w:customStyle="1" w:styleId="827">
    <w:name w:val="black1"/>
    <w:autoRedefine/>
    <w:qFormat/>
    <w:uiPriority w:val="0"/>
    <w:rPr>
      <w:color w:val="333333"/>
    </w:rPr>
  </w:style>
  <w:style w:type="character" w:customStyle="1" w:styleId="828">
    <w:name w:val="bs12"/>
    <w:autoRedefine/>
    <w:qFormat/>
    <w:uiPriority w:val="0"/>
    <w:rPr>
      <w:rFonts w:hint="eastAsia" w:ascii="宋体" w:hAnsi="宋体" w:eastAsia="宋体"/>
      <w:color w:val="000000"/>
      <w:sz w:val="18"/>
      <w:szCs w:val="18"/>
    </w:rPr>
  </w:style>
  <w:style w:type="character" w:customStyle="1" w:styleId="829">
    <w:name w:val="f91"/>
    <w:autoRedefine/>
    <w:qFormat/>
    <w:uiPriority w:val="0"/>
    <w:rPr>
      <w:strike/>
      <w:sz w:val="18"/>
    </w:rPr>
  </w:style>
  <w:style w:type="character" w:customStyle="1" w:styleId="830">
    <w:name w:val="Char Char Char Char Char1"/>
    <w:link w:val="831"/>
    <w:autoRedefine/>
    <w:qFormat/>
    <w:locked/>
    <w:uiPriority w:val="0"/>
    <w:rPr>
      <w:kern w:val="2"/>
      <w:sz w:val="24"/>
      <w:szCs w:val="24"/>
    </w:rPr>
  </w:style>
  <w:style w:type="paragraph" w:customStyle="1" w:styleId="831">
    <w:name w:val="Char Char Char4"/>
    <w:basedOn w:val="1"/>
    <w:link w:val="830"/>
    <w:autoRedefine/>
    <w:qFormat/>
    <w:uiPriority w:val="0"/>
    <w:rPr>
      <w:sz w:val="24"/>
    </w:rPr>
  </w:style>
  <w:style w:type="character" w:customStyle="1" w:styleId="832">
    <w:name w:val="bt11"/>
    <w:autoRedefine/>
    <w:qFormat/>
    <w:uiPriority w:val="0"/>
    <w:rPr>
      <w:rFonts w:hint="eastAsia" w:ascii="黑体" w:eastAsia="黑体"/>
      <w:color w:val="000000"/>
      <w:sz w:val="28"/>
    </w:rPr>
  </w:style>
  <w:style w:type="character" w:customStyle="1" w:styleId="833">
    <w:name w:val="font14_160 style19"/>
    <w:autoRedefine/>
    <w:qFormat/>
    <w:uiPriority w:val="0"/>
  </w:style>
  <w:style w:type="character" w:customStyle="1" w:styleId="834">
    <w:name w:val="正文首行缩进 2 Char1"/>
    <w:autoRedefine/>
    <w:qFormat/>
    <w:uiPriority w:val="0"/>
    <w:rPr>
      <w:rFonts w:ascii="Times New Roman" w:hAnsi="Times New Roman" w:eastAsia="宋体" w:cs="Times New Roman"/>
      <w:kern w:val="0"/>
      <w:sz w:val="20"/>
      <w:szCs w:val="20"/>
    </w:rPr>
  </w:style>
  <w:style w:type="character" w:customStyle="1" w:styleId="835">
    <w:name w:val="宏文本 字符1"/>
    <w:autoRedefine/>
    <w:qFormat/>
    <w:uiPriority w:val="0"/>
    <w:rPr>
      <w:rFonts w:ascii="Courier New" w:hAnsi="Courier New" w:cs="Courier New"/>
      <w:kern w:val="2"/>
      <w:sz w:val="24"/>
      <w:szCs w:val="24"/>
    </w:rPr>
  </w:style>
  <w:style w:type="character" w:customStyle="1" w:styleId="836">
    <w:name w:val="title1"/>
    <w:autoRedefine/>
    <w:qFormat/>
    <w:uiPriority w:val="0"/>
    <w:rPr>
      <w:rFonts w:cs="Times New Roman"/>
      <w:b/>
      <w:bCs/>
      <w:color w:val="517C1E"/>
      <w:sz w:val="21"/>
      <w:szCs w:val="21"/>
    </w:rPr>
  </w:style>
  <w:style w:type="character" w:customStyle="1" w:styleId="837">
    <w:name w:val="正文标准格式张 Char"/>
    <w:link w:val="838"/>
    <w:autoRedefine/>
    <w:qFormat/>
    <w:uiPriority w:val="0"/>
    <w:rPr>
      <w:rFonts w:ascii="宋体" w:hAnsi="宋体"/>
      <w:sz w:val="24"/>
      <w:szCs w:val="24"/>
    </w:rPr>
  </w:style>
  <w:style w:type="paragraph" w:customStyle="1" w:styleId="838">
    <w:name w:val="正文标准格式张"/>
    <w:basedOn w:val="1"/>
    <w:link w:val="837"/>
    <w:autoRedefine/>
    <w:qFormat/>
    <w:uiPriority w:val="0"/>
    <w:pPr>
      <w:tabs>
        <w:tab w:val="left" w:pos="1260"/>
      </w:tabs>
      <w:adjustRightInd w:val="0"/>
      <w:snapToGrid w:val="0"/>
      <w:spacing w:beforeLines="25" w:afterLines="25" w:line="312" w:lineRule="auto"/>
      <w:textAlignment w:val="baseline"/>
    </w:pPr>
    <w:rPr>
      <w:rFonts w:ascii="宋体" w:hAnsi="宋体"/>
      <w:kern w:val="0"/>
      <w:sz w:val="24"/>
    </w:rPr>
  </w:style>
  <w:style w:type="character" w:customStyle="1" w:styleId="839">
    <w:name w:val="H6 Char"/>
    <w:autoRedefine/>
    <w:qFormat/>
    <w:uiPriority w:val="0"/>
    <w:rPr>
      <w:rFonts w:ascii="Arial" w:hAnsi="Arial" w:eastAsia="黑体"/>
      <w:b/>
      <w:bCs/>
      <w:kern w:val="2"/>
      <w:sz w:val="24"/>
      <w:szCs w:val="24"/>
      <w:lang w:val="en-US" w:eastAsia="zh-CN" w:bidi="ar-SA"/>
    </w:rPr>
  </w:style>
  <w:style w:type="character" w:customStyle="1" w:styleId="840">
    <w:name w:val="正文文字 Char2"/>
    <w:autoRedefine/>
    <w:qFormat/>
    <w:uiPriority w:val="0"/>
    <w:rPr>
      <w:rFonts w:eastAsia="仿宋_GB2312"/>
      <w:kern w:val="2"/>
      <w:sz w:val="24"/>
      <w:lang w:val="en-US" w:eastAsia="zh-CN"/>
    </w:rPr>
  </w:style>
  <w:style w:type="character" w:customStyle="1" w:styleId="841">
    <w:name w:val="金源 Char"/>
    <w:link w:val="842"/>
    <w:autoRedefine/>
    <w:qFormat/>
    <w:uiPriority w:val="0"/>
    <w:rPr>
      <w:sz w:val="24"/>
    </w:rPr>
  </w:style>
  <w:style w:type="paragraph" w:customStyle="1" w:styleId="842">
    <w:name w:val="金源"/>
    <w:basedOn w:val="1"/>
    <w:link w:val="841"/>
    <w:autoRedefine/>
    <w:qFormat/>
    <w:uiPriority w:val="0"/>
    <w:pPr>
      <w:spacing w:line="480" w:lineRule="exact"/>
      <w:ind w:firstLine="480" w:firstLineChars="200"/>
      <w:jc w:val="left"/>
    </w:pPr>
    <w:rPr>
      <w:kern w:val="0"/>
      <w:sz w:val="24"/>
      <w:szCs w:val="20"/>
    </w:rPr>
  </w:style>
  <w:style w:type="character" w:customStyle="1" w:styleId="843">
    <w:name w:val="引用 Char"/>
    <w:link w:val="844"/>
    <w:autoRedefine/>
    <w:qFormat/>
    <w:locked/>
    <w:uiPriority w:val="29"/>
    <w:rPr>
      <w:i/>
      <w:sz w:val="24"/>
      <w:szCs w:val="24"/>
    </w:rPr>
  </w:style>
  <w:style w:type="paragraph" w:customStyle="1" w:styleId="844">
    <w:name w:val="引用1"/>
    <w:basedOn w:val="1"/>
    <w:next w:val="1"/>
    <w:link w:val="843"/>
    <w:autoRedefine/>
    <w:qFormat/>
    <w:uiPriority w:val="29"/>
    <w:pPr>
      <w:widowControl/>
      <w:jc w:val="left"/>
    </w:pPr>
    <w:rPr>
      <w:i/>
      <w:kern w:val="0"/>
      <w:sz w:val="24"/>
    </w:rPr>
  </w:style>
  <w:style w:type="character" w:customStyle="1" w:styleId="845">
    <w:name w:val="ldh14-01"/>
    <w:autoRedefine/>
    <w:qFormat/>
    <w:uiPriority w:val="0"/>
    <w:rPr>
      <w:b/>
      <w:bCs/>
      <w:color w:val="FFFFFF"/>
      <w:sz w:val="18"/>
      <w:szCs w:val="18"/>
    </w:rPr>
  </w:style>
  <w:style w:type="character" w:customStyle="1" w:styleId="846">
    <w:name w:val="Char Char44"/>
    <w:autoRedefine/>
    <w:qFormat/>
    <w:uiPriority w:val="0"/>
    <w:rPr>
      <w:rFonts w:hint="default" w:ascii="Arial" w:hAnsi="Arial" w:eastAsia="黑体" w:cs="Arial"/>
      <w:kern w:val="2"/>
      <w:sz w:val="24"/>
      <w:szCs w:val="24"/>
    </w:rPr>
  </w:style>
  <w:style w:type="character" w:customStyle="1" w:styleId="847">
    <w:name w:val="环评正文文字缩进（江东模板） Char2"/>
    <w:autoRedefine/>
    <w:qFormat/>
    <w:uiPriority w:val="0"/>
    <w:rPr>
      <w:rFonts w:ascii="宋体" w:hAnsi="宋体" w:eastAsia="宋体"/>
      <w:sz w:val="24"/>
      <w:lang w:val="en-US" w:eastAsia="zh-CN" w:bidi="ar-SA"/>
    </w:rPr>
  </w:style>
  <w:style w:type="character" w:customStyle="1" w:styleId="848">
    <w:name w:val="内容"/>
    <w:autoRedefine/>
    <w:qFormat/>
    <w:uiPriority w:val="0"/>
    <w:rPr>
      <w:rFonts w:cs="Times New Roman"/>
    </w:rPr>
  </w:style>
  <w:style w:type="character" w:customStyle="1" w:styleId="849">
    <w:name w:val="表格文字1 Char"/>
    <w:link w:val="850"/>
    <w:autoRedefine/>
    <w:qFormat/>
    <w:uiPriority w:val="0"/>
    <w:rPr>
      <w:rFonts w:ascii="宋体" w:hAnsi="宋体"/>
      <w:bCs/>
      <w:color w:val="000000"/>
      <w:szCs w:val="21"/>
    </w:rPr>
  </w:style>
  <w:style w:type="paragraph" w:customStyle="1" w:styleId="850">
    <w:name w:val="表格文字1"/>
    <w:basedOn w:val="851"/>
    <w:link w:val="849"/>
    <w:autoRedefine/>
    <w:qFormat/>
    <w:uiPriority w:val="0"/>
    <w:pPr>
      <w:tabs>
        <w:tab w:val="left" w:pos="0"/>
      </w:tabs>
    </w:pPr>
    <w:rPr>
      <w:rFonts w:ascii="宋体" w:hAnsi="宋体" w:eastAsia="宋体"/>
      <w:bCs/>
      <w:color w:val="000000"/>
      <w:sz w:val="20"/>
      <w:szCs w:val="21"/>
      <w:lang w:val="en-US"/>
    </w:rPr>
  </w:style>
  <w:style w:type="paragraph" w:customStyle="1" w:styleId="851">
    <w:name w:val="表格内文字"/>
    <w:basedOn w:val="1"/>
    <w:link w:val="852"/>
    <w:autoRedefine/>
    <w:qFormat/>
    <w:uiPriority w:val="0"/>
    <w:pPr>
      <w:tabs>
        <w:tab w:val="left" w:pos="0"/>
      </w:tabs>
      <w:adjustRightInd w:val="0"/>
      <w:snapToGrid w:val="0"/>
      <w:jc w:val="center"/>
    </w:pPr>
    <w:rPr>
      <w:rFonts w:eastAsia="仿宋_GB2312"/>
      <w:kern w:val="0"/>
      <w:sz w:val="24"/>
      <w:lang w:val="zh-CN"/>
    </w:rPr>
  </w:style>
  <w:style w:type="character" w:customStyle="1" w:styleId="852">
    <w:name w:val="表格内文字 Char"/>
    <w:link w:val="851"/>
    <w:autoRedefine/>
    <w:qFormat/>
    <w:uiPriority w:val="0"/>
    <w:rPr>
      <w:rFonts w:eastAsia="仿宋_GB2312"/>
      <w:sz w:val="24"/>
      <w:szCs w:val="24"/>
      <w:lang w:val="zh-CN"/>
    </w:rPr>
  </w:style>
  <w:style w:type="character" w:customStyle="1" w:styleId="853">
    <w:name w:val="暂定图表名 Char Char Char"/>
    <w:link w:val="854"/>
    <w:autoRedefine/>
    <w:qFormat/>
    <w:uiPriority w:val="0"/>
    <w:rPr>
      <w:rFonts w:eastAsia="楷体_GB2312"/>
      <w:b/>
      <w:color w:val="008000"/>
      <w:sz w:val="24"/>
      <w:szCs w:val="28"/>
    </w:rPr>
  </w:style>
  <w:style w:type="paragraph" w:customStyle="1" w:styleId="854">
    <w:name w:val="暂定图表名 Char Char"/>
    <w:basedOn w:val="1"/>
    <w:link w:val="853"/>
    <w:autoRedefine/>
    <w:qFormat/>
    <w:uiPriority w:val="0"/>
    <w:pPr>
      <w:spacing w:line="360" w:lineRule="auto"/>
      <w:ind w:firstLine="560" w:firstLineChars="200"/>
    </w:pPr>
    <w:rPr>
      <w:rFonts w:eastAsia="楷体_GB2312"/>
      <w:b/>
      <w:color w:val="008000"/>
      <w:kern w:val="0"/>
      <w:sz w:val="24"/>
      <w:szCs w:val="28"/>
    </w:rPr>
  </w:style>
  <w:style w:type="character" w:customStyle="1" w:styleId="855">
    <w:name w:val="Char Char31"/>
    <w:autoRedefine/>
    <w:qFormat/>
    <w:uiPriority w:val="0"/>
    <w:rPr>
      <w:rFonts w:ascii="Arial" w:hAnsi="Arial" w:eastAsia="宋体"/>
      <w:b/>
      <w:kern w:val="2"/>
      <w:sz w:val="32"/>
      <w:lang w:val="en-US" w:eastAsia="zh-CN"/>
    </w:rPr>
  </w:style>
  <w:style w:type="character" w:customStyle="1" w:styleId="856">
    <w:name w:val="样式 Default + (符号) 宋体 四号 行距: 1.5 倍行距 Char Char"/>
    <w:autoRedefine/>
    <w:qFormat/>
    <w:uiPriority w:val="0"/>
    <w:rPr>
      <w:rFonts w:ascii="宋体" w:hAnsi="宋体" w:eastAsia="宋体"/>
      <w:color w:val="000000"/>
      <w:kern w:val="0"/>
      <w:sz w:val="24"/>
    </w:rPr>
  </w:style>
  <w:style w:type="character" w:customStyle="1" w:styleId="857">
    <w:name w:val="维度 Char Char"/>
    <w:link w:val="858"/>
    <w:autoRedefine/>
    <w:qFormat/>
    <w:uiPriority w:val="0"/>
    <w:rPr>
      <w:color w:val="000000"/>
      <w:sz w:val="24"/>
      <w:szCs w:val="24"/>
    </w:rPr>
  </w:style>
  <w:style w:type="paragraph" w:customStyle="1" w:styleId="858">
    <w:name w:val="维度"/>
    <w:basedOn w:val="1"/>
    <w:link w:val="857"/>
    <w:autoRedefine/>
    <w:qFormat/>
    <w:uiPriority w:val="0"/>
    <w:pPr>
      <w:topLinePunct/>
      <w:spacing w:line="360" w:lineRule="auto"/>
    </w:pPr>
    <w:rPr>
      <w:color w:val="000000"/>
      <w:kern w:val="0"/>
      <w:sz w:val="24"/>
    </w:rPr>
  </w:style>
  <w:style w:type="character" w:customStyle="1" w:styleId="859">
    <w:name w:val="明显强调11"/>
    <w:autoRedefine/>
    <w:qFormat/>
    <w:uiPriority w:val="21"/>
    <w:rPr>
      <w:rFonts w:cs="Times New Roman"/>
      <w:b/>
      <w:i/>
      <w:sz w:val="24"/>
      <w:szCs w:val="24"/>
      <w:u w:val="single"/>
    </w:rPr>
  </w:style>
  <w:style w:type="character" w:customStyle="1" w:styleId="860">
    <w:name w:val="6表(图)头(治) Char"/>
    <w:link w:val="861"/>
    <w:autoRedefine/>
    <w:qFormat/>
    <w:uiPriority w:val="0"/>
    <w:rPr>
      <w:rFonts w:ascii="宋体" w:hAnsi="宋体" w:eastAsia="Times New Roman"/>
      <w:bCs/>
      <w:sz w:val="28"/>
    </w:rPr>
  </w:style>
  <w:style w:type="paragraph" w:customStyle="1" w:styleId="861">
    <w:name w:val="6表(图)头(治)"/>
    <w:next w:val="1"/>
    <w:link w:val="860"/>
    <w:autoRedefine/>
    <w:qFormat/>
    <w:uiPriority w:val="0"/>
    <w:pPr>
      <w:widowControl w:val="0"/>
      <w:jc w:val="center"/>
    </w:pPr>
    <w:rPr>
      <w:rFonts w:ascii="宋体" w:hAnsi="宋体" w:eastAsia="Times New Roman" w:cs="Times New Roman"/>
      <w:bCs/>
      <w:sz w:val="28"/>
      <w:lang w:val="en-US" w:eastAsia="zh-CN" w:bidi="ar-SA"/>
    </w:rPr>
  </w:style>
  <w:style w:type="character" w:customStyle="1" w:styleId="862">
    <w:name w:val="line_h221"/>
    <w:autoRedefine/>
    <w:qFormat/>
    <w:uiPriority w:val="0"/>
  </w:style>
  <w:style w:type="character" w:customStyle="1" w:styleId="863">
    <w:name w:val="上标 Char Char"/>
    <w:autoRedefine/>
    <w:qFormat/>
    <w:uiPriority w:val="0"/>
    <w:rPr>
      <w:rFonts w:ascii="宋体" w:hAnsi="宋体" w:eastAsia="宋体"/>
      <w:sz w:val="28"/>
      <w:szCs w:val="28"/>
      <w:vertAlign w:val="superscript"/>
      <w:lang w:val="en-US" w:eastAsia="zh-CN" w:bidi="ar-SA"/>
    </w:rPr>
  </w:style>
  <w:style w:type="character" w:customStyle="1" w:styleId="864">
    <w:name w:val="标题 1 字符2"/>
    <w:autoRedefine/>
    <w:qFormat/>
    <w:locked/>
    <w:uiPriority w:val="0"/>
    <w:rPr>
      <w:b/>
      <w:bCs/>
      <w:kern w:val="44"/>
      <w:sz w:val="44"/>
      <w:szCs w:val="44"/>
    </w:rPr>
  </w:style>
  <w:style w:type="paragraph" w:customStyle="1" w:styleId="865">
    <w:name w:val="正文文字"/>
    <w:basedOn w:val="1"/>
    <w:autoRedefine/>
    <w:qFormat/>
    <w:uiPriority w:val="0"/>
    <w:pPr>
      <w:adjustRightInd w:val="0"/>
      <w:spacing w:line="360" w:lineRule="auto"/>
      <w:jc w:val="left"/>
      <w:textAlignment w:val="baseline"/>
    </w:pPr>
    <w:rPr>
      <w:rFonts w:ascii="仿宋_GB2312" w:hAnsi="Arial Black" w:eastAsia="仿宋_GB2312" w:cs="仿宋_GB2312"/>
      <w:kern w:val="0"/>
      <w:sz w:val="28"/>
      <w:szCs w:val="28"/>
    </w:rPr>
  </w:style>
  <w:style w:type="character" w:customStyle="1" w:styleId="866">
    <w:name w:val="正文文本 Char3"/>
    <w:autoRedefine/>
    <w:qFormat/>
    <w:uiPriority w:val="0"/>
    <w:rPr>
      <w:rFonts w:ascii="Times New Roman" w:hAnsi="Times New Roman" w:eastAsia="宋体" w:cs="Times New Roman"/>
      <w:kern w:val="0"/>
      <w:sz w:val="20"/>
      <w:szCs w:val="20"/>
    </w:rPr>
  </w:style>
  <w:style w:type="character" w:customStyle="1" w:styleId="867">
    <w:name w:val="s"/>
    <w:autoRedefine/>
    <w:qFormat/>
    <w:uiPriority w:val="0"/>
  </w:style>
  <w:style w:type="character" w:customStyle="1" w:styleId="868">
    <w:name w:val="标题 8 字符1"/>
    <w:autoRedefine/>
    <w:qFormat/>
    <w:locked/>
    <w:uiPriority w:val="0"/>
    <w:rPr>
      <w:rFonts w:ascii="Arial" w:hAnsi="Arial" w:eastAsia="黑体"/>
      <w:kern w:val="2"/>
      <w:sz w:val="24"/>
      <w:szCs w:val="24"/>
    </w:rPr>
  </w:style>
  <w:style w:type="character" w:customStyle="1" w:styleId="869">
    <w:name w:val="Char Char47"/>
    <w:autoRedefine/>
    <w:qFormat/>
    <w:uiPriority w:val="0"/>
    <w:rPr>
      <w:kern w:val="2"/>
      <w:sz w:val="28"/>
    </w:rPr>
  </w:style>
  <w:style w:type="character" w:customStyle="1" w:styleId="870">
    <w:name w:val="hb2 Char"/>
    <w:autoRedefine/>
    <w:qFormat/>
    <w:uiPriority w:val="0"/>
    <w:rPr>
      <w:rFonts w:ascii="宋体" w:eastAsia="宋体" w:cs="Arial"/>
      <w:b/>
      <w:bCs/>
      <w:kern w:val="2"/>
      <w:sz w:val="28"/>
      <w:szCs w:val="28"/>
      <w:lang w:val="en-US" w:eastAsia="zh-CN" w:bidi="ar-SA"/>
    </w:rPr>
  </w:style>
  <w:style w:type="character" w:customStyle="1" w:styleId="871">
    <w:name w:val="at_5"/>
    <w:autoRedefine/>
    <w:qFormat/>
    <w:uiPriority w:val="0"/>
  </w:style>
  <w:style w:type="character" w:customStyle="1" w:styleId="872">
    <w:name w:val="style21"/>
    <w:autoRedefine/>
    <w:qFormat/>
    <w:uiPriority w:val="0"/>
    <w:rPr>
      <w:rFonts w:cs="Times New Roman"/>
      <w:color w:val="FF0000"/>
    </w:rPr>
  </w:style>
  <w:style w:type="character" w:customStyle="1" w:styleId="873">
    <w:name w:val="封面 Char"/>
    <w:link w:val="874"/>
    <w:autoRedefine/>
    <w:qFormat/>
    <w:uiPriority w:val="0"/>
    <w:rPr>
      <w:rFonts w:ascii="Arial" w:hAnsi="Arial" w:eastAsia="仿宋_GB2312"/>
      <w:b/>
      <w:sz w:val="30"/>
    </w:rPr>
  </w:style>
  <w:style w:type="paragraph" w:customStyle="1" w:styleId="874">
    <w:name w:val="封面"/>
    <w:basedOn w:val="1"/>
    <w:link w:val="873"/>
    <w:autoRedefine/>
    <w:qFormat/>
    <w:uiPriority w:val="0"/>
    <w:pPr>
      <w:adjustRightInd w:val="0"/>
      <w:spacing w:before="60" w:line="360" w:lineRule="auto"/>
      <w:ind w:firstLine="482"/>
      <w:jc w:val="center"/>
      <w:textAlignment w:val="baseline"/>
    </w:pPr>
    <w:rPr>
      <w:rFonts w:ascii="Arial" w:hAnsi="Arial" w:eastAsia="仿宋_GB2312"/>
      <w:b/>
      <w:kern w:val="0"/>
      <w:sz w:val="30"/>
      <w:szCs w:val="20"/>
    </w:rPr>
  </w:style>
  <w:style w:type="character" w:customStyle="1" w:styleId="875">
    <w:name w:val="二级无标题条 Char"/>
    <w:link w:val="876"/>
    <w:autoRedefine/>
    <w:qFormat/>
    <w:uiPriority w:val="0"/>
    <w:rPr>
      <w:kern w:val="2"/>
      <w:sz w:val="21"/>
      <w:szCs w:val="24"/>
    </w:rPr>
  </w:style>
  <w:style w:type="paragraph" w:customStyle="1" w:styleId="876">
    <w:name w:val="二级无标题条"/>
    <w:basedOn w:val="1"/>
    <w:link w:val="875"/>
    <w:autoRedefine/>
    <w:qFormat/>
    <w:uiPriority w:val="0"/>
  </w:style>
  <w:style w:type="character" w:customStyle="1" w:styleId="877">
    <w:name w:val="标题 3 字符1"/>
    <w:autoRedefine/>
    <w:qFormat/>
    <w:locked/>
    <w:uiPriority w:val="0"/>
    <w:rPr>
      <w:b/>
      <w:bCs/>
      <w:sz w:val="32"/>
      <w:szCs w:val="32"/>
    </w:rPr>
  </w:style>
  <w:style w:type="character" w:customStyle="1" w:styleId="878">
    <w:name w:val="我的表格标题 Char"/>
    <w:link w:val="879"/>
    <w:autoRedefine/>
    <w:qFormat/>
    <w:uiPriority w:val="0"/>
    <w:rPr>
      <w:rFonts w:ascii="宋体" w:hAnsi="宋体"/>
      <w:color w:val="000000"/>
      <w:sz w:val="24"/>
      <w:szCs w:val="24"/>
    </w:rPr>
  </w:style>
  <w:style w:type="paragraph" w:customStyle="1" w:styleId="879">
    <w:name w:val="我的表格标题"/>
    <w:basedOn w:val="1"/>
    <w:link w:val="878"/>
    <w:autoRedefine/>
    <w:qFormat/>
    <w:uiPriority w:val="0"/>
    <w:pPr>
      <w:spacing w:line="520" w:lineRule="exact"/>
      <w:jc w:val="center"/>
    </w:pPr>
    <w:rPr>
      <w:rFonts w:ascii="宋体" w:hAnsi="宋体"/>
      <w:color w:val="000000"/>
      <w:kern w:val="0"/>
      <w:sz w:val="24"/>
    </w:rPr>
  </w:style>
  <w:style w:type="character" w:customStyle="1" w:styleId="880">
    <w:name w:val="标题 4 字符"/>
    <w:autoRedefine/>
    <w:qFormat/>
    <w:uiPriority w:val="0"/>
    <w:rPr>
      <w:rFonts w:ascii="Arial" w:hAnsi="Arial" w:eastAsia="黑体" w:cs="Times New Roman"/>
      <w:b/>
      <w:bCs/>
      <w:kern w:val="0"/>
      <w:sz w:val="28"/>
      <w:szCs w:val="28"/>
    </w:rPr>
  </w:style>
  <w:style w:type="character" w:customStyle="1" w:styleId="881">
    <w:name w:val="lh151"/>
    <w:autoRedefine/>
    <w:qFormat/>
    <w:uiPriority w:val="0"/>
  </w:style>
  <w:style w:type="character" w:customStyle="1" w:styleId="882">
    <w:name w:val="hottext1"/>
    <w:autoRedefine/>
    <w:qFormat/>
    <w:uiPriority w:val="0"/>
  </w:style>
  <w:style w:type="character" w:customStyle="1" w:styleId="883">
    <w:name w:val="正文文本 2 字符1"/>
    <w:autoRedefine/>
    <w:qFormat/>
    <w:locked/>
    <w:uiPriority w:val="0"/>
    <w:rPr>
      <w:kern w:val="2"/>
      <w:sz w:val="21"/>
      <w:szCs w:val="24"/>
    </w:rPr>
  </w:style>
  <w:style w:type="character" w:customStyle="1" w:styleId="884">
    <w:name w:val="z31"/>
    <w:autoRedefine/>
    <w:qFormat/>
    <w:uiPriority w:val="0"/>
    <w:rPr>
      <w:rFonts w:hint="default"/>
      <w:color w:val="FF0000"/>
      <w:sz w:val="18"/>
      <w:szCs w:val="18"/>
    </w:rPr>
  </w:style>
  <w:style w:type="character" w:customStyle="1" w:styleId="885">
    <w:name w:val="textlarge1"/>
    <w:autoRedefine/>
    <w:qFormat/>
    <w:uiPriority w:val="0"/>
    <w:rPr>
      <w:sz w:val="18"/>
      <w:szCs w:val="18"/>
    </w:rPr>
  </w:style>
  <w:style w:type="character" w:customStyle="1" w:styleId="886">
    <w:name w:val="正文01 Char3"/>
    <w:autoRedefine/>
    <w:qFormat/>
    <w:uiPriority w:val="0"/>
    <w:rPr>
      <w:rFonts w:ascii="Arial" w:hAnsi="Arial" w:eastAsia="宋体"/>
      <w:kern w:val="2"/>
      <w:sz w:val="24"/>
      <w:lang w:val="en-US" w:eastAsia="zh-CN" w:bidi="ar-SA"/>
    </w:rPr>
  </w:style>
  <w:style w:type="character" w:customStyle="1" w:styleId="887">
    <w:name w:val="标题 2 Char Char"/>
    <w:autoRedefine/>
    <w:qFormat/>
    <w:uiPriority w:val="0"/>
    <w:rPr>
      <w:rFonts w:ascii="Arial" w:hAnsi="Arial" w:eastAsia="黑体"/>
      <w:b/>
      <w:bCs/>
      <w:kern w:val="2"/>
      <w:sz w:val="32"/>
      <w:szCs w:val="32"/>
      <w:lang w:val="en-US" w:eastAsia="zh-CN" w:bidi="ar-SA"/>
    </w:rPr>
  </w:style>
  <w:style w:type="character" w:customStyle="1" w:styleId="888">
    <w:name w:val="标题 4 Char1"/>
    <w:autoRedefine/>
    <w:qFormat/>
    <w:uiPriority w:val="0"/>
    <w:rPr>
      <w:rFonts w:ascii="Arial" w:hAnsi="Arial" w:eastAsia="黑体" w:cs="Times New Roman"/>
      <w:b/>
      <w:bCs/>
      <w:sz w:val="28"/>
      <w:szCs w:val="28"/>
      <w:lang w:val="en-US" w:eastAsia="zh-CN" w:bidi="ar-SA"/>
    </w:rPr>
  </w:style>
  <w:style w:type="character" w:customStyle="1" w:styleId="889">
    <w:name w:val="14fz1"/>
    <w:autoRedefine/>
    <w:qFormat/>
    <w:uiPriority w:val="0"/>
    <w:rPr>
      <w:rFonts w:cs="Times New Roman"/>
      <w:color w:val="000000"/>
      <w:sz w:val="32"/>
      <w:szCs w:val="32"/>
    </w:rPr>
  </w:style>
  <w:style w:type="character" w:customStyle="1" w:styleId="890">
    <w:name w:val="表格字体 Char Char"/>
    <w:link w:val="891"/>
    <w:autoRedefine/>
    <w:qFormat/>
    <w:uiPriority w:val="0"/>
    <w:rPr>
      <w:rFonts w:ascii="宋体" w:hAnsi="宋体" w:cs="宋体"/>
      <w:szCs w:val="24"/>
    </w:rPr>
  </w:style>
  <w:style w:type="paragraph" w:customStyle="1" w:styleId="891">
    <w:name w:val="表格字体"/>
    <w:basedOn w:val="1"/>
    <w:link w:val="890"/>
    <w:autoRedefine/>
    <w:qFormat/>
    <w:uiPriority w:val="0"/>
    <w:pPr>
      <w:widowControl/>
      <w:snapToGrid w:val="0"/>
      <w:spacing w:line="276" w:lineRule="auto"/>
      <w:jc w:val="left"/>
    </w:pPr>
    <w:rPr>
      <w:rFonts w:ascii="宋体" w:hAnsi="宋体" w:cs="宋体"/>
      <w:kern w:val="0"/>
      <w:sz w:val="20"/>
    </w:rPr>
  </w:style>
  <w:style w:type="character" w:customStyle="1" w:styleId="892">
    <w:name w:val="Char Char Char Char Char Char Char8"/>
    <w:link w:val="893"/>
    <w:autoRedefine/>
    <w:qFormat/>
    <w:uiPriority w:val="0"/>
    <w:rPr>
      <w:kern w:val="2"/>
      <w:sz w:val="24"/>
      <w:szCs w:val="24"/>
    </w:rPr>
  </w:style>
  <w:style w:type="paragraph" w:customStyle="1" w:styleId="893">
    <w:name w:val="Char Char Char Char Char Char8"/>
    <w:basedOn w:val="1"/>
    <w:link w:val="892"/>
    <w:autoRedefine/>
    <w:qFormat/>
    <w:uiPriority w:val="0"/>
    <w:rPr>
      <w:sz w:val="24"/>
    </w:rPr>
  </w:style>
  <w:style w:type="character" w:customStyle="1" w:styleId="894">
    <w:name w:val="Char Char Char Char Char Char Char2"/>
    <w:link w:val="895"/>
    <w:autoRedefine/>
    <w:qFormat/>
    <w:locked/>
    <w:uiPriority w:val="0"/>
    <w:rPr>
      <w:sz w:val="24"/>
      <w:szCs w:val="24"/>
    </w:rPr>
  </w:style>
  <w:style w:type="paragraph" w:customStyle="1" w:styleId="895">
    <w:name w:val="Char Char Char Char Char Char2"/>
    <w:basedOn w:val="1"/>
    <w:link w:val="894"/>
    <w:autoRedefine/>
    <w:qFormat/>
    <w:uiPriority w:val="0"/>
    <w:rPr>
      <w:kern w:val="0"/>
      <w:sz w:val="24"/>
    </w:rPr>
  </w:style>
  <w:style w:type="character" w:customStyle="1" w:styleId="896">
    <w:name w:val="Char Char Char Char Char Char Char11"/>
    <w:link w:val="897"/>
    <w:autoRedefine/>
    <w:qFormat/>
    <w:uiPriority w:val="0"/>
    <w:rPr>
      <w:kern w:val="2"/>
      <w:sz w:val="24"/>
      <w:szCs w:val="24"/>
    </w:rPr>
  </w:style>
  <w:style w:type="paragraph" w:customStyle="1" w:styleId="897">
    <w:name w:val="Char Char Char Char Char Char11"/>
    <w:basedOn w:val="1"/>
    <w:link w:val="896"/>
    <w:autoRedefine/>
    <w:qFormat/>
    <w:uiPriority w:val="0"/>
    <w:rPr>
      <w:sz w:val="24"/>
    </w:rPr>
  </w:style>
  <w:style w:type="character" w:customStyle="1" w:styleId="898">
    <w:name w:val="环评正文文字缩进（江东模板） Char"/>
    <w:autoRedefine/>
    <w:qFormat/>
    <w:uiPriority w:val="0"/>
    <w:rPr>
      <w:rFonts w:ascii="宋体" w:hAnsi="宋体"/>
      <w:sz w:val="24"/>
    </w:rPr>
  </w:style>
  <w:style w:type="character" w:customStyle="1" w:styleId="899">
    <w:name w:val="Char Char Char Char Char4"/>
    <w:link w:val="900"/>
    <w:autoRedefine/>
    <w:qFormat/>
    <w:uiPriority w:val="0"/>
    <w:rPr>
      <w:kern w:val="2"/>
      <w:sz w:val="24"/>
      <w:szCs w:val="24"/>
      <w:lang w:val="zh-CN"/>
    </w:rPr>
  </w:style>
  <w:style w:type="paragraph" w:customStyle="1" w:styleId="900">
    <w:name w:val="Char Char Char8"/>
    <w:basedOn w:val="1"/>
    <w:link w:val="899"/>
    <w:autoRedefine/>
    <w:qFormat/>
    <w:uiPriority w:val="0"/>
    <w:rPr>
      <w:sz w:val="24"/>
      <w:lang w:val="zh-CN"/>
    </w:rPr>
  </w:style>
  <w:style w:type="character" w:customStyle="1" w:styleId="901">
    <w:name w:val="Char Char Char Char23"/>
    <w:link w:val="902"/>
    <w:autoRedefine/>
    <w:qFormat/>
    <w:uiPriority w:val="0"/>
    <w:rPr>
      <w:sz w:val="24"/>
      <w:szCs w:val="24"/>
    </w:rPr>
  </w:style>
  <w:style w:type="paragraph" w:customStyle="1" w:styleId="902">
    <w:name w:val="Char Char Char5"/>
    <w:basedOn w:val="1"/>
    <w:link w:val="901"/>
    <w:autoRedefine/>
    <w:qFormat/>
    <w:uiPriority w:val="0"/>
    <w:rPr>
      <w:kern w:val="0"/>
      <w:sz w:val="24"/>
    </w:rPr>
  </w:style>
  <w:style w:type="character" w:customStyle="1" w:styleId="903">
    <w:name w:val="Char Char Char Char Char Char Char Char Char"/>
    <w:autoRedefine/>
    <w:qFormat/>
    <w:uiPriority w:val="0"/>
    <w:rPr>
      <w:rFonts w:ascii="宋体" w:hAnsi="宋体" w:eastAsia="宋体"/>
      <w:sz w:val="24"/>
    </w:rPr>
  </w:style>
  <w:style w:type="character" w:customStyle="1" w:styleId="904">
    <w:name w:val="二级条标题 Char"/>
    <w:link w:val="905"/>
    <w:autoRedefine/>
    <w:qFormat/>
    <w:uiPriority w:val="0"/>
    <w:rPr>
      <w:rFonts w:ascii="黑体" w:eastAsia="黑体"/>
      <w:sz w:val="21"/>
    </w:rPr>
  </w:style>
  <w:style w:type="paragraph" w:customStyle="1" w:styleId="905">
    <w:name w:val="二级条标题"/>
    <w:basedOn w:val="330"/>
    <w:next w:val="1"/>
    <w:link w:val="904"/>
    <w:autoRedefine/>
    <w:qFormat/>
    <w:uiPriority w:val="0"/>
    <w:pPr>
      <w:tabs>
        <w:tab w:val="clear" w:pos="903"/>
      </w:tabs>
      <w:spacing w:before="0" w:after="0"/>
      <w:outlineLvl w:val="3"/>
    </w:pPr>
  </w:style>
  <w:style w:type="character" w:customStyle="1" w:styleId="906">
    <w:name w:val="签名 Char1"/>
    <w:autoRedefine/>
    <w:qFormat/>
    <w:uiPriority w:val="99"/>
    <w:rPr>
      <w:kern w:val="2"/>
      <w:sz w:val="21"/>
      <w:szCs w:val="24"/>
    </w:rPr>
  </w:style>
  <w:style w:type="character" w:customStyle="1" w:styleId="907">
    <w:name w:val="Char Char3"/>
    <w:autoRedefine/>
    <w:qFormat/>
    <w:uiPriority w:val="0"/>
    <w:rPr>
      <w:rFonts w:ascii="Arial" w:hAnsi="Arial" w:eastAsia="宋体"/>
      <w:b/>
      <w:kern w:val="2"/>
      <w:sz w:val="32"/>
      <w:lang w:val="en-US" w:eastAsia="zh-CN"/>
    </w:rPr>
  </w:style>
  <w:style w:type="character" w:customStyle="1" w:styleId="908">
    <w:name w:val="节标题2 Char"/>
    <w:link w:val="909"/>
    <w:autoRedefine/>
    <w:qFormat/>
    <w:uiPriority w:val="0"/>
    <w:rPr>
      <w:sz w:val="24"/>
      <w:szCs w:val="28"/>
    </w:rPr>
  </w:style>
  <w:style w:type="paragraph" w:customStyle="1" w:styleId="909">
    <w:name w:val="节标题2"/>
    <w:basedOn w:val="1"/>
    <w:link w:val="908"/>
    <w:autoRedefine/>
    <w:qFormat/>
    <w:uiPriority w:val="0"/>
    <w:pPr>
      <w:autoSpaceDE w:val="0"/>
      <w:autoSpaceDN w:val="0"/>
      <w:adjustRightInd w:val="0"/>
      <w:spacing w:line="360" w:lineRule="auto"/>
      <w:jc w:val="left"/>
    </w:pPr>
    <w:rPr>
      <w:kern w:val="0"/>
      <w:sz w:val="24"/>
      <w:szCs w:val="28"/>
    </w:rPr>
  </w:style>
  <w:style w:type="character" w:customStyle="1" w:styleId="910">
    <w:name w:val="style2081"/>
    <w:autoRedefine/>
    <w:qFormat/>
    <w:uiPriority w:val="0"/>
    <w:rPr>
      <w:rFonts w:cs="Times New Roman"/>
      <w:color w:val="FF6600"/>
    </w:rPr>
  </w:style>
  <w:style w:type="character" w:customStyle="1" w:styleId="911">
    <w:name w:val="签名 字符1"/>
    <w:autoRedefine/>
    <w:qFormat/>
    <w:locked/>
    <w:uiPriority w:val="0"/>
    <w:rPr>
      <w:rFonts w:ascii="Arial" w:hAnsi="Arial" w:eastAsia="仿宋_GB2312" w:cs="Arial"/>
    </w:rPr>
  </w:style>
  <w:style w:type="character" w:customStyle="1" w:styleId="912">
    <w:name w:val="环评正文 Char"/>
    <w:link w:val="913"/>
    <w:autoRedefine/>
    <w:qFormat/>
    <w:uiPriority w:val="0"/>
    <w:rPr>
      <w:sz w:val="24"/>
    </w:rPr>
  </w:style>
  <w:style w:type="paragraph" w:customStyle="1" w:styleId="913">
    <w:name w:val="环评正文"/>
    <w:basedOn w:val="1"/>
    <w:link w:val="912"/>
    <w:autoRedefine/>
    <w:qFormat/>
    <w:uiPriority w:val="0"/>
    <w:pPr>
      <w:adjustRightInd w:val="0"/>
      <w:snapToGrid w:val="0"/>
      <w:spacing w:line="360" w:lineRule="auto"/>
      <w:ind w:firstLine="480" w:firstLineChars="200"/>
    </w:pPr>
    <w:rPr>
      <w:kern w:val="0"/>
      <w:sz w:val="24"/>
      <w:szCs w:val="20"/>
    </w:rPr>
  </w:style>
  <w:style w:type="character" w:customStyle="1" w:styleId="914">
    <w:name w:val="正文缩进 字符"/>
    <w:autoRedefine/>
    <w:qFormat/>
    <w:uiPriority w:val="0"/>
    <w:rPr>
      <w:rFonts w:ascii="宋体" w:hAnsi="宋体" w:eastAsia="宋体" w:cs="宋体"/>
      <w:b/>
      <w:bCs/>
      <w:sz w:val="24"/>
      <w:szCs w:val="20"/>
    </w:rPr>
  </w:style>
  <w:style w:type="character" w:customStyle="1" w:styleId="915">
    <w:name w:val="目录 1 字符"/>
    <w:autoRedefine/>
    <w:qFormat/>
    <w:uiPriority w:val="0"/>
    <w:rPr>
      <w:rFonts w:eastAsia="宋体"/>
      <w:b/>
      <w:bCs/>
      <w:caps/>
    </w:rPr>
  </w:style>
  <w:style w:type="character" w:customStyle="1" w:styleId="916">
    <w:name w:val="highlight1"/>
    <w:autoRedefine/>
    <w:qFormat/>
    <w:uiPriority w:val="0"/>
    <w:rPr>
      <w:sz w:val="14"/>
      <w:szCs w:val="14"/>
    </w:rPr>
  </w:style>
  <w:style w:type="character" w:customStyle="1" w:styleId="917">
    <w:name w:val="样式 标题 2 + (西文) Times New Roman (中文) 宋体 Char"/>
    <w:link w:val="918"/>
    <w:autoRedefine/>
    <w:qFormat/>
    <w:uiPriority w:val="0"/>
    <w:rPr>
      <w:sz w:val="28"/>
      <w:szCs w:val="28"/>
    </w:rPr>
  </w:style>
  <w:style w:type="paragraph" w:customStyle="1" w:styleId="918">
    <w:name w:val="样式 标题 2 + (西文) Times New Roman (中文) 宋体"/>
    <w:basedOn w:val="4"/>
    <w:link w:val="917"/>
    <w:autoRedefine/>
    <w:qFormat/>
    <w:uiPriority w:val="0"/>
    <w:pPr>
      <w:tabs>
        <w:tab w:val="left" w:pos="927"/>
        <w:tab w:val="left" w:pos="1419"/>
      </w:tabs>
      <w:spacing w:before="0" w:after="0" w:line="500" w:lineRule="atLeast"/>
      <w:ind w:firstLine="567"/>
    </w:pPr>
    <w:rPr>
      <w:rFonts w:ascii="Times New Roman" w:hAnsi="Times New Roman"/>
      <w:b w:val="0"/>
      <w:bCs w:val="0"/>
      <w:kern w:val="0"/>
      <w:sz w:val="28"/>
      <w:szCs w:val="28"/>
    </w:rPr>
  </w:style>
  <w:style w:type="character" w:customStyle="1" w:styleId="919">
    <w:name w:val="text11"/>
    <w:autoRedefine/>
    <w:qFormat/>
    <w:uiPriority w:val="0"/>
    <w:rPr>
      <w:rFonts w:hint="eastAsia" w:ascii="宋体" w:hAnsi="宋体" w:eastAsia="宋体"/>
      <w:spacing w:val="300"/>
      <w:kern w:val="2"/>
      <w:sz w:val="21"/>
      <w:szCs w:val="21"/>
      <w:lang w:val="en-US" w:eastAsia="zh-CN" w:bidi="ar-SA"/>
    </w:rPr>
  </w:style>
  <w:style w:type="character" w:customStyle="1" w:styleId="920">
    <w:name w:val="Heading 3 Char"/>
    <w:autoRedefine/>
    <w:qFormat/>
    <w:locked/>
    <w:uiPriority w:val="0"/>
    <w:rPr>
      <w:rFonts w:ascii="Cambria" w:hAnsi="Cambria" w:eastAsia="宋体" w:cs="Times New Roman"/>
      <w:b/>
      <w:bCs/>
      <w:kern w:val="0"/>
      <w:sz w:val="26"/>
      <w:szCs w:val="26"/>
    </w:rPr>
  </w:style>
  <w:style w:type="character" w:customStyle="1" w:styleId="921">
    <w:name w:val="正文文本缩进 3 字符1"/>
    <w:autoRedefine/>
    <w:qFormat/>
    <w:locked/>
    <w:uiPriority w:val="0"/>
    <w:rPr>
      <w:rFonts w:ascii="宋体" w:hAnsi="宋体"/>
      <w:sz w:val="24"/>
    </w:rPr>
  </w:style>
  <w:style w:type="character" w:customStyle="1" w:styleId="922">
    <w:name w:val="结束语 字符1"/>
    <w:autoRedefine/>
    <w:qFormat/>
    <w:locked/>
    <w:uiPriority w:val="0"/>
    <w:rPr>
      <w:rFonts w:ascii="Arial" w:hAnsi="Arial" w:eastAsia="仿宋_GB2312" w:cs="Arial"/>
    </w:rPr>
  </w:style>
  <w:style w:type="character" w:customStyle="1" w:styleId="923">
    <w:name w:val="indetail"/>
    <w:autoRedefine/>
    <w:qFormat/>
    <w:uiPriority w:val="0"/>
  </w:style>
  <w:style w:type="character" w:customStyle="1" w:styleId="924">
    <w:name w:val="h311"/>
    <w:autoRedefine/>
    <w:qFormat/>
    <w:uiPriority w:val="0"/>
    <w:rPr>
      <w:sz w:val="21"/>
      <w:szCs w:val="21"/>
    </w:rPr>
  </w:style>
  <w:style w:type="character" w:customStyle="1" w:styleId="925">
    <w:name w:val="Char Char Char Char Char7"/>
    <w:link w:val="926"/>
    <w:autoRedefine/>
    <w:qFormat/>
    <w:uiPriority w:val="0"/>
    <w:rPr>
      <w:kern w:val="2"/>
      <w:sz w:val="24"/>
      <w:szCs w:val="24"/>
    </w:rPr>
  </w:style>
  <w:style w:type="paragraph" w:customStyle="1" w:styleId="926">
    <w:name w:val="Char Char Char13"/>
    <w:basedOn w:val="1"/>
    <w:link w:val="925"/>
    <w:autoRedefine/>
    <w:qFormat/>
    <w:uiPriority w:val="0"/>
    <w:rPr>
      <w:sz w:val="24"/>
    </w:rPr>
  </w:style>
  <w:style w:type="character" w:customStyle="1" w:styleId="927">
    <w:name w:val="正文缩进4 Char"/>
    <w:link w:val="928"/>
    <w:autoRedefine/>
    <w:qFormat/>
    <w:uiPriority w:val="0"/>
    <w:rPr>
      <w:rFonts w:ascii="仿宋_GB2312" w:eastAsia="仿宋_GB2312"/>
      <w:sz w:val="28"/>
      <w:szCs w:val="24"/>
    </w:rPr>
  </w:style>
  <w:style w:type="paragraph" w:customStyle="1" w:styleId="928">
    <w:name w:val="正文缩进4"/>
    <w:basedOn w:val="1"/>
    <w:link w:val="927"/>
    <w:autoRedefine/>
    <w:qFormat/>
    <w:uiPriority w:val="0"/>
    <w:pPr>
      <w:spacing w:line="500" w:lineRule="exact"/>
      <w:ind w:firstLine="560" w:firstLineChars="200"/>
    </w:pPr>
    <w:rPr>
      <w:rFonts w:ascii="仿宋_GB2312" w:eastAsia="仿宋_GB2312"/>
      <w:kern w:val="0"/>
      <w:sz w:val="28"/>
    </w:rPr>
  </w:style>
  <w:style w:type="character" w:customStyle="1" w:styleId="929">
    <w:name w:val="font41"/>
    <w:autoRedefine/>
    <w:qFormat/>
    <w:uiPriority w:val="0"/>
    <w:rPr>
      <w:rFonts w:hint="default" w:ascii="Arial" w:hAnsi="Arial"/>
      <w:color w:val="000000"/>
      <w:spacing w:val="0"/>
      <w:sz w:val="20"/>
    </w:rPr>
  </w:style>
  <w:style w:type="character" w:customStyle="1" w:styleId="930">
    <w:name w:val="indetail1"/>
    <w:autoRedefine/>
    <w:qFormat/>
    <w:uiPriority w:val="0"/>
    <w:rPr>
      <w:rFonts w:cs="Times New Roman"/>
      <w:sz w:val="18"/>
      <w:szCs w:val="18"/>
      <w:bdr w:val="single" w:color="E2E2E2" w:sz="6" w:space="0"/>
    </w:rPr>
  </w:style>
  <w:style w:type="character" w:customStyle="1" w:styleId="931">
    <w:name w:val="Char Char Char Char Char Char Char4"/>
    <w:link w:val="932"/>
    <w:autoRedefine/>
    <w:qFormat/>
    <w:locked/>
    <w:uiPriority w:val="0"/>
    <w:rPr>
      <w:rFonts w:ascii="宋体" w:hAnsi="宋体"/>
      <w:sz w:val="24"/>
      <w:szCs w:val="24"/>
    </w:rPr>
  </w:style>
  <w:style w:type="paragraph" w:customStyle="1" w:styleId="932">
    <w:name w:val="Char Char Char Char Char Char4"/>
    <w:basedOn w:val="1"/>
    <w:link w:val="931"/>
    <w:autoRedefine/>
    <w:qFormat/>
    <w:uiPriority w:val="0"/>
    <w:rPr>
      <w:rFonts w:ascii="宋体" w:hAnsi="宋体"/>
      <w:kern w:val="0"/>
      <w:sz w:val="24"/>
    </w:rPr>
  </w:style>
  <w:style w:type="character" w:customStyle="1" w:styleId="933">
    <w:name w:val="页眉 Char1"/>
    <w:autoRedefine/>
    <w:qFormat/>
    <w:uiPriority w:val="0"/>
    <w:rPr>
      <w:rFonts w:ascii="Times New Roman" w:hAnsi="Times New Roman" w:eastAsia="宋体" w:cs="Times New Roman"/>
      <w:kern w:val="0"/>
      <w:sz w:val="18"/>
      <w:szCs w:val="18"/>
    </w:rPr>
  </w:style>
  <w:style w:type="character" w:customStyle="1" w:styleId="934">
    <w:name w:val="正文(首行缩进) Char"/>
    <w:link w:val="935"/>
    <w:autoRedefine/>
    <w:qFormat/>
    <w:locked/>
    <w:uiPriority w:val="0"/>
    <w:rPr>
      <w:snapToGrid w:val="0"/>
      <w:sz w:val="24"/>
      <w:szCs w:val="24"/>
    </w:rPr>
  </w:style>
  <w:style w:type="paragraph" w:customStyle="1" w:styleId="935">
    <w:name w:val="正文(首行缩进)"/>
    <w:basedOn w:val="1"/>
    <w:link w:val="934"/>
    <w:autoRedefine/>
    <w:qFormat/>
    <w:uiPriority w:val="0"/>
    <w:pPr>
      <w:adjustRightInd w:val="0"/>
      <w:snapToGrid w:val="0"/>
      <w:spacing w:line="360" w:lineRule="auto"/>
      <w:ind w:firstLine="200" w:firstLineChars="200"/>
    </w:pPr>
    <w:rPr>
      <w:snapToGrid w:val="0"/>
      <w:kern w:val="0"/>
      <w:sz w:val="24"/>
    </w:rPr>
  </w:style>
  <w:style w:type="character" w:customStyle="1" w:styleId="936">
    <w:name w:val="正文文本 2 Char1"/>
    <w:autoRedefine/>
    <w:qFormat/>
    <w:uiPriority w:val="99"/>
    <w:rPr>
      <w:rFonts w:ascii="Times New Roman" w:hAnsi="Times New Roman" w:eastAsia="宋体" w:cs="Times New Roman"/>
      <w:kern w:val="0"/>
      <w:sz w:val="20"/>
      <w:szCs w:val="20"/>
    </w:rPr>
  </w:style>
  <w:style w:type="character" w:customStyle="1" w:styleId="937">
    <w:name w:val="目录 1 Char"/>
    <w:autoRedefine/>
    <w:qFormat/>
    <w:uiPriority w:val="0"/>
    <w:rPr>
      <w:rFonts w:eastAsia="宋体"/>
      <w:bCs/>
      <w:caps/>
      <w:kern w:val="44"/>
      <w:sz w:val="24"/>
      <w:szCs w:val="24"/>
      <w:lang w:val="en-US" w:eastAsia="zh-CN" w:bidi="ar-SA"/>
    </w:rPr>
  </w:style>
  <w:style w:type="character" w:customStyle="1" w:styleId="938">
    <w:name w:val="style211"/>
    <w:autoRedefine/>
    <w:qFormat/>
    <w:uiPriority w:val="0"/>
    <w:rPr>
      <w:rFonts w:cs="Times New Roman"/>
      <w:color w:val="000000"/>
    </w:rPr>
  </w:style>
  <w:style w:type="character" w:customStyle="1" w:styleId="939">
    <w:name w:val="style11"/>
    <w:autoRedefine/>
    <w:qFormat/>
    <w:uiPriority w:val="0"/>
    <w:rPr>
      <w:rFonts w:cs="Times New Roman"/>
      <w:sz w:val="21"/>
      <w:szCs w:val="21"/>
    </w:rPr>
  </w:style>
  <w:style w:type="character" w:customStyle="1" w:styleId="940">
    <w:name w:val="td21"/>
    <w:autoRedefine/>
    <w:qFormat/>
    <w:uiPriority w:val="0"/>
    <w:rPr>
      <w:sz w:val="21"/>
      <w:szCs w:val="21"/>
      <w:u w:val="none"/>
    </w:rPr>
  </w:style>
  <w:style w:type="character" w:customStyle="1" w:styleId="941">
    <w:name w:val="unnamed1"/>
    <w:autoRedefine/>
    <w:qFormat/>
    <w:uiPriority w:val="0"/>
  </w:style>
  <w:style w:type="character" w:customStyle="1" w:styleId="942">
    <w:name w:val="Char Char314"/>
    <w:autoRedefine/>
    <w:qFormat/>
    <w:uiPriority w:val="0"/>
    <w:rPr>
      <w:rFonts w:ascii="Arial" w:hAnsi="Arial" w:eastAsia="宋体" w:cs="Arial"/>
      <w:b/>
      <w:bCs/>
      <w:kern w:val="2"/>
      <w:sz w:val="32"/>
      <w:szCs w:val="32"/>
      <w:lang w:val="en-US" w:eastAsia="zh-CN" w:bidi="ar-SA"/>
    </w:rPr>
  </w:style>
  <w:style w:type="character" w:customStyle="1" w:styleId="943">
    <w:name w:val="z-窗体顶端 字符"/>
    <w:link w:val="944"/>
    <w:autoRedefine/>
    <w:qFormat/>
    <w:uiPriority w:val="0"/>
    <w:rPr>
      <w:rFonts w:ascii="Arial" w:hAnsi="Arial" w:eastAsia="仿宋_GB2312"/>
      <w:vanish/>
      <w:sz w:val="16"/>
      <w:szCs w:val="16"/>
    </w:rPr>
  </w:style>
  <w:style w:type="paragraph" w:customStyle="1" w:styleId="944">
    <w:name w:val="z-窗体顶端1"/>
    <w:basedOn w:val="1"/>
    <w:next w:val="1"/>
    <w:link w:val="943"/>
    <w:autoRedefine/>
    <w:qFormat/>
    <w:uiPriority w:val="0"/>
    <w:pPr>
      <w:pBdr>
        <w:bottom w:val="single" w:color="auto" w:sz="6" w:space="1"/>
      </w:pBdr>
      <w:adjustRightInd w:val="0"/>
      <w:snapToGrid w:val="0"/>
      <w:spacing w:line="300" w:lineRule="auto"/>
      <w:jc w:val="center"/>
    </w:pPr>
    <w:rPr>
      <w:rFonts w:ascii="Arial" w:hAnsi="Arial" w:eastAsia="仿宋_GB2312"/>
      <w:vanish/>
      <w:kern w:val="0"/>
      <w:sz w:val="16"/>
      <w:szCs w:val="16"/>
    </w:rPr>
  </w:style>
  <w:style w:type="character" w:customStyle="1" w:styleId="945">
    <w:name w:val="正文文本缩进 2 字符"/>
    <w:autoRedefine/>
    <w:qFormat/>
    <w:uiPriority w:val="0"/>
    <w:rPr>
      <w:rFonts w:ascii="Times New Roman" w:hAnsi="Times New Roman" w:eastAsia="宋体" w:cs="Times New Roman"/>
      <w:kern w:val="0"/>
      <w:sz w:val="24"/>
      <w:szCs w:val="20"/>
    </w:rPr>
  </w:style>
  <w:style w:type="character" w:customStyle="1" w:styleId="946">
    <w:name w:val="s1"/>
    <w:autoRedefine/>
    <w:qFormat/>
    <w:uiPriority w:val="0"/>
    <w:rPr>
      <w:sz w:val="18"/>
      <w:szCs w:val="18"/>
    </w:rPr>
  </w:style>
  <w:style w:type="character" w:customStyle="1" w:styleId="947">
    <w:name w:val="hhcwt标题4 Char Char"/>
    <w:link w:val="948"/>
    <w:autoRedefine/>
    <w:qFormat/>
    <w:uiPriority w:val="0"/>
    <w:rPr>
      <w:b/>
      <w:bCs/>
      <w:kern w:val="44"/>
      <w:sz w:val="24"/>
    </w:rPr>
  </w:style>
  <w:style w:type="paragraph" w:customStyle="1" w:styleId="948">
    <w:name w:val="hhcwt标题4"/>
    <w:basedOn w:val="3"/>
    <w:link w:val="947"/>
    <w:autoRedefine/>
    <w:qFormat/>
    <w:uiPriority w:val="0"/>
    <w:pPr>
      <w:keepLines/>
      <w:tabs>
        <w:tab w:val="left" w:pos="425"/>
      </w:tabs>
      <w:overflowPunct/>
      <w:snapToGrid/>
      <w:spacing w:before="0" w:after="0" w:line="360" w:lineRule="auto"/>
      <w:ind w:left="0" w:firstLine="0"/>
      <w:outlineLvl w:val="3"/>
    </w:pPr>
    <w:rPr>
      <w:rFonts w:eastAsia="宋体"/>
      <w:color w:val="auto"/>
      <w:sz w:val="24"/>
      <w:szCs w:val="20"/>
    </w:rPr>
  </w:style>
  <w:style w:type="character" w:customStyle="1" w:styleId="949">
    <w:name w:val="1正文段落 Char"/>
    <w:link w:val="950"/>
    <w:autoRedefine/>
    <w:semiHidden/>
    <w:qFormat/>
    <w:uiPriority w:val="0"/>
    <w:rPr>
      <w:sz w:val="24"/>
      <w:szCs w:val="24"/>
    </w:rPr>
  </w:style>
  <w:style w:type="paragraph" w:customStyle="1" w:styleId="950">
    <w:name w:val="1正文段落"/>
    <w:basedOn w:val="1"/>
    <w:link w:val="949"/>
    <w:autoRedefine/>
    <w:semiHidden/>
    <w:qFormat/>
    <w:uiPriority w:val="0"/>
    <w:pPr>
      <w:spacing w:line="360" w:lineRule="auto"/>
      <w:ind w:firstLine="480" w:firstLineChars="200"/>
      <w:jc w:val="left"/>
    </w:pPr>
    <w:rPr>
      <w:kern w:val="0"/>
      <w:sz w:val="24"/>
    </w:rPr>
  </w:style>
  <w:style w:type="character" w:customStyle="1" w:styleId="951">
    <w:name w:val="文档结构图 Char1"/>
    <w:autoRedefine/>
    <w:qFormat/>
    <w:uiPriority w:val="0"/>
    <w:rPr>
      <w:rFonts w:ascii="宋体" w:hAnsi="Times New Roman" w:eastAsia="宋体" w:cs="Times New Roman"/>
      <w:kern w:val="0"/>
      <w:sz w:val="18"/>
      <w:szCs w:val="18"/>
    </w:rPr>
  </w:style>
  <w:style w:type="character" w:customStyle="1" w:styleId="952">
    <w:name w:val="表格内容 Char"/>
    <w:autoRedefine/>
    <w:qFormat/>
    <w:locked/>
    <w:uiPriority w:val="0"/>
    <w:rPr>
      <w:rFonts w:ascii="Arial" w:hAnsi="Arial" w:eastAsia="仿宋_GB2312"/>
      <w:sz w:val="24"/>
      <w:lang w:bidi="ar-SA"/>
    </w:rPr>
  </w:style>
  <w:style w:type="character" w:customStyle="1" w:styleId="953">
    <w:name w:val="公示 Char"/>
    <w:link w:val="954"/>
    <w:autoRedefine/>
    <w:qFormat/>
    <w:uiPriority w:val="0"/>
  </w:style>
  <w:style w:type="paragraph" w:customStyle="1" w:styleId="954">
    <w:name w:val="公示"/>
    <w:basedOn w:val="1"/>
    <w:link w:val="953"/>
    <w:autoRedefine/>
    <w:qFormat/>
    <w:uiPriority w:val="0"/>
    <w:pPr>
      <w:spacing w:line="360" w:lineRule="auto"/>
      <w:ind w:firstLine="200" w:firstLineChars="200"/>
      <w:jc w:val="center"/>
    </w:pPr>
    <w:rPr>
      <w:kern w:val="0"/>
      <w:sz w:val="20"/>
      <w:szCs w:val="20"/>
    </w:rPr>
  </w:style>
  <w:style w:type="character" w:customStyle="1" w:styleId="955">
    <w:name w:val="标题22 Char"/>
    <w:link w:val="956"/>
    <w:autoRedefine/>
    <w:qFormat/>
    <w:uiPriority w:val="0"/>
    <w:rPr>
      <w:rFonts w:ascii="Arial" w:hAnsi="Arial" w:eastAsia="黑体"/>
      <w:sz w:val="32"/>
      <w:szCs w:val="32"/>
    </w:rPr>
  </w:style>
  <w:style w:type="paragraph" w:customStyle="1" w:styleId="956">
    <w:name w:val="标题22"/>
    <w:basedOn w:val="4"/>
    <w:link w:val="955"/>
    <w:autoRedefine/>
    <w:qFormat/>
    <w:uiPriority w:val="0"/>
    <w:pPr>
      <w:tabs>
        <w:tab w:val="left" w:pos="570"/>
        <w:tab w:val="left" w:pos="1419"/>
        <w:tab w:val="left" w:pos="6090"/>
      </w:tabs>
      <w:spacing w:before="240" w:after="120" w:line="360" w:lineRule="auto"/>
    </w:pPr>
    <w:rPr>
      <w:rFonts w:ascii="Arial" w:hAnsi="Arial" w:eastAsia="黑体"/>
      <w:b w:val="0"/>
      <w:bCs w:val="0"/>
      <w:kern w:val="0"/>
    </w:rPr>
  </w:style>
  <w:style w:type="character" w:customStyle="1" w:styleId="957">
    <w:name w:val="p6"/>
    <w:autoRedefine/>
    <w:qFormat/>
    <w:uiPriority w:val="0"/>
  </w:style>
  <w:style w:type="character" w:customStyle="1" w:styleId="958">
    <w:name w:val="Char Char10"/>
    <w:autoRedefine/>
    <w:qFormat/>
    <w:locked/>
    <w:uiPriority w:val="0"/>
    <w:rPr>
      <w:rFonts w:eastAsia="宋体"/>
      <w:kern w:val="2"/>
      <w:sz w:val="21"/>
      <w:lang w:val="en-US" w:eastAsia="zh-CN" w:bidi="ar-SA"/>
    </w:rPr>
  </w:style>
  <w:style w:type="character" w:customStyle="1" w:styleId="959">
    <w:name w:val="Char Char"/>
    <w:autoRedefine/>
    <w:qFormat/>
    <w:uiPriority w:val="0"/>
    <w:rPr>
      <w:rFonts w:eastAsia="宋体"/>
      <w:kern w:val="2"/>
      <w:sz w:val="21"/>
      <w:szCs w:val="24"/>
      <w:lang w:val="en-US" w:eastAsia="zh-CN" w:bidi="ar-SA"/>
    </w:rPr>
  </w:style>
  <w:style w:type="character" w:customStyle="1" w:styleId="960">
    <w:name w:val="style191"/>
    <w:autoRedefine/>
    <w:qFormat/>
    <w:uiPriority w:val="0"/>
    <w:rPr>
      <w:b/>
      <w:bCs/>
      <w:color w:val="FF0000"/>
    </w:rPr>
  </w:style>
  <w:style w:type="character" w:customStyle="1" w:styleId="961">
    <w:name w:val="正文样式 Char Char Char Char Char Char"/>
    <w:link w:val="962"/>
    <w:autoRedefine/>
    <w:qFormat/>
    <w:uiPriority w:val="0"/>
    <w:rPr>
      <w:rFonts w:ascii="宋体" w:hAnsi="宋体"/>
      <w:color w:val="000000"/>
      <w:sz w:val="24"/>
      <w:szCs w:val="24"/>
    </w:rPr>
  </w:style>
  <w:style w:type="paragraph" w:customStyle="1" w:styleId="962">
    <w:name w:val="正文样式 Char Char Char Char Char"/>
    <w:basedOn w:val="1"/>
    <w:link w:val="961"/>
    <w:autoRedefine/>
    <w:qFormat/>
    <w:uiPriority w:val="0"/>
    <w:pPr>
      <w:spacing w:line="360" w:lineRule="auto"/>
      <w:ind w:firstLine="480" w:firstLineChars="200"/>
    </w:pPr>
    <w:rPr>
      <w:rFonts w:ascii="宋体" w:hAnsi="宋体"/>
      <w:color w:val="000000"/>
      <w:kern w:val="0"/>
      <w:sz w:val="24"/>
    </w:rPr>
  </w:style>
  <w:style w:type="character" w:customStyle="1" w:styleId="963">
    <w:name w:val="黑体标题 Char"/>
    <w:link w:val="964"/>
    <w:autoRedefine/>
    <w:semiHidden/>
    <w:qFormat/>
    <w:uiPriority w:val="0"/>
    <w:rPr>
      <w:rFonts w:ascii="宋体" w:hAnsi="宋体"/>
      <w:sz w:val="28"/>
    </w:rPr>
  </w:style>
  <w:style w:type="paragraph" w:customStyle="1" w:styleId="964">
    <w:name w:val="黑体标题"/>
    <w:basedOn w:val="1"/>
    <w:link w:val="963"/>
    <w:autoRedefine/>
    <w:semiHidden/>
    <w:qFormat/>
    <w:uiPriority w:val="0"/>
    <w:pPr>
      <w:spacing w:line="500" w:lineRule="exact"/>
      <w:ind w:firstLine="560" w:firstLineChars="200"/>
    </w:pPr>
    <w:rPr>
      <w:rFonts w:ascii="宋体" w:hAnsi="宋体"/>
      <w:kern w:val="0"/>
      <w:sz w:val="28"/>
      <w:szCs w:val="20"/>
    </w:rPr>
  </w:style>
  <w:style w:type="character" w:customStyle="1" w:styleId="965">
    <w:name w:val="Char Char5"/>
    <w:autoRedefine/>
    <w:qFormat/>
    <w:locked/>
    <w:uiPriority w:val="0"/>
    <w:rPr>
      <w:rFonts w:hint="eastAsia" w:ascii="仿宋_GB2312" w:hAnsi="Courier New" w:eastAsia="仿宋_GB2312"/>
      <w:b/>
      <w:bCs/>
      <w:sz w:val="28"/>
      <w:lang w:val="en-US" w:eastAsia="zh-CN" w:bidi="ar-SA"/>
    </w:rPr>
  </w:style>
  <w:style w:type="character" w:customStyle="1" w:styleId="966">
    <w:name w:val="Char Char4"/>
    <w:autoRedefine/>
    <w:qFormat/>
    <w:uiPriority w:val="0"/>
    <w:rPr>
      <w:rFonts w:eastAsia="宋体" w:cs="Times New Roman"/>
      <w:kern w:val="2"/>
      <w:sz w:val="24"/>
      <w:szCs w:val="24"/>
      <w:lang w:val="en-US" w:eastAsia="zh-CN" w:bidi="ar-SA"/>
    </w:rPr>
  </w:style>
  <w:style w:type="character" w:customStyle="1" w:styleId="967">
    <w:name w:val="环标2 Char1"/>
    <w:link w:val="968"/>
    <w:autoRedefine/>
    <w:qFormat/>
    <w:locked/>
    <w:uiPriority w:val="0"/>
    <w:rPr>
      <w:rFonts w:ascii="宋体" w:hAnsi="Arial"/>
      <w:bCs/>
      <w:sz w:val="28"/>
      <w:szCs w:val="24"/>
      <w:lang w:val="zh-CN"/>
    </w:rPr>
  </w:style>
  <w:style w:type="paragraph" w:customStyle="1" w:styleId="968">
    <w:name w:val="环标2"/>
    <w:basedOn w:val="4"/>
    <w:link w:val="967"/>
    <w:autoRedefine/>
    <w:qFormat/>
    <w:uiPriority w:val="0"/>
    <w:pPr>
      <w:widowControl/>
      <w:tabs>
        <w:tab w:val="left" w:pos="780"/>
        <w:tab w:val="left" w:pos="985"/>
        <w:tab w:val="left" w:pos="1419"/>
      </w:tabs>
      <w:adjustRightInd w:val="0"/>
      <w:spacing w:before="156" w:after="60" w:line="312" w:lineRule="atLeast"/>
      <w:ind w:left="780" w:hanging="360"/>
      <w:jc w:val="left"/>
      <w:textAlignment w:val="baseline"/>
    </w:pPr>
    <w:rPr>
      <w:rFonts w:ascii="宋体" w:hAnsi="Arial"/>
      <w:b w:val="0"/>
      <w:kern w:val="0"/>
      <w:sz w:val="28"/>
      <w:szCs w:val="24"/>
      <w:lang w:val="zh-CN"/>
    </w:rPr>
  </w:style>
  <w:style w:type="character" w:customStyle="1" w:styleId="969">
    <w:name w:val="Char Char Char Char Char Char Char51"/>
    <w:link w:val="970"/>
    <w:autoRedefine/>
    <w:qFormat/>
    <w:locked/>
    <w:uiPriority w:val="0"/>
    <w:rPr>
      <w:rFonts w:ascii="宋体" w:hAnsi="宋体"/>
      <w:sz w:val="24"/>
      <w:szCs w:val="24"/>
    </w:rPr>
  </w:style>
  <w:style w:type="paragraph" w:customStyle="1" w:styleId="970">
    <w:name w:val="Char Char Char Char Char Char31"/>
    <w:basedOn w:val="1"/>
    <w:link w:val="969"/>
    <w:autoRedefine/>
    <w:qFormat/>
    <w:uiPriority w:val="0"/>
    <w:rPr>
      <w:rFonts w:ascii="宋体" w:hAnsi="宋体"/>
      <w:kern w:val="0"/>
      <w:sz w:val="24"/>
    </w:rPr>
  </w:style>
  <w:style w:type="character" w:customStyle="1" w:styleId="971">
    <w:name w:val="hhcwt标题3 Char Char"/>
    <w:link w:val="972"/>
    <w:autoRedefine/>
    <w:qFormat/>
    <w:uiPriority w:val="0"/>
    <w:rPr>
      <w:rFonts w:eastAsia="楷体_GB2312"/>
      <w:bCs/>
      <w:sz w:val="28"/>
      <w:szCs w:val="24"/>
    </w:rPr>
  </w:style>
  <w:style w:type="paragraph" w:customStyle="1" w:styleId="972">
    <w:name w:val="hhcwt标题3"/>
    <w:basedOn w:val="1"/>
    <w:link w:val="971"/>
    <w:autoRedefine/>
    <w:qFormat/>
    <w:uiPriority w:val="0"/>
    <w:pPr>
      <w:keepNext/>
      <w:keepLines/>
      <w:spacing w:line="336" w:lineRule="auto"/>
      <w:outlineLvl w:val="2"/>
    </w:pPr>
    <w:rPr>
      <w:rFonts w:eastAsia="楷体_GB2312"/>
      <w:bCs/>
      <w:kern w:val="0"/>
      <w:sz w:val="28"/>
    </w:rPr>
  </w:style>
  <w:style w:type="character" w:customStyle="1" w:styleId="973">
    <w:name w:val="批注框文本 Char2"/>
    <w:autoRedefine/>
    <w:qFormat/>
    <w:locked/>
    <w:uiPriority w:val="0"/>
    <w:rPr>
      <w:kern w:val="2"/>
      <w:sz w:val="18"/>
      <w:szCs w:val="18"/>
    </w:rPr>
  </w:style>
  <w:style w:type="character" w:customStyle="1" w:styleId="974">
    <w:name w:val="Char Char217"/>
    <w:autoRedefine/>
    <w:qFormat/>
    <w:uiPriority w:val="0"/>
    <w:rPr>
      <w:rFonts w:eastAsia="宋体"/>
      <w:kern w:val="2"/>
      <w:sz w:val="18"/>
      <w:szCs w:val="18"/>
      <w:lang w:val="en-US" w:eastAsia="zh-CN" w:bidi="ar-SA"/>
    </w:rPr>
  </w:style>
  <w:style w:type="character" w:customStyle="1" w:styleId="975">
    <w:name w:val="正文B Char"/>
    <w:link w:val="976"/>
    <w:autoRedefine/>
    <w:qFormat/>
    <w:uiPriority w:val="0"/>
    <w:rPr>
      <w:rFonts w:ascii="宋体" w:hAnsi="宋体" w:eastAsia="楷体_GB2312"/>
      <w:spacing w:val="8"/>
      <w:sz w:val="28"/>
    </w:rPr>
  </w:style>
  <w:style w:type="paragraph" w:customStyle="1" w:styleId="976">
    <w:name w:val="正文B"/>
    <w:basedOn w:val="1"/>
    <w:link w:val="975"/>
    <w:autoRedefine/>
    <w:qFormat/>
    <w:uiPriority w:val="0"/>
    <w:pPr>
      <w:adjustRightInd w:val="0"/>
      <w:spacing w:line="390" w:lineRule="atLeast"/>
      <w:ind w:firstLine="601"/>
    </w:pPr>
    <w:rPr>
      <w:rFonts w:ascii="宋体" w:hAnsi="宋体" w:eastAsia="楷体_GB2312"/>
      <w:spacing w:val="8"/>
      <w:kern w:val="0"/>
      <w:sz w:val="28"/>
      <w:szCs w:val="20"/>
    </w:rPr>
  </w:style>
  <w:style w:type="character" w:customStyle="1" w:styleId="977">
    <w:name w:val="正文文本 2 字符"/>
    <w:autoRedefine/>
    <w:qFormat/>
    <w:uiPriority w:val="0"/>
    <w:rPr>
      <w:rFonts w:ascii="Times New Roman" w:hAnsi="Times New Roman" w:eastAsia="宋体" w:cs="Times New Roman"/>
      <w:kern w:val="0"/>
      <w:sz w:val="24"/>
      <w:szCs w:val="20"/>
    </w:rPr>
  </w:style>
  <w:style w:type="character" w:customStyle="1" w:styleId="978">
    <w:name w:val="正文缩进 Cha Char"/>
    <w:autoRedefine/>
    <w:qFormat/>
    <w:uiPriority w:val="0"/>
    <w:rPr>
      <w:rFonts w:eastAsia="宋体"/>
      <w:kern w:val="2"/>
      <w:sz w:val="28"/>
      <w:szCs w:val="24"/>
      <w:lang w:val="en-US" w:eastAsia="zh-CN" w:bidi="ar-SA"/>
    </w:rPr>
  </w:style>
  <w:style w:type="character" w:customStyle="1" w:styleId="979">
    <w:name w:val="称呼 字符1"/>
    <w:autoRedefine/>
    <w:qFormat/>
    <w:locked/>
    <w:uiPriority w:val="0"/>
    <w:rPr>
      <w:rFonts w:ascii="Arial" w:hAnsi="Arial" w:eastAsia="仿宋_GB2312" w:cs="Arial"/>
    </w:rPr>
  </w:style>
  <w:style w:type="character" w:customStyle="1" w:styleId="980">
    <w:name w:val="脚注文本 Char1"/>
    <w:autoRedefine/>
    <w:qFormat/>
    <w:uiPriority w:val="99"/>
    <w:rPr>
      <w:sz w:val="18"/>
      <w:szCs w:val="18"/>
    </w:rPr>
  </w:style>
  <w:style w:type="character" w:customStyle="1" w:styleId="981">
    <w:name w:val="style31"/>
    <w:autoRedefine/>
    <w:qFormat/>
    <w:uiPriority w:val="0"/>
    <w:rPr>
      <w:rFonts w:cs="Times New Roman"/>
      <w:sz w:val="21"/>
      <w:szCs w:val="21"/>
    </w:rPr>
  </w:style>
  <w:style w:type="character" w:customStyle="1" w:styleId="982">
    <w:name w:val="z-窗体顶端 Char2"/>
    <w:autoRedefine/>
    <w:qFormat/>
    <w:uiPriority w:val="0"/>
    <w:rPr>
      <w:rFonts w:ascii="Arial" w:hAnsi="Arial" w:eastAsia="仿宋_GB2312"/>
      <w:vanish/>
      <w:sz w:val="16"/>
      <w:szCs w:val="16"/>
    </w:rPr>
  </w:style>
  <w:style w:type="character" w:customStyle="1" w:styleId="983">
    <w:name w:val="Char Char115"/>
    <w:autoRedefine/>
    <w:qFormat/>
    <w:uiPriority w:val="0"/>
    <w:rPr>
      <w:rFonts w:eastAsia="宋体"/>
      <w:sz w:val="18"/>
      <w:szCs w:val="18"/>
      <w:lang w:val="en-US" w:eastAsia="zh-CN" w:bidi="ar-SA"/>
    </w:rPr>
  </w:style>
  <w:style w:type="character" w:customStyle="1" w:styleId="984">
    <w:name w:val="标题 3 Char1"/>
    <w:autoRedefine/>
    <w:qFormat/>
    <w:uiPriority w:val="0"/>
    <w:rPr>
      <w:rFonts w:eastAsia="宋体" w:cs="Times New Roman"/>
      <w:b/>
      <w:bCs/>
      <w:sz w:val="32"/>
      <w:szCs w:val="32"/>
      <w:lang w:val="en-US" w:eastAsia="zh-CN" w:bidi="ar-SA"/>
    </w:rPr>
  </w:style>
  <w:style w:type="character" w:customStyle="1" w:styleId="985">
    <w:name w:val="日期 Char1"/>
    <w:autoRedefine/>
    <w:qFormat/>
    <w:uiPriority w:val="99"/>
    <w:rPr>
      <w:rFonts w:ascii="Times New Roman" w:hAnsi="Times New Roman" w:eastAsia="宋体" w:cs="Times New Roman"/>
      <w:kern w:val="0"/>
      <w:sz w:val="20"/>
      <w:szCs w:val="20"/>
    </w:rPr>
  </w:style>
  <w:style w:type="character" w:customStyle="1" w:styleId="986">
    <w:name w:val="javascript"/>
    <w:autoRedefine/>
    <w:qFormat/>
    <w:uiPriority w:val="0"/>
  </w:style>
  <w:style w:type="character" w:customStyle="1" w:styleId="987">
    <w:name w:val="Char Char121"/>
    <w:autoRedefine/>
    <w:qFormat/>
    <w:uiPriority w:val="0"/>
    <w:rPr>
      <w:sz w:val="18"/>
      <w:szCs w:val="18"/>
    </w:rPr>
  </w:style>
  <w:style w:type="character" w:customStyle="1" w:styleId="988">
    <w:name w:val="c2 Char Char"/>
    <w:link w:val="989"/>
    <w:autoRedefine/>
    <w:qFormat/>
    <w:uiPriority w:val="0"/>
    <w:rPr>
      <w:rFonts w:ascii="宋体" w:hAnsi="宋体" w:cs="黑体"/>
      <w:b/>
      <w:color w:val="000000"/>
      <w:sz w:val="28"/>
      <w:szCs w:val="32"/>
      <w:lang w:val="zh-CN"/>
    </w:rPr>
  </w:style>
  <w:style w:type="paragraph" w:customStyle="1" w:styleId="989">
    <w:name w:val="c2"/>
    <w:basedOn w:val="1"/>
    <w:link w:val="988"/>
    <w:autoRedefine/>
    <w:qFormat/>
    <w:uiPriority w:val="0"/>
    <w:pPr>
      <w:widowControl/>
      <w:adjustRightInd w:val="0"/>
      <w:spacing w:beforeLines="50" w:afterLines="50" w:line="360" w:lineRule="auto"/>
      <w:ind w:left="335"/>
      <w:jc w:val="left"/>
      <w:outlineLvl w:val="1"/>
    </w:pPr>
    <w:rPr>
      <w:rFonts w:ascii="宋体" w:hAnsi="宋体" w:cs="黑体"/>
      <w:b/>
      <w:color w:val="000000"/>
      <w:kern w:val="0"/>
      <w:sz w:val="28"/>
      <w:szCs w:val="32"/>
      <w:lang w:val="zh-CN"/>
    </w:rPr>
  </w:style>
  <w:style w:type="character" w:customStyle="1" w:styleId="990">
    <w:name w:val="表头1 Char"/>
    <w:link w:val="991"/>
    <w:autoRedefine/>
    <w:qFormat/>
    <w:uiPriority w:val="0"/>
    <w:rPr>
      <w:rFonts w:ascii="宋体" w:hAnsi="Arial Black"/>
      <w:color w:val="000000"/>
      <w:sz w:val="24"/>
      <w:szCs w:val="24"/>
    </w:rPr>
  </w:style>
  <w:style w:type="paragraph" w:customStyle="1" w:styleId="991">
    <w:name w:val="表头1"/>
    <w:basedOn w:val="42"/>
    <w:link w:val="990"/>
    <w:autoRedefine/>
    <w:qFormat/>
    <w:uiPriority w:val="0"/>
    <w:pPr>
      <w:widowControl/>
      <w:jc w:val="center"/>
    </w:pPr>
    <w:rPr>
      <w:rFonts w:hAnsi="Arial Black"/>
      <w:color w:val="000000"/>
      <w:kern w:val="0"/>
      <w:sz w:val="24"/>
      <w:szCs w:val="24"/>
    </w:rPr>
  </w:style>
  <w:style w:type="character" w:customStyle="1" w:styleId="992">
    <w:name w:val="标题 2 字符"/>
    <w:autoRedefine/>
    <w:qFormat/>
    <w:uiPriority w:val="0"/>
    <w:rPr>
      <w:rFonts w:ascii="黑体" w:hAnsi="Times New Roman" w:eastAsia="黑体" w:cs="Times New Roman"/>
      <w:bCs/>
      <w:kern w:val="0"/>
      <w:sz w:val="30"/>
      <w:szCs w:val="30"/>
    </w:rPr>
  </w:style>
  <w:style w:type="character" w:customStyle="1" w:styleId="993">
    <w:name w:val="apple-converted-space"/>
    <w:autoRedefine/>
    <w:qFormat/>
    <w:uiPriority w:val="0"/>
    <w:rPr>
      <w:rFonts w:cs="Times New Roman"/>
    </w:rPr>
  </w:style>
  <w:style w:type="character" w:customStyle="1" w:styleId="994">
    <w:name w:val="Char Char6"/>
    <w:autoRedefine/>
    <w:qFormat/>
    <w:uiPriority w:val="0"/>
    <w:rPr>
      <w:rFonts w:ascii="Arial" w:hAnsi="Arial" w:eastAsia="黑体"/>
      <w:b/>
      <w:kern w:val="2"/>
      <w:sz w:val="32"/>
      <w:lang w:val="en-US" w:eastAsia="zh-CN" w:bidi="ar-SA"/>
    </w:rPr>
  </w:style>
  <w:style w:type="character" w:customStyle="1" w:styleId="995">
    <w:name w:val="明显参考111"/>
    <w:autoRedefine/>
    <w:qFormat/>
    <w:uiPriority w:val="32"/>
    <w:rPr>
      <w:rFonts w:cs="Times New Roman"/>
      <w:b/>
      <w:sz w:val="24"/>
      <w:u w:val="single"/>
    </w:rPr>
  </w:style>
  <w:style w:type="character" w:customStyle="1" w:styleId="996">
    <w:name w:val="dan7-1表头7 Char"/>
    <w:link w:val="997"/>
    <w:autoRedefine/>
    <w:qFormat/>
    <w:uiPriority w:val="0"/>
    <w:rPr>
      <w:rFonts w:eastAsia="黑体"/>
      <w:sz w:val="24"/>
      <w:szCs w:val="24"/>
    </w:rPr>
  </w:style>
  <w:style w:type="paragraph" w:customStyle="1" w:styleId="997">
    <w:name w:val="dan7-1表头7"/>
    <w:basedOn w:val="1"/>
    <w:link w:val="996"/>
    <w:autoRedefine/>
    <w:qFormat/>
    <w:uiPriority w:val="0"/>
    <w:pPr>
      <w:tabs>
        <w:tab w:val="center" w:pos="0"/>
        <w:tab w:val="left" w:pos="2100"/>
      </w:tabs>
      <w:spacing w:before="40" w:after="40" w:line="360" w:lineRule="auto"/>
      <w:ind w:left="2100" w:hanging="360"/>
      <w:jc w:val="center"/>
    </w:pPr>
    <w:rPr>
      <w:rFonts w:eastAsia="黑体"/>
      <w:kern w:val="0"/>
      <w:sz w:val="24"/>
    </w:rPr>
  </w:style>
  <w:style w:type="character" w:customStyle="1" w:styleId="998">
    <w:name w:val="样式正文 Char"/>
    <w:link w:val="999"/>
    <w:autoRedefine/>
    <w:qFormat/>
    <w:uiPriority w:val="0"/>
    <w:rPr>
      <w:sz w:val="24"/>
      <w:szCs w:val="24"/>
    </w:rPr>
  </w:style>
  <w:style w:type="paragraph" w:customStyle="1" w:styleId="999">
    <w:name w:val="样式正文"/>
    <w:basedOn w:val="1"/>
    <w:link w:val="998"/>
    <w:autoRedefine/>
    <w:qFormat/>
    <w:uiPriority w:val="0"/>
    <w:pPr>
      <w:spacing w:line="400" w:lineRule="exact"/>
      <w:ind w:firstLine="200" w:firstLineChars="200"/>
    </w:pPr>
    <w:rPr>
      <w:kern w:val="0"/>
      <w:sz w:val="24"/>
    </w:rPr>
  </w:style>
  <w:style w:type="character" w:customStyle="1" w:styleId="1000">
    <w:name w:val="样式4 Char"/>
    <w:link w:val="1001"/>
    <w:autoRedefine/>
    <w:qFormat/>
    <w:uiPriority w:val="0"/>
    <w:rPr>
      <w:kern w:val="2"/>
      <w:sz w:val="24"/>
      <w:szCs w:val="24"/>
    </w:rPr>
  </w:style>
  <w:style w:type="paragraph" w:customStyle="1" w:styleId="1001">
    <w:name w:val="样式4"/>
    <w:basedOn w:val="33"/>
    <w:link w:val="1000"/>
    <w:autoRedefine/>
    <w:qFormat/>
    <w:uiPriority w:val="0"/>
    <w:pPr>
      <w:widowControl w:val="0"/>
      <w:snapToGrid/>
      <w:spacing w:before="0" w:after="0" w:line="360" w:lineRule="auto"/>
      <w:ind w:right="-90" w:rightChars="-50"/>
      <w:jc w:val="center"/>
    </w:pPr>
    <w:rPr>
      <w:kern w:val="2"/>
      <w:sz w:val="24"/>
      <w:szCs w:val="24"/>
    </w:rPr>
  </w:style>
  <w:style w:type="character" w:customStyle="1" w:styleId="1002">
    <w:name w:val="chen正文字体11 Char"/>
    <w:link w:val="1003"/>
    <w:autoRedefine/>
    <w:qFormat/>
    <w:uiPriority w:val="0"/>
    <w:rPr>
      <w:color w:val="000000"/>
      <w:sz w:val="24"/>
      <w:szCs w:val="24"/>
    </w:rPr>
  </w:style>
  <w:style w:type="paragraph" w:customStyle="1" w:styleId="1003">
    <w:name w:val="chen正文字体11"/>
    <w:basedOn w:val="1"/>
    <w:link w:val="1002"/>
    <w:autoRedefine/>
    <w:qFormat/>
    <w:uiPriority w:val="0"/>
    <w:pPr>
      <w:spacing w:line="360" w:lineRule="auto"/>
      <w:ind w:firstLine="480" w:firstLineChars="200"/>
    </w:pPr>
    <w:rPr>
      <w:color w:val="000000"/>
      <w:kern w:val="0"/>
      <w:sz w:val="24"/>
    </w:rPr>
  </w:style>
  <w:style w:type="character" w:customStyle="1" w:styleId="1004">
    <w:name w:val="标题 3 Char2"/>
    <w:autoRedefine/>
    <w:qFormat/>
    <w:uiPriority w:val="0"/>
    <w:rPr>
      <w:rFonts w:eastAsia="宋体"/>
      <w:b/>
      <w:kern w:val="2"/>
      <w:sz w:val="24"/>
      <w:lang w:val="en-US" w:eastAsia="zh-CN" w:bidi="ar-SA"/>
    </w:rPr>
  </w:style>
  <w:style w:type="character" w:customStyle="1" w:styleId="1005">
    <w:name w:val="h31"/>
    <w:autoRedefine/>
    <w:qFormat/>
    <w:uiPriority w:val="0"/>
    <w:rPr>
      <w:rFonts w:cs="Times New Roman"/>
      <w:sz w:val="21"/>
      <w:szCs w:val="21"/>
    </w:rPr>
  </w:style>
  <w:style w:type="character" w:customStyle="1" w:styleId="1006">
    <w:name w:val="正文文本缩进 3 Char1"/>
    <w:autoRedefine/>
    <w:qFormat/>
    <w:uiPriority w:val="0"/>
    <w:rPr>
      <w:rFonts w:ascii="Times New Roman" w:hAnsi="Times New Roman" w:eastAsia="宋体" w:cs="Times New Roman"/>
      <w:kern w:val="0"/>
      <w:sz w:val="16"/>
      <w:szCs w:val="16"/>
    </w:rPr>
  </w:style>
  <w:style w:type="character" w:customStyle="1" w:styleId="1007">
    <w:name w:val="表后文 Char"/>
    <w:link w:val="1008"/>
    <w:autoRedefine/>
    <w:qFormat/>
    <w:uiPriority w:val="0"/>
    <w:rPr>
      <w:rFonts w:eastAsia="楷体_GB2312"/>
      <w:spacing w:val="8"/>
      <w:sz w:val="28"/>
    </w:rPr>
  </w:style>
  <w:style w:type="paragraph" w:customStyle="1" w:styleId="1008">
    <w:name w:val="表后文"/>
    <w:basedOn w:val="1"/>
    <w:link w:val="1007"/>
    <w:autoRedefine/>
    <w:qFormat/>
    <w:uiPriority w:val="0"/>
    <w:pPr>
      <w:adjustRightInd w:val="0"/>
      <w:spacing w:before="120" w:line="400" w:lineRule="exact"/>
      <w:ind w:firstLine="601"/>
      <w:textAlignment w:val="baseline"/>
    </w:pPr>
    <w:rPr>
      <w:rFonts w:eastAsia="楷体_GB2312"/>
      <w:spacing w:val="8"/>
      <w:kern w:val="0"/>
      <w:sz w:val="28"/>
      <w:szCs w:val="20"/>
    </w:rPr>
  </w:style>
  <w:style w:type="character" w:customStyle="1" w:styleId="1009">
    <w:name w:val="chang正文 Char"/>
    <w:link w:val="1010"/>
    <w:autoRedefine/>
    <w:qFormat/>
    <w:uiPriority w:val="0"/>
    <w:rPr>
      <w:sz w:val="24"/>
      <w:szCs w:val="24"/>
    </w:rPr>
  </w:style>
  <w:style w:type="paragraph" w:customStyle="1" w:styleId="1010">
    <w:name w:val="chang正文"/>
    <w:basedOn w:val="1"/>
    <w:link w:val="1009"/>
    <w:autoRedefine/>
    <w:qFormat/>
    <w:uiPriority w:val="0"/>
    <w:pPr>
      <w:spacing w:line="360" w:lineRule="auto"/>
      <w:ind w:firstLine="200" w:firstLineChars="200"/>
    </w:pPr>
    <w:rPr>
      <w:kern w:val="0"/>
      <w:sz w:val="24"/>
    </w:rPr>
  </w:style>
  <w:style w:type="character" w:customStyle="1" w:styleId="1011">
    <w:name w:val="正文文本 3 字符"/>
    <w:autoRedefine/>
    <w:qFormat/>
    <w:uiPriority w:val="0"/>
    <w:rPr>
      <w:rFonts w:ascii="Times New Roman" w:hAnsi="Times New Roman" w:eastAsia="宋体" w:cs="Times New Roman"/>
      <w:color w:val="FF0000"/>
      <w:kern w:val="0"/>
      <w:sz w:val="24"/>
      <w:szCs w:val="20"/>
      <w:lang w:val="en-JM"/>
    </w:rPr>
  </w:style>
  <w:style w:type="character" w:customStyle="1" w:styleId="1012">
    <w:name w:val="正文(首行缩进) Char1"/>
    <w:autoRedefine/>
    <w:qFormat/>
    <w:uiPriority w:val="0"/>
    <w:rPr>
      <w:rFonts w:eastAsia="宋体"/>
      <w:snapToGrid/>
      <w:color w:val="000000"/>
      <w:sz w:val="24"/>
      <w:szCs w:val="24"/>
      <w:lang w:val="en-US" w:eastAsia="zh-CN" w:bidi="ar-SA"/>
    </w:rPr>
  </w:style>
  <w:style w:type="character" w:customStyle="1" w:styleId="1013">
    <w:name w:val="样式 标题 1 + (西文) Times New Roman (中文) 宋体 Char"/>
    <w:link w:val="1014"/>
    <w:autoRedefine/>
    <w:qFormat/>
    <w:uiPriority w:val="0"/>
    <w:rPr>
      <w:rFonts w:ascii="楷体_GB2312" w:hAnsi="宋体"/>
      <w:b/>
      <w:bCs/>
      <w:color w:val="FF0000"/>
      <w:kern w:val="44"/>
      <w:sz w:val="32"/>
    </w:rPr>
  </w:style>
  <w:style w:type="paragraph" w:customStyle="1" w:styleId="1014">
    <w:name w:val="样式 标题 1 + (西文) Times New Roman (中文) 宋体"/>
    <w:basedOn w:val="3"/>
    <w:link w:val="1013"/>
    <w:autoRedefine/>
    <w:qFormat/>
    <w:uiPriority w:val="0"/>
    <w:pPr>
      <w:keepLines/>
      <w:overflowPunct/>
      <w:snapToGrid/>
      <w:spacing w:before="340" w:after="330" w:line="360" w:lineRule="auto"/>
      <w:ind w:left="0" w:firstLine="0"/>
      <w:jc w:val="center"/>
    </w:pPr>
    <w:rPr>
      <w:rFonts w:ascii="楷体_GB2312" w:hAnsi="宋体" w:eastAsia="宋体"/>
      <w:color w:val="FF0000"/>
      <w:sz w:val="32"/>
      <w:szCs w:val="20"/>
    </w:rPr>
  </w:style>
  <w:style w:type="character" w:customStyle="1" w:styleId="1015">
    <w:name w:val="不明显强调2"/>
    <w:autoRedefine/>
    <w:qFormat/>
    <w:uiPriority w:val="0"/>
    <w:rPr>
      <w:rFonts w:hint="eastAsia" w:ascii="宋体" w:hAnsi="宋体" w:eastAsia="宋体"/>
      <w:i/>
      <w:iCs/>
      <w:color w:val="808080"/>
      <w:kern w:val="2"/>
      <w:sz w:val="21"/>
      <w:szCs w:val="21"/>
      <w:lang w:val="en-US" w:eastAsia="zh-CN" w:bidi="ar-SA"/>
    </w:rPr>
  </w:style>
  <w:style w:type="character" w:customStyle="1" w:styleId="1016">
    <w:name w:val="前言、引言标题 Char"/>
    <w:link w:val="1017"/>
    <w:autoRedefine/>
    <w:qFormat/>
    <w:uiPriority w:val="0"/>
    <w:rPr>
      <w:rFonts w:ascii="黑体" w:eastAsia="黑体"/>
      <w:sz w:val="32"/>
      <w:shd w:val="clear" w:color="FFFFFF" w:fill="FFFFFF"/>
    </w:rPr>
  </w:style>
  <w:style w:type="paragraph" w:customStyle="1" w:styleId="1017">
    <w:name w:val="前言、引言标题"/>
    <w:next w:val="1"/>
    <w:link w:val="1016"/>
    <w:autoRedefine/>
    <w:qFormat/>
    <w:uiPriority w:val="0"/>
    <w:pPr>
      <w:shd w:val="clear" w:color="FFFFFF" w:fill="FFFFFF"/>
      <w:tabs>
        <w:tab w:val="left" w:pos="903"/>
      </w:tabs>
      <w:spacing w:before="640" w:after="560"/>
      <w:ind w:left="903" w:hanging="315"/>
      <w:jc w:val="center"/>
      <w:outlineLvl w:val="0"/>
    </w:pPr>
    <w:rPr>
      <w:rFonts w:ascii="黑体" w:hAnsi="Times New Roman" w:eastAsia="黑体" w:cs="Times New Roman"/>
      <w:sz w:val="32"/>
      <w:lang w:val="en-US" w:eastAsia="zh-CN" w:bidi="ar-SA"/>
    </w:rPr>
  </w:style>
  <w:style w:type="character" w:customStyle="1" w:styleId="1018">
    <w:name w:val="参数解释 Char"/>
    <w:link w:val="1019"/>
    <w:autoRedefine/>
    <w:qFormat/>
    <w:uiPriority w:val="0"/>
    <w:rPr>
      <w:rFonts w:cs="宋体"/>
      <w:sz w:val="24"/>
    </w:rPr>
  </w:style>
  <w:style w:type="paragraph" w:customStyle="1" w:styleId="1019">
    <w:name w:val="参数解释"/>
    <w:basedOn w:val="842"/>
    <w:link w:val="1018"/>
    <w:autoRedefine/>
    <w:qFormat/>
    <w:uiPriority w:val="0"/>
    <w:pPr>
      <w:ind w:firstLine="1274" w:firstLineChars="531"/>
    </w:pPr>
    <w:rPr>
      <w:rFonts w:cs="宋体"/>
    </w:rPr>
  </w:style>
  <w:style w:type="character" w:customStyle="1" w:styleId="1020">
    <w:name w:val="标题1.1 Char"/>
    <w:link w:val="1021"/>
    <w:autoRedefine/>
    <w:qFormat/>
    <w:uiPriority w:val="0"/>
    <w:rPr>
      <w:rFonts w:ascii="黑体" w:eastAsia="黑体"/>
      <w:color w:val="000000"/>
      <w:sz w:val="32"/>
      <w:szCs w:val="32"/>
    </w:rPr>
  </w:style>
  <w:style w:type="paragraph" w:customStyle="1" w:styleId="1021">
    <w:name w:val="标题1.1"/>
    <w:basedOn w:val="1"/>
    <w:link w:val="1020"/>
    <w:autoRedefine/>
    <w:qFormat/>
    <w:uiPriority w:val="0"/>
    <w:pPr>
      <w:spacing w:beforeLines="50" w:afterLines="50" w:line="360" w:lineRule="auto"/>
      <w:outlineLvl w:val="1"/>
    </w:pPr>
    <w:rPr>
      <w:rFonts w:ascii="黑体" w:eastAsia="黑体"/>
      <w:color w:val="000000"/>
      <w:kern w:val="0"/>
      <w:sz w:val="32"/>
      <w:szCs w:val="32"/>
    </w:rPr>
  </w:style>
  <w:style w:type="character" w:customStyle="1" w:styleId="1022">
    <w:name w:val="你的正文 Char Char"/>
    <w:autoRedefine/>
    <w:qFormat/>
    <w:uiPriority w:val="0"/>
    <w:rPr>
      <w:rFonts w:ascii="宋体" w:hAnsi="宋体" w:eastAsia="宋体"/>
      <w:color w:val="000000"/>
      <w:kern w:val="0"/>
      <w:sz w:val="28"/>
    </w:rPr>
  </w:style>
  <w:style w:type="character" w:customStyle="1" w:styleId="1023">
    <w:name w:val="正文5 Char"/>
    <w:link w:val="1024"/>
    <w:autoRedefine/>
    <w:qFormat/>
    <w:uiPriority w:val="0"/>
    <w:rPr>
      <w:rFonts w:ascii="宋体"/>
      <w:sz w:val="24"/>
    </w:rPr>
  </w:style>
  <w:style w:type="paragraph" w:customStyle="1" w:styleId="1024">
    <w:name w:val="正文5"/>
    <w:link w:val="1023"/>
    <w:autoRedefine/>
    <w:qFormat/>
    <w:uiPriority w:val="0"/>
    <w:pPr>
      <w:widowControl w:val="0"/>
      <w:adjustRightInd w:val="0"/>
      <w:spacing w:line="360" w:lineRule="atLeast"/>
    </w:pPr>
    <w:rPr>
      <w:rFonts w:ascii="宋体" w:hAnsi="Times New Roman" w:eastAsia="宋体" w:cs="Times New Roman"/>
      <w:sz w:val="24"/>
      <w:lang w:val="en-US" w:eastAsia="zh-CN" w:bidi="ar-SA"/>
    </w:rPr>
  </w:style>
  <w:style w:type="character" w:customStyle="1" w:styleId="1025">
    <w:name w:val="页脚 字符1"/>
    <w:autoRedefine/>
    <w:qFormat/>
    <w:locked/>
    <w:uiPriority w:val="0"/>
    <w:rPr>
      <w:sz w:val="18"/>
      <w:szCs w:val="18"/>
    </w:rPr>
  </w:style>
  <w:style w:type="character" w:customStyle="1" w:styleId="1026">
    <w:name w:val="Char Char Char Char21"/>
    <w:link w:val="1027"/>
    <w:autoRedefine/>
    <w:qFormat/>
    <w:uiPriority w:val="0"/>
    <w:rPr>
      <w:kern w:val="2"/>
      <w:sz w:val="24"/>
      <w:szCs w:val="24"/>
    </w:rPr>
  </w:style>
  <w:style w:type="paragraph" w:customStyle="1" w:styleId="1027">
    <w:name w:val="Char Char Char2"/>
    <w:basedOn w:val="1"/>
    <w:link w:val="1026"/>
    <w:autoRedefine/>
    <w:qFormat/>
    <w:uiPriority w:val="0"/>
    <w:rPr>
      <w:sz w:val="24"/>
    </w:rPr>
  </w:style>
  <w:style w:type="character" w:customStyle="1" w:styleId="1028">
    <w:name w:val="style91"/>
    <w:autoRedefine/>
    <w:qFormat/>
    <w:uiPriority w:val="0"/>
    <w:rPr>
      <w:sz w:val="21"/>
      <w:szCs w:val="21"/>
    </w:rPr>
  </w:style>
  <w:style w:type="character" w:customStyle="1" w:styleId="1029">
    <w:name w:val="Body Text Char"/>
    <w:autoRedefine/>
    <w:qFormat/>
    <w:locked/>
    <w:uiPriority w:val="0"/>
    <w:rPr>
      <w:rFonts w:ascii="仿宋_GB2312" w:hAnsi="Times New Roman" w:eastAsia="仿宋_GB2312" w:cs="Times New Roman"/>
      <w:sz w:val="20"/>
      <w:szCs w:val="20"/>
    </w:rPr>
  </w:style>
  <w:style w:type="character" w:customStyle="1" w:styleId="1030">
    <w:name w:val="正文首行缩进 Char1"/>
    <w:autoRedefine/>
    <w:qFormat/>
    <w:uiPriority w:val="0"/>
    <w:rPr>
      <w:rFonts w:ascii="Times New Roman" w:hAnsi="Times New Roman" w:eastAsia="宋体" w:cs="Times New Roman"/>
      <w:kern w:val="0"/>
      <w:sz w:val="20"/>
      <w:szCs w:val="20"/>
    </w:rPr>
  </w:style>
  <w:style w:type="character" w:customStyle="1" w:styleId="1031">
    <w:name w:val="dan7-1 Char"/>
    <w:link w:val="1032"/>
    <w:autoRedefine/>
    <w:qFormat/>
    <w:uiPriority w:val="0"/>
    <w:rPr>
      <w:sz w:val="24"/>
      <w:szCs w:val="24"/>
    </w:rPr>
  </w:style>
  <w:style w:type="paragraph" w:customStyle="1" w:styleId="1032">
    <w:name w:val="dan7-1"/>
    <w:basedOn w:val="1"/>
    <w:link w:val="1031"/>
    <w:autoRedefine/>
    <w:qFormat/>
    <w:uiPriority w:val="0"/>
    <w:pPr>
      <w:spacing w:before="40" w:after="40" w:line="360" w:lineRule="auto"/>
      <w:ind w:firstLine="200" w:firstLineChars="200"/>
    </w:pPr>
    <w:rPr>
      <w:kern w:val="0"/>
      <w:sz w:val="24"/>
    </w:rPr>
  </w:style>
  <w:style w:type="character" w:customStyle="1" w:styleId="1033">
    <w:name w:val="goog_qs-tidbit goog_qs-tidbit-0"/>
    <w:autoRedefine/>
    <w:qFormat/>
    <w:uiPriority w:val="0"/>
    <w:rPr>
      <w:rFonts w:cs="Times New Roman"/>
    </w:rPr>
  </w:style>
  <w:style w:type="character" w:customStyle="1" w:styleId="1034">
    <w:name w:val="文档结构图 字符1"/>
    <w:autoRedefine/>
    <w:qFormat/>
    <w:locked/>
    <w:uiPriority w:val="0"/>
    <w:rPr>
      <w:kern w:val="2"/>
      <w:sz w:val="21"/>
      <w:szCs w:val="24"/>
    </w:rPr>
  </w:style>
  <w:style w:type="character" w:customStyle="1" w:styleId="1035">
    <w:name w:val="Char Char125"/>
    <w:autoRedefine/>
    <w:qFormat/>
    <w:locked/>
    <w:uiPriority w:val="0"/>
    <w:rPr>
      <w:rFonts w:eastAsia="宋体"/>
      <w:sz w:val="24"/>
      <w:lang w:val="en-US" w:eastAsia="zh-CN" w:bidi="ar-SA"/>
    </w:rPr>
  </w:style>
  <w:style w:type="character" w:customStyle="1" w:styleId="1036">
    <w:name w:val="Char Char216"/>
    <w:autoRedefine/>
    <w:qFormat/>
    <w:uiPriority w:val="0"/>
    <w:rPr>
      <w:rFonts w:eastAsia="宋体"/>
      <w:sz w:val="18"/>
      <w:lang w:val="en-US" w:eastAsia="zh-CN" w:bidi="ar-SA"/>
    </w:rPr>
  </w:style>
  <w:style w:type="character" w:customStyle="1" w:styleId="1037">
    <w:name w:val="Char Char Char Char Char Char Char Char1"/>
    <w:autoRedefine/>
    <w:qFormat/>
    <w:uiPriority w:val="0"/>
    <w:rPr>
      <w:rFonts w:ascii="仿宋_GB2312" w:eastAsia="仿宋_GB2312"/>
      <w:sz w:val="28"/>
      <w:lang w:val="en-US" w:eastAsia="zh-CN" w:bidi="ar-SA"/>
    </w:rPr>
  </w:style>
  <w:style w:type="character" w:customStyle="1" w:styleId="1038">
    <w:name w:val="样式51"/>
    <w:autoRedefine/>
    <w:qFormat/>
    <w:uiPriority w:val="0"/>
    <w:rPr>
      <w:color w:val="FF0000"/>
    </w:rPr>
  </w:style>
  <w:style w:type="character" w:customStyle="1" w:styleId="1039">
    <w:name w:val="标题 7 字符1"/>
    <w:autoRedefine/>
    <w:qFormat/>
    <w:locked/>
    <w:uiPriority w:val="0"/>
    <w:rPr>
      <w:b/>
      <w:bCs/>
      <w:kern w:val="2"/>
      <w:sz w:val="24"/>
      <w:szCs w:val="24"/>
    </w:rPr>
  </w:style>
  <w:style w:type="character" w:customStyle="1" w:styleId="1040">
    <w:name w:val="f_heading1"/>
    <w:autoRedefine/>
    <w:qFormat/>
    <w:uiPriority w:val="0"/>
    <w:rPr>
      <w:rFonts w:cs="Times New Roman"/>
    </w:rPr>
  </w:style>
  <w:style w:type="character" w:customStyle="1" w:styleId="1041">
    <w:name w:val="c3 Char Char"/>
    <w:link w:val="1042"/>
    <w:autoRedefine/>
    <w:qFormat/>
    <w:uiPriority w:val="0"/>
    <w:rPr>
      <w:rFonts w:ascii="宋体" w:hAnsi="宋体"/>
      <w:b/>
      <w:sz w:val="28"/>
      <w:szCs w:val="28"/>
    </w:rPr>
  </w:style>
  <w:style w:type="paragraph" w:customStyle="1" w:styleId="1042">
    <w:name w:val="c3"/>
    <w:basedOn w:val="1"/>
    <w:link w:val="1041"/>
    <w:autoRedefine/>
    <w:qFormat/>
    <w:uiPriority w:val="0"/>
    <w:pPr>
      <w:widowControl/>
      <w:adjustRightInd w:val="0"/>
      <w:spacing w:beforeLines="50" w:afterLines="50" w:line="360" w:lineRule="auto"/>
      <w:ind w:firstLine="843" w:firstLineChars="300"/>
      <w:jc w:val="left"/>
      <w:outlineLvl w:val="2"/>
    </w:pPr>
    <w:rPr>
      <w:rFonts w:ascii="宋体" w:hAnsi="宋体"/>
      <w:b/>
      <w:kern w:val="0"/>
      <w:sz w:val="28"/>
      <w:szCs w:val="28"/>
    </w:rPr>
  </w:style>
  <w:style w:type="character" w:customStyle="1" w:styleId="1043">
    <w:name w:val="Char Char218"/>
    <w:autoRedefine/>
    <w:qFormat/>
    <w:uiPriority w:val="0"/>
    <w:rPr>
      <w:rFonts w:eastAsia="宋体"/>
      <w:sz w:val="18"/>
      <w:lang w:val="en-US" w:eastAsia="zh-CN" w:bidi="ar-SA"/>
    </w:rPr>
  </w:style>
  <w:style w:type="character" w:customStyle="1" w:styleId="1044">
    <w:name w:val="目录2 Char Char1"/>
    <w:autoRedefine/>
    <w:qFormat/>
    <w:uiPriority w:val="0"/>
    <w:rPr>
      <w:rFonts w:ascii="Calibri" w:hAnsi="Calibri" w:cs="Times New Roman"/>
      <w:b/>
      <w:bCs/>
      <w:caps/>
      <w:kern w:val="2"/>
    </w:rPr>
  </w:style>
  <w:style w:type="character" w:customStyle="1" w:styleId="1045">
    <w:name w:val="td1"/>
    <w:autoRedefine/>
    <w:qFormat/>
    <w:uiPriority w:val="0"/>
    <w:rPr>
      <w:rFonts w:cs="Times New Roman"/>
      <w:color w:val="000000"/>
      <w:sz w:val="21"/>
      <w:szCs w:val="21"/>
    </w:rPr>
  </w:style>
  <w:style w:type="character" w:customStyle="1" w:styleId="1046">
    <w:name w:val="ft"/>
    <w:autoRedefine/>
    <w:qFormat/>
    <w:uiPriority w:val="0"/>
    <w:rPr>
      <w:rFonts w:cs="Times New Roman"/>
    </w:rPr>
  </w:style>
  <w:style w:type="character" w:customStyle="1" w:styleId="1047">
    <w:name w:val="正文（lulu四号字） Char Char"/>
    <w:autoRedefine/>
    <w:qFormat/>
    <w:uiPriority w:val="0"/>
    <w:rPr>
      <w:rFonts w:ascii="宋体" w:hAnsi="宋体" w:eastAsia="宋体" w:cs="宋体"/>
      <w:kern w:val="2"/>
      <w:sz w:val="28"/>
      <w:lang w:val="en-US" w:eastAsia="zh-CN" w:bidi="ar-SA"/>
    </w:rPr>
  </w:style>
  <w:style w:type="character" w:customStyle="1" w:styleId="1048">
    <w:name w:val="ourfont3"/>
    <w:autoRedefine/>
    <w:qFormat/>
    <w:uiPriority w:val="0"/>
  </w:style>
  <w:style w:type="character" w:customStyle="1" w:styleId="1049">
    <w:name w:val="Char Char199"/>
    <w:autoRedefine/>
    <w:qFormat/>
    <w:uiPriority w:val="0"/>
    <w:rPr>
      <w:rFonts w:eastAsia="宋体"/>
      <w:kern w:val="2"/>
      <w:sz w:val="21"/>
      <w:szCs w:val="24"/>
      <w:lang w:val="en-US" w:eastAsia="zh-CN" w:bidi="ar-SA"/>
    </w:rPr>
  </w:style>
  <w:style w:type="character" w:customStyle="1" w:styleId="1050">
    <w:name w:val="正文文本 3 Char1"/>
    <w:autoRedefine/>
    <w:qFormat/>
    <w:uiPriority w:val="0"/>
    <w:rPr>
      <w:rFonts w:ascii="Times New Roman" w:hAnsi="Times New Roman" w:eastAsia="宋体" w:cs="Times New Roman"/>
      <w:kern w:val="0"/>
      <w:sz w:val="16"/>
      <w:szCs w:val="16"/>
    </w:rPr>
  </w:style>
  <w:style w:type="character" w:customStyle="1" w:styleId="1051">
    <w:name w:val="标题 1 字符"/>
    <w:autoRedefine/>
    <w:qFormat/>
    <w:uiPriority w:val="0"/>
    <w:rPr>
      <w:rFonts w:ascii="Times New Roman" w:hAnsi="Times New Roman" w:eastAsia="宋体" w:cs="Times New Roman"/>
      <w:b/>
      <w:bCs/>
      <w:kern w:val="44"/>
      <w:sz w:val="44"/>
      <w:szCs w:val="44"/>
    </w:rPr>
  </w:style>
  <w:style w:type="character" w:customStyle="1" w:styleId="1052">
    <w:name w:val="Heading 2 Char"/>
    <w:autoRedefine/>
    <w:qFormat/>
    <w:locked/>
    <w:uiPriority w:val="0"/>
    <w:rPr>
      <w:rFonts w:ascii="Cambria" w:hAnsi="Cambria" w:eastAsia="宋体" w:cs="Times New Roman"/>
      <w:b/>
      <w:bCs/>
      <w:i/>
      <w:iCs/>
      <w:kern w:val="0"/>
      <w:sz w:val="28"/>
      <w:szCs w:val="28"/>
    </w:rPr>
  </w:style>
  <w:style w:type="character" w:customStyle="1" w:styleId="1053">
    <w:name w:val="标题1 Char"/>
    <w:link w:val="1054"/>
    <w:autoRedefine/>
    <w:qFormat/>
    <w:uiPriority w:val="0"/>
    <w:rPr>
      <w:rFonts w:eastAsia="黑体"/>
      <w:sz w:val="44"/>
      <w:szCs w:val="44"/>
    </w:rPr>
  </w:style>
  <w:style w:type="paragraph" w:customStyle="1" w:styleId="1054">
    <w:name w:val="标题13"/>
    <w:basedOn w:val="1"/>
    <w:link w:val="1053"/>
    <w:autoRedefine/>
    <w:qFormat/>
    <w:uiPriority w:val="0"/>
    <w:pPr>
      <w:spacing w:after="240"/>
      <w:outlineLvl w:val="0"/>
    </w:pPr>
    <w:rPr>
      <w:rFonts w:eastAsia="黑体"/>
      <w:kern w:val="0"/>
      <w:sz w:val="44"/>
      <w:szCs w:val="44"/>
    </w:rPr>
  </w:style>
  <w:style w:type="character" w:customStyle="1" w:styleId="1055">
    <w:name w:val="信息标题 字符1"/>
    <w:autoRedefine/>
    <w:qFormat/>
    <w:locked/>
    <w:uiPriority w:val="0"/>
    <w:rPr>
      <w:rFonts w:ascii="Arial" w:hAnsi="Arial" w:eastAsia="仿宋_GB2312" w:cs="Arial"/>
      <w:shd w:val="pct20" w:color="auto" w:fill="auto"/>
    </w:rPr>
  </w:style>
  <w:style w:type="character" w:customStyle="1" w:styleId="1056">
    <w:name w:val="样式 Default + (符号) 宋体 四号 行距: 1.5 倍行距 Char"/>
    <w:link w:val="1057"/>
    <w:autoRedefine/>
    <w:qFormat/>
    <w:locked/>
    <w:uiPriority w:val="0"/>
    <w:rPr>
      <w:rFonts w:ascii="宋体" w:hAnsi="宋体"/>
      <w:color w:val="000000"/>
      <w:sz w:val="28"/>
    </w:rPr>
  </w:style>
  <w:style w:type="paragraph" w:customStyle="1" w:styleId="1057">
    <w:name w:val="样式 Default + (符号) 宋体 四号 行距: 1.5 倍行距"/>
    <w:basedOn w:val="1"/>
    <w:link w:val="1056"/>
    <w:autoRedefine/>
    <w:qFormat/>
    <w:uiPriority w:val="0"/>
    <w:pPr>
      <w:autoSpaceDE w:val="0"/>
      <w:autoSpaceDN w:val="0"/>
      <w:adjustRightInd w:val="0"/>
      <w:spacing w:line="360" w:lineRule="auto"/>
      <w:ind w:firstLine="560" w:firstLineChars="200"/>
      <w:jc w:val="left"/>
    </w:pPr>
    <w:rPr>
      <w:rFonts w:ascii="宋体" w:hAnsi="宋体"/>
      <w:color w:val="000000"/>
      <w:kern w:val="0"/>
      <w:sz w:val="28"/>
      <w:szCs w:val="20"/>
    </w:rPr>
  </w:style>
  <w:style w:type="character" w:customStyle="1" w:styleId="1058">
    <w:name w:val="明显引用 Char"/>
    <w:link w:val="1059"/>
    <w:autoRedefine/>
    <w:qFormat/>
    <w:locked/>
    <w:uiPriority w:val="30"/>
    <w:rPr>
      <w:b/>
      <w:i/>
      <w:sz w:val="24"/>
    </w:rPr>
  </w:style>
  <w:style w:type="paragraph" w:customStyle="1" w:styleId="1059">
    <w:name w:val="明显引用1"/>
    <w:basedOn w:val="1"/>
    <w:next w:val="1"/>
    <w:link w:val="1058"/>
    <w:autoRedefine/>
    <w:qFormat/>
    <w:uiPriority w:val="30"/>
    <w:pPr>
      <w:widowControl/>
      <w:ind w:left="720" w:right="720"/>
      <w:jc w:val="left"/>
    </w:pPr>
    <w:rPr>
      <w:b/>
      <w:i/>
      <w:kern w:val="0"/>
      <w:sz w:val="24"/>
      <w:szCs w:val="20"/>
    </w:rPr>
  </w:style>
  <w:style w:type="character" w:customStyle="1" w:styleId="1060">
    <w:name w:val="标题 1 Char3"/>
    <w:autoRedefine/>
    <w:qFormat/>
    <w:uiPriority w:val="0"/>
    <w:rPr>
      <w:rFonts w:ascii="宋体" w:hAnsi="Courier New" w:eastAsia="宋体"/>
      <w:b/>
      <w:kern w:val="44"/>
      <w:sz w:val="44"/>
      <w:lang w:val="en-US" w:eastAsia="zh-CN" w:bidi="ar-SA"/>
    </w:rPr>
  </w:style>
  <w:style w:type="character" w:customStyle="1" w:styleId="1061">
    <w:name w:val="hit"/>
    <w:autoRedefine/>
    <w:qFormat/>
    <w:uiPriority w:val="0"/>
    <w:rPr>
      <w:rFonts w:cs="Times New Roman"/>
    </w:rPr>
  </w:style>
  <w:style w:type="character" w:customStyle="1" w:styleId="1062">
    <w:name w:val="open-answer-bar2"/>
    <w:autoRedefine/>
    <w:qFormat/>
    <w:uiPriority w:val="0"/>
  </w:style>
  <w:style w:type="character" w:customStyle="1" w:styleId="1063">
    <w:name w:val="日期 Char2"/>
    <w:autoRedefine/>
    <w:qFormat/>
    <w:uiPriority w:val="0"/>
    <w:rPr>
      <w:rFonts w:hint="default" w:ascii="Times New Roman" w:hAnsi="Times New Roman" w:eastAsia="宋体" w:cs="Times New Roman"/>
      <w:kern w:val="0"/>
      <w:sz w:val="24"/>
      <w:szCs w:val="20"/>
    </w:rPr>
  </w:style>
  <w:style w:type="character" w:customStyle="1" w:styleId="1064">
    <w:name w:val="font141"/>
    <w:autoRedefine/>
    <w:qFormat/>
    <w:uiPriority w:val="0"/>
    <w:rPr>
      <w:rFonts w:hint="default"/>
      <w:color w:val="000000"/>
    </w:rPr>
  </w:style>
  <w:style w:type="character" w:customStyle="1" w:styleId="1065">
    <w:name w:val="pt14"/>
    <w:autoRedefine/>
    <w:qFormat/>
    <w:uiPriority w:val="0"/>
  </w:style>
  <w:style w:type="character" w:customStyle="1" w:styleId="1066">
    <w:name w:val="标题1改 Char"/>
    <w:link w:val="1067"/>
    <w:autoRedefine/>
    <w:qFormat/>
    <w:uiPriority w:val="0"/>
    <w:rPr>
      <w:rFonts w:ascii="黑体" w:hAnsi="黑体" w:eastAsia="黑体"/>
      <w:bCs/>
      <w:kern w:val="44"/>
      <w:sz w:val="36"/>
      <w:szCs w:val="32"/>
    </w:rPr>
  </w:style>
  <w:style w:type="paragraph" w:customStyle="1" w:styleId="1067">
    <w:name w:val="标题1改"/>
    <w:basedOn w:val="3"/>
    <w:link w:val="1066"/>
    <w:autoRedefine/>
    <w:qFormat/>
    <w:uiPriority w:val="0"/>
    <w:pPr>
      <w:keepLines/>
      <w:overflowPunct/>
      <w:snapToGrid/>
      <w:spacing w:before="10" w:after="10" w:line="1000" w:lineRule="exact"/>
      <w:ind w:left="0" w:firstLine="0"/>
      <w:jc w:val="center"/>
    </w:pPr>
    <w:rPr>
      <w:rFonts w:ascii="黑体" w:hAnsi="黑体"/>
      <w:b w:val="0"/>
      <w:color w:val="auto"/>
      <w:sz w:val="36"/>
      <w:szCs w:val="32"/>
    </w:rPr>
  </w:style>
  <w:style w:type="character" w:customStyle="1" w:styleId="1068">
    <w:name w:val="页脚 Char2"/>
    <w:autoRedefine/>
    <w:qFormat/>
    <w:uiPriority w:val="0"/>
    <w:rPr>
      <w:rFonts w:ascii="宋体" w:hAnsi="宋体" w:eastAsia="宋体"/>
      <w:kern w:val="2"/>
      <w:sz w:val="18"/>
      <w:szCs w:val="18"/>
      <w:lang w:val="en-US" w:eastAsia="zh-CN" w:bidi="ar-SA"/>
    </w:rPr>
  </w:style>
  <w:style w:type="character" w:customStyle="1" w:styleId="1069">
    <w:name w:val="z-窗体底端 字符"/>
    <w:link w:val="1070"/>
    <w:autoRedefine/>
    <w:qFormat/>
    <w:uiPriority w:val="0"/>
    <w:rPr>
      <w:rFonts w:ascii="Arial" w:hAnsi="Arial" w:eastAsia="Arial Unicode MS"/>
      <w:vanish/>
      <w:sz w:val="16"/>
      <w:szCs w:val="16"/>
    </w:rPr>
  </w:style>
  <w:style w:type="paragraph" w:customStyle="1" w:styleId="1070">
    <w:name w:val="z-窗体底端1"/>
    <w:basedOn w:val="1"/>
    <w:next w:val="1"/>
    <w:link w:val="1069"/>
    <w:autoRedefine/>
    <w:qFormat/>
    <w:uiPriority w:val="0"/>
    <w:pPr>
      <w:widowControl/>
      <w:pBdr>
        <w:top w:val="single" w:color="auto" w:sz="6" w:space="1"/>
      </w:pBdr>
      <w:jc w:val="center"/>
    </w:pPr>
    <w:rPr>
      <w:rFonts w:ascii="Arial" w:hAnsi="Arial" w:eastAsia="Arial Unicode MS"/>
      <w:vanish/>
      <w:kern w:val="0"/>
      <w:sz w:val="16"/>
      <w:szCs w:val="16"/>
    </w:rPr>
  </w:style>
  <w:style w:type="character" w:customStyle="1" w:styleId="1071">
    <w:name w:val="css-text3"/>
    <w:autoRedefine/>
    <w:qFormat/>
    <w:uiPriority w:val="0"/>
    <w:rPr>
      <w:rFonts w:cs="Times New Roman"/>
    </w:rPr>
  </w:style>
  <w:style w:type="character" w:customStyle="1" w:styleId="1072">
    <w:name w:val="Char Char Char Char Char Char Char Char"/>
    <w:autoRedefine/>
    <w:qFormat/>
    <w:uiPriority w:val="0"/>
    <w:rPr>
      <w:rFonts w:ascii="Times New Roman" w:hAnsi="Times New Roman" w:eastAsia="宋体"/>
      <w:sz w:val="24"/>
    </w:rPr>
  </w:style>
  <w:style w:type="character" w:customStyle="1" w:styleId="1073">
    <w:name w:val="Char Char Char Char Char Char Char5"/>
    <w:link w:val="1074"/>
    <w:autoRedefine/>
    <w:qFormat/>
    <w:uiPriority w:val="0"/>
    <w:rPr>
      <w:rFonts w:ascii="宋体" w:hAnsi="宋体"/>
      <w:sz w:val="24"/>
      <w:szCs w:val="24"/>
    </w:rPr>
  </w:style>
  <w:style w:type="paragraph" w:customStyle="1" w:styleId="1074">
    <w:name w:val="Char Char Char Char Char Char5"/>
    <w:basedOn w:val="1"/>
    <w:link w:val="1073"/>
    <w:autoRedefine/>
    <w:qFormat/>
    <w:uiPriority w:val="0"/>
    <w:rPr>
      <w:rFonts w:ascii="宋体" w:hAnsi="宋体"/>
      <w:kern w:val="0"/>
      <w:sz w:val="24"/>
    </w:rPr>
  </w:style>
  <w:style w:type="character" w:customStyle="1" w:styleId="1075">
    <w:name w:val="下标 Char"/>
    <w:link w:val="1076"/>
    <w:autoRedefine/>
    <w:qFormat/>
    <w:uiPriority w:val="0"/>
    <w:rPr>
      <w:rFonts w:ascii="宋体" w:hAnsi="宋体"/>
      <w:szCs w:val="21"/>
    </w:rPr>
  </w:style>
  <w:style w:type="paragraph" w:customStyle="1" w:styleId="1076">
    <w:name w:val="下标"/>
    <w:basedOn w:val="1"/>
    <w:link w:val="1075"/>
    <w:autoRedefine/>
    <w:qFormat/>
    <w:uiPriority w:val="0"/>
    <w:pPr>
      <w:widowControl/>
      <w:spacing w:line="500" w:lineRule="exact"/>
      <w:ind w:firstLine="570"/>
      <w:jc w:val="left"/>
    </w:pPr>
    <w:rPr>
      <w:rFonts w:ascii="宋体" w:hAnsi="宋体"/>
      <w:kern w:val="0"/>
      <w:sz w:val="20"/>
      <w:szCs w:val="21"/>
    </w:rPr>
  </w:style>
  <w:style w:type="character" w:customStyle="1" w:styleId="1077">
    <w:name w:val="postbody1"/>
    <w:autoRedefine/>
    <w:qFormat/>
    <w:uiPriority w:val="0"/>
    <w:rPr>
      <w:rFonts w:cs="Times New Roman"/>
      <w:sz w:val="22"/>
      <w:szCs w:val="22"/>
    </w:rPr>
  </w:style>
  <w:style w:type="character" w:customStyle="1" w:styleId="1078">
    <w:name w:val="表文字 Char"/>
    <w:link w:val="1079"/>
    <w:autoRedefine/>
    <w:qFormat/>
    <w:uiPriority w:val="0"/>
    <w:rPr>
      <w:rFonts w:ascii="宋体" w:hAnsi="宋体"/>
      <w:szCs w:val="21"/>
    </w:rPr>
  </w:style>
  <w:style w:type="paragraph" w:customStyle="1" w:styleId="1079">
    <w:name w:val="表文字"/>
    <w:basedOn w:val="71"/>
    <w:link w:val="1078"/>
    <w:autoRedefine/>
    <w:qFormat/>
    <w:uiPriority w:val="0"/>
    <w:pPr>
      <w:spacing w:before="0" w:beforeAutospacing="0" w:after="0" w:afterAutospacing="0"/>
      <w:jc w:val="center"/>
    </w:pPr>
    <w:rPr>
      <w:sz w:val="20"/>
      <w:szCs w:val="21"/>
    </w:rPr>
  </w:style>
  <w:style w:type="character" w:customStyle="1" w:styleId="1080">
    <w:name w:val="表格001 Char"/>
    <w:link w:val="1081"/>
    <w:autoRedefine/>
    <w:qFormat/>
    <w:uiPriority w:val="0"/>
  </w:style>
  <w:style w:type="paragraph" w:customStyle="1" w:styleId="1081">
    <w:name w:val="表格001"/>
    <w:basedOn w:val="1"/>
    <w:link w:val="1080"/>
    <w:autoRedefine/>
    <w:qFormat/>
    <w:uiPriority w:val="0"/>
    <w:pPr>
      <w:jc w:val="center"/>
    </w:pPr>
    <w:rPr>
      <w:kern w:val="0"/>
      <w:sz w:val="20"/>
      <w:szCs w:val="20"/>
    </w:rPr>
  </w:style>
  <w:style w:type="character" w:customStyle="1" w:styleId="1082">
    <w:name w:val="表格标题博泵 Char"/>
    <w:link w:val="1083"/>
    <w:autoRedefine/>
    <w:qFormat/>
    <w:uiPriority w:val="0"/>
    <w:rPr>
      <w:b/>
      <w:color w:val="000000"/>
    </w:rPr>
  </w:style>
  <w:style w:type="paragraph" w:customStyle="1" w:styleId="1083">
    <w:name w:val="表格标题博泵"/>
    <w:basedOn w:val="1"/>
    <w:link w:val="1082"/>
    <w:autoRedefine/>
    <w:qFormat/>
    <w:uiPriority w:val="0"/>
    <w:pPr>
      <w:adjustRightInd w:val="0"/>
      <w:snapToGrid w:val="0"/>
      <w:jc w:val="center"/>
      <w:textAlignment w:val="baseline"/>
    </w:pPr>
    <w:rPr>
      <w:b/>
      <w:color w:val="000000"/>
      <w:kern w:val="0"/>
      <w:sz w:val="20"/>
      <w:szCs w:val="20"/>
    </w:rPr>
  </w:style>
  <w:style w:type="character" w:customStyle="1" w:styleId="1084">
    <w:name w:val="hhcwt标题2 Char"/>
    <w:link w:val="1085"/>
    <w:autoRedefine/>
    <w:qFormat/>
    <w:uiPriority w:val="0"/>
    <w:rPr>
      <w:rFonts w:eastAsia="黑体"/>
      <w:sz w:val="32"/>
    </w:rPr>
  </w:style>
  <w:style w:type="paragraph" w:customStyle="1" w:styleId="1085">
    <w:name w:val="hhcwt标题2"/>
    <w:basedOn w:val="1"/>
    <w:link w:val="1084"/>
    <w:autoRedefine/>
    <w:qFormat/>
    <w:uiPriority w:val="0"/>
    <w:pPr>
      <w:keepNext/>
      <w:keepLines/>
      <w:spacing w:before="120" w:after="120" w:line="336" w:lineRule="auto"/>
      <w:outlineLvl w:val="1"/>
    </w:pPr>
    <w:rPr>
      <w:rFonts w:eastAsia="黑体"/>
      <w:kern w:val="0"/>
      <w:sz w:val="32"/>
      <w:szCs w:val="20"/>
    </w:rPr>
  </w:style>
  <w:style w:type="character" w:customStyle="1" w:styleId="1086">
    <w:name w:val="Char Char Char Char22"/>
    <w:link w:val="1087"/>
    <w:autoRedefine/>
    <w:qFormat/>
    <w:uiPriority w:val="0"/>
    <w:rPr>
      <w:kern w:val="2"/>
      <w:sz w:val="24"/>
      <w:szCs w:val="24"/>
    </w:rPr>
  </w:style>
  <w:style w:type="paragraph" w:customStyle="1" w:styleId="1087">
    <w:name w:val="Char Char Char3"/>
    <w:basedOn w:val="1"/>
    <w:link w:val="1086"/>
    <w:autoRedefine/>
    <w:qFormat/>
    <w:uiPriority w:val="0"/>
    <w:rPr>
      <w:sz w:val="24"/>
    </w:rPr>
  </w:style>
  <w:style w:type="character" w:customStyle="1" w:styleId="1088">
    <w:name w:val="标题5 Char"/>
    <w:link w:val="1089"/>
    <w:autoRedefine/>
    <w:qFormat/>
    <w:uiPriority w:val="0"/>
    <w:rPr>
      <w:rFonts w:ascii="宋体" w:hAnsi="宋体" w:cs="宋体"/>
      <w:b/>
      <w:kern w:val="2"/>
      <w:sz w:val="28"/>
      <w:szCs w:val="28"/>
      <w:lang w:val="zh-CN"/>
    </w:rPr>
  </w:style>
  <w:style w:type="paragraph" w:customStyle="1" w:styleId="1089">
    <w:name w:val="标题511"/>
    <w:basedOn w:val="1"/>
    <w:next w:val="1"/>
    <w:link w:val="1088"/>
    <w:autoRedefine/>
    <w:qFormat/>
    <w:uiPriority w:val="0"/>
    <w:pPr>
      <w:keepNext/>
      <w:spacing w:line="360" w:lineRule="auto"/>
      <w:ind w:firstLine="480" w:firstLineChars="200"/>
      <w:jc w:val="left"/>
      <w:outlineLvl w:val="4"/>
    </w:pPr>
    <w:rPr>
      <w:rFonts w:ascii="宋体" w:hAnsi="宋体" w:cs="宋体"/>
      <w:b/>
      <w:sz w:val="28"/>
      <w:szCs w:val="28"/>
      <w:lang w:val="zh-CN"/>
    </w:rPr>
  </w:style>
  <w:style w:type="character" w:customStyle="1" w:styleId="1090">
    <w:name w:val="报告标题3 Char"/>
    <w:link w:val="1091"/>
    <w:autoRedefine/>
    <w:qFormat/>
    <w:uiPriority w:val="0"/>
    <w:rPr>
      <w:b/>
      <w:bCs/>
      <w:color w:val="000000"/>
      <w:sz w:val="28"/>
      <w:szCs w:val="28"/>
    </w:rPr>
  </w:style>
  <w:style w:type="paragraph" w:customStyle="1" w:styleId="1091">
    <w:name w:val="报告标题3"/>
    <w:basedOn w:val="5"/>
    <w:link w:val="1090"/>
    <w:autoRedefine/>
    <w:qFormat/>
    <w:uiPriority w:val="0"/>
    <w:pPr>
      <w:tabs>
        <w:tab w:val="left" w:pos="1418"/>
      </w:tabs>
      <w:spacing w:before="60" w:after="60" w:line="360" w:lineRule="auto"/>
      <w:jc w:val="left"/>
    </w:pPr>
    <w:rPr>
      <w:color w:val="000000"/>
      <w:kern w:val="0"/>
      <w:sz w:val="28"/>
      <w:szCs w:val="28"/>
    </w:rPr>
  </w:style>
  <w:style w:type="character" w:customStyle="1" w:styleId="1092">
    <w:name w:val="HTML 代码11"/>
    <w:autoRedefine/>
    <w:qFormat/>
    <w:uiPriority w:val="0"/>
    <w:rPr>
      <w:rFonts w:hint="eastAsia" w:ascii="黑体" w:hAnsi="Courier New" w:eastAsia="黑体" w:cs="Courier New"/>
      <w:sz w:val="24"/>
      <w:szCs w:val="24"/>
    </w:rPr>
  </w:style>
  <w:style w:type="character" w:customStyle="1" w:styleId="1093">
    <w:name w:val="Char Char8"/>
    <w:autoRedefine/>
    <w:qFormat/>
    <w:locked/>
    <w:uiPriority w:val="0"/>
    <w:rPr>
      <w:rFonts w:ascii="宋体" w:hAnsi="Courier New" w:eastAsia="宋体"/>
      <w:sz w:val="21"/>
      <w:lang w:val="en-US" w:eastAsia="zh-CN" w:bidi="ar-SA"/>
    </w:rPr>
  </w:style>
  <w:style w:type="character" w:customStyle="1" w:styleId="1094">
    <w:name w:val="正文(首行缩进)宋旭峰 Char Char"/>
    <w:link w:val="1095"/>
    <w:autoRedefine/>
    <w:qFormat/>
    <w:uiPriority w:val="0"/>
    <w:rPr>
      <w:sz w:val="24"/>
      <w:szCs w:val="24"/>
    </w:rPr>
  </w:style>
  <w:style w:type="paragraph" w:customStyle="1" w:styleId="1095">
    <w:name w:val="正文(首行缩进)宋旭峰"/>
    <w:basedOn w:val="12"/>
    <w:link w:val="1094"/>
    <w:autoRedefine/>
    <w:qFormat/>
    <w:uiPriority w:val="0"/>
    <w:pPr>
      <w:spacing w:beforeLines="50" w:afterLines="50" w:line="360" w:lineRule="auto"/>
      <w:ind w:firstLine="440"/>
      <w:contextualSpacing/>
    </w:pPr>
    <w:rPr>
      <w:kern w:val="0"/>
      <w:sz w:val="24"/>
    </w:rPr>
  </w:style>
  <w:style w:type="character" w:customStyle="1" w:styleId="1096">
    <w:name w:val="汊河正文 Char"/>
    <w:link w:val="1097"/>
    <w:autoRedefine/>
    <w:qFormat/>
    <w:uiPriority w:val="0"/>
    <w:rPr>
      <w:sz w:val="24"/>
    </w:rPr>
  </w:style>
  <w:style w:type="paragraph" w:customStyle="1" w:styleId="1097">
    <w:name w:val="汊河正文"/>
    <w:basedOn w:val="1"/>
    <w:link w:val="1096"/>
    <w:autoRedefine/>
    <w:qFormat/>
    <w:uiPriority w:val="0"/>
    <w:pPr>
      <w:spacing w:line="480" w:lineRule="exact"/>
      <w:ind w:firstLine="480" w:firstLineChars="200"/>
    </w:pPr>
    <w:rPr>
      <w:kern w:val="0"/>
      <w:sz w:val="24"/>
      <w:szCs w:val="20"/>
    </w:rPr>
  </w:style>
  <w:style w:type="character" w:customStyle="1" w:styleId="1098">
    <w:name w:val="title_16px1"/>
    <w:autoRedefine/>
    <w:qFormat/>
    <w:uiPriority w:val="0"/>
    <w:rPr>
      <w:rFonts w:ascii="黑体" w:eastAsia="黑体" w:cs="Times New Roman"/>
      <w:color w:val="333333"/>
      <w:sz w:val="27"/>
      <w:szCs w:val="27"/>
    </w:rPr>
  </w:style>
  <w:style w:type="character" w:customStyle="1" w:styleId="1099">
    <w:name w:val="不明显参考1"/>
    <w:autoRedefine/>
    <w:qFormat/>
    <w:uiPriority w:val="31"/>
    <w:rPr>
      <w:rFonts w:cs="Times New Roman"/>
      <w:sz w:val="24"/>
      <w:szCs w:val="24"/>
      <w:u w:val="single"/>
    </w:rPr>
  </w:style>
  <w:style w:type="character" w:customStyle="1" w:styleId="1100">
    <w:name w:val="纯文本 字符"/>
    <w:autoRedefine/>
    <w:qFormat/>
    <w:uiPriority w:val="0"/>
    <w:rPr>
      <w:rFonts w:ascii="宋体" w:hAnsi="Courier New" w:eastAsia="宋体" w:cs="Courier New"/>
      <w:kern w:val="0"/>
      <w:szCs w:val="21"/>
    </w:rPr>
  </w:style>
  <w:style w:type="character" w:customStyle="1" w:styleId="1101">
    <w:name w:val="文本 Char"/>
    <w:link w:val="1102"/>
    <w:autoRedefine/>
    <w:qFormat/>
    <w:uiPriority w:val="99"/>
    <w:rPr>
      <w:rFonts w:ascii="宋体" w:hAnsi="宋体" w:eastAsia="楷体_GB2312"/>
      <w:sz w:val="28"/>
      <w:szCs w:val="24"/>
    </w:rPr>
  </w:style>
  <w:style w:type="paragraph" w:customStyle="1" w:styleId="1102">
    <w:name w:val="文本"/>
    <w:basedOn w:val="1"/>
    <w:link w:val="1101"/>
    <w:autoRedefine/>
    <w:qFormat/>
    <w:uiPriority w:val="99"/>
    <w:pPr>
      <w:widowControl/>
      <w:tabs>
        <w:tab w:val="left" w:pos="315"/>
        <w:tab w:val="left" w:pos="360"/>
      </w:tabs>
      <w:adjustRightInd w:val="0"/>
      <w:snapToGrid w:val="0"/>
      <w:spacing w:line="360" w:lineRule="auto"/>
      <w:ind w:left="360" w:hanging="360" w:firstLineChars="200"/>
      <w:jc w:val="left"/>
    </w:pPr>
    <w:rPr>
      <w:rFonts w:ascii="宋体" w:hAnsi="宋体" w:eastAsia="楷体_GB2312"/>
      <w:kern w:val="0"/>
      <w:sz w:val="28"/>
    </w:rPr>
  </w:style>
  <w:style w:type="character" w:customStyle="1" w:styleId="1103">
    <w:name w:val="样式 表格内容 + Times New Roman 小五 加粗 Char"/>
    <w:link w:val="1104"/>
    <w:autoRedefine/>
    <w:qFormat/>
    <w:uiPriority w:val="0"/>
    <w:rPr>
      <w:rFonts w:ascii="宋体" w:hAnsi="宋体" w:cs="宋体"/>
      <w:b/>
      <w:bCs/>
      <w:sz w:val="18"/>
    </w:rPr>
  </w:style>
  <w:style w:type="paragraph" w:customStyle="1" w:styleId="1104">
    <w:name w:val="样式 表格内容 + Times New Roman 小五 加粗"/>
    <w:basedOn w:val="320"/>
    <w:link w:val="1103"/>
    <w:autoRedefine/>
    <w:qFormat/>
    <w:uiPriority w:val="0"/>
    <w:rPr>
      <w:b/>
      <w:bCs/>
      <w:kern w:val="0"/>
      <w:sz w:val="18"/>
    </w:rPr>
  </w:style>
  <w:style w:type="character" w:customStyle="1" w:styleId="1105">
    <w:name w:val="样式3 Char"/>
    <w:link w:val="1106"/>
    <w:autoRedefine/>
    <w:qFormat/>
    <w:uiPriority w:val="0"/>
    <w:rPr>
      <w:kern w:val="2"/>
      <w:sz w:val="28"/>
      <w:szCs w:val="28"/>
    </w:rPr>
  </w:style>
  <w:style w:type="paragraph" w:customStyle="1" w:styleId="1106">
    <w:name w:val="样式3"/>
    <w:basedOn w:val="1"/>
    <w:next w:val="1"/>
    <w:link w:val="1105"/>
    <w:autoRedefine/>
    <w:qFormat/>
    <w:uiPriority w:val="0"/>
    <w:pPr>
      <w:spacing w:line="600" w:lineRule="exact"/>
    </w:pPr>
    <w:rPr>
      <w:sz w:val="28"/>
      <w:szCs w:val="28"/>
    </w:rPr>
  </w:style>
  <w:style w:type="character" w:customStyle="1" w:styleId="1107">
    <w:name w:val="表后段落 Char Char"/>
    <w:link w:val="1108"/>
    <w:autoRedefine/>
    <w:qFormat/>
    <w:uiPriority w:val="0"/>
    <w:rPr>
      <w:rFonts w:eastAsia="楷体_GB2312"/>
      <w:sz w:val="24"/>
      <w:szCs w:val="28"/>
    </w:rPr>
  </w:style>
  <w:style w:type="paragraph" w:customStyle="1" w:styleId="1108">
    <w:name w:val="表后段落 Char"/>
    <w:basedOn w:val="1"/>
    <w:link w:val="1107"/>
    <w:autoRedefine/>
    <w:qFormat/>
    <w:uiPriority w:val="0"/>
    <w:pPr>
      <w:spacing w:beforeLines="75" w:line="360" w:lineRule="auto"/>
      <w:ind w:firstLine="200" w:firstLineChars="200"/>
    </w:pPr>
    <w:rPr>
      <w:rFonts w:eastAsia="楷体_GB2312"/>
      <w:kern w:val="0"/>
      <w:sz w:val="24"/>
      <w:szCs w:val="28"/>
    </w:rPr>
  </w:style>
  <w:style w:type="character" w:customStyle="1" w:styleId="1109">
    <w:name w:val="HTML 打字机12"/>
    <w:autoRedefine/>
    <w:qFormat/>
    <w:uiPriority w:val="0"/>
    <w:rPr>
      <w:rFonts w:hint="eastAsia" w:ascii="黑体" w:hAnsi="Courier New" w:eastAsia="黑体" w:cs="Courier New"/>
      <w:sz w:val="18"/>
      <w:szCs w:val="18"/>
    </w:rPr>
  </w:style>
  <w:style w:type="character" w:customStyle="1" w:styleId="1110">
    <w:name w:val="【表中文字】 Char"/>
    <w:link w:val="1111"/>
    <w:autoRedefine/>
    <w:qFormat/>
    <w:uiPriority w:val="0"/>
    <w:rPr>
      <w:rFonts w:eastAsia="宋体"/>
      <w:sz w:val="21"/>
    </w:rPr>
  </w:style>
  <w:style w:type="paragraph" w:customStyle="1" w:styleId="1111">
    <w:name w:val="【表中文字】"/>
    <w:basedOn w:val="1"/>
    <w:link w:val="1110"/>
    <w:autoRedefine/>
    <w:qFormat/>
    <w:uiPriority w:val="0"/>
    <w:pPr>
      <w:jc w:val="center"/>
    </w:pPr>
    <w:rPr>
      <w:kern w:val="0"/>
      <w:sz w:val="21"/>
      <w:szCs w:val="20"/>
    </w:rPr>
  </w:style>
  <w:style w:type="character" w:customStyle="1" w:styleId="1112">
    <w:name w:val="Char Char19"/>
    <w:autoRedefine/>
    <w:qFormat/>
    <w:uiPriority w:val="0"/>
    <w:rPr>
      <w:rFonts w:ascii="Times New Roman" w:hAnsi="Times New Roman" w:eastAsia="宋体"/>
      <w:i/>
      <w:dstrike/>
      <w:color w:val="FFFF00"/>
      <w:kern w:val="2"/>
      <w:sz w:val="32"/>
      <w:u w:val="thick"/>
      <w:lang w:val="en-US" w:eastAsia="zh-CN"/>
    </w:rPr>
  </w:style>
  <w:style w:type="character" w:customStyle="1" w:styleId="1113">
    <w:name w:val="haogao1"/>
    <w:autoRedefine/>
    <w:qFormat/>
    <w:uiPriority w:val="0"/>
    <w:rPr>
      <w:rFonts w:ascii="Times New Roman" w:hAnsi="Times New Roman" w:eastAsia="宋体"/>
      <w:caps/>
      <w:dstrike/>
      <w:color w:val="92D050"/>
    </w:rPr>
  </w:style>
  <w:style w:type="character" w:customStyle="1" w:styleId="1114">
    <w:name w:val="Char Char20"/>
    <w:autoRedefine/>
    <w:qFormat/>
    <w:uiPriority w:val="0"/>
    <w:rPr>
      <w:sz w:val="18"/>
      <w:szCs w:val="18"/>
    </w:rPr>
  </w:style>
  <w:style w:type="character" w:customStyle="1" w:styleId="1115">
    <w:name w:val="样式1 Char Char"/>
    <w:autoRedefine/>
    <w:qFormat/>
    <w:locked/>
    <w:uiPriority w:val="0"/>
    <w:rPr>
      <w:rFonts w:eastAsia="宋体"/>
      <w:color w:val="000000"/>
      <w:kern w:val="2"/>
      <w:sz w:val="21"/>
      <w:szCs w:val="21"/>
      <w:lang w:val="en-US" w:eastAsia="zh-CN" w:bidi="ar-SA"/>
    </w:rPr>
  </w:style>
  <w:style w:type="character" w:customStyle="1" w:styleId="1116">
    <w:name w:val="样式 标题 3 + 左侧:  2 字符 段前: 0.5 行1 Char"/>
    <w:link w:val="1117"/>
    <w:autoRedefine/>
    <w:qFormat/>
    <w:uiPriority w:val="0"/>
    <w:rPr>
      <w:rFonts w:ascii="黑体" w:eastAsia="黑体"/>
      <w:spacing w:val="-2"/>
      <w:kern w:val="2"/>
      <w:sz w:val="28"/>
    </w:rPr>
  </w:style>
  <w:style w:type="paragraph" w:customStyle="1" w:styleId="1117">
    <w:name w:val="样式 标题 3 + 左侧:  2 字符 段前: 0.5 行1"/>
    <w:basedOn w:val="5"/>
    <w:link w:val="1116"/>
    <w:autoRedefine/>
    <w:qFormat/>
    <w:uiPriority w:val="0"/>
    <w:pPr>
      <w:keepNext w:val="0"/>
      <w:widowControl/>
      <w:tabs>
        <w:tab w:val="left" w:pos="1418"/>
      </w:tabs>
      <w:spacing w:before="0" w:after="0" w:line="580" w:lineRule="exact"/>
      <w:jc w:val="left"/>
    </w:pPr>
    <w:rPr>
      <w:rFonts w:ascii="黑体" w:eastAsia="黑体"/>
      <w:b w:val="0"/>
      <w:bCs w:val="0"/>
      <w:spacing w:val="-2"/>
      <w:sz w:val="28"/>
      <w:szCs w:val="20"/>
    </w:rPr>
  </w:style>
  <w:style w:type="character" w:customStyle="1" w:styleId="1118">
    <w:name w:val="z-窗体顶端 Char"/>
    <w:link w:val="1119"/>
    <w:autoRedefine/>
    <w:qFormat/>
    <w:locked/>
    <w:uiPriority w:val="0"/>
    <w:rPr>
      <w:rFonts w:ascii="Arial" w:hAnsi="Arial" w:eastAsia="仿宋_GB2312"/>
      <w:vanish/>
      <w:sz w:val="16"/>
      <w:szCs w:val="16"/>
    </w:rPr>
  </w:style>
  <w:style w:type="paragraph" w:customStyle="1" w:styleId="1119">
    <w:name w:val="z-窗体顶端111"/>
    <w:basedOn w:val="1"/>
    <w:next w:val="1"/>
    <w:link w:val="1118"/>
    <w:autoRedefine/>
    <w:qFormat/>
    <w:uiPriority w:val="0"/>
    <w:pPr>
      <w:pBdr>
        <w:bottom w:val="single" w:color="auto" w:sz="6" w:space="1"/>
      </w:pBdr>
      <w:adjustRightInd w:val="0"/>
      <w:snapToGrid w:val="0"/>
      <w:spacing w:line="300" w:lineRule="auto"/>
      <w:jc w:val="center"/>
    </w:pPr>
    <w:rPr>
      <w:rFonts w:ascii="Arial" w:hAnsi="Arial" w:eastAsia="仿宋_GB2312"/>
      <w:vanish/>
      <w:kern w:val="0"/>
      <w:sz w:val="16"/>
      <w:szCs w:val="16"/>
    </w:rPr>
  </w:style>
  <w:style w:type="character" w:customStyle="1" w:styleId="1120">
    <w:name w:val="HTML 打字机1"/>
    <w:autoRedefine/>
    <w:qFormat/>
    <w:uiPriority w:val="0"/>
    <w:rPr>
      <w:rFonts w:ascii="黑体" w:hAnsi="Courier New" w:eastAsia="黑体"/>
      <w:sz w:val="18"/>
    </w:rPr>
  </w:style>
  <w:style w:type="character" w:customStyle="1" w:styleId="1121">
    <w:name w:val="样式 报告书表格 + 字距调整二号 Char"/>
    <w:link w:val="1122"/>
    <w:autoRedefine/>
    <w:qFormat/>
    <w:uiPriority w:val="0"/>
    <w:rPr>
      <w:rFonts w:eastAsia="仿宋_GB2312" w:cs="宋体"/>
      <w:kern w:val="44"/>
      <w:sz w:val="24"/>
      <w:szCs w:val="21"/>
    </w:rPr>
  </w:style>
  <w:style w:type="paragraph" w:customStyle="1" w:styleId="1122">
    <w:name w:val="样式 报告书表格 + 字距调整二号"/>
    <w:basedOn w:val="1123"/>
    <w:link w:val="1121"/>
    <w:autoRedefine/>
    <w:qFormat/>
    <w:uiPriority w:val="0"/>
    <w:pPr>
      <w:spacing w:before="0" w:after="0" w:line="400" w:lineRule="exact"/>
    </w:pPr>
    <w:rPr>
      <w:rFonts w:ascii="Times New Roman" w:hAnsi="Times New Roman" w:eastAsia="仿宋_GB2312" w:cs="宋体"/>
      <w:kern w:val="44"/>
      <w:sz w:val="24"/>
      <w:szCs w:val="21"/>
      <w:lang w:val="en-US"/>
    </w:rPr>
  </w:style>
  <w:style w:type="paragraph" w:customStyle="1" w:styleId="1123">
    <w:name w:val="报告书表格"/>
    <w:basedOn w:val="1"/>
    <w:link w:val="1124"/>
    <w:autoRedefine/>
    <w:qFormat/>
    <w:uiPriority w:val="0"/>
    <w:pPr>
      <w:adjustRightInd w:val="0"/>
      <w:spacing w:before="60" w:after="60" w:line="240" w:lineRule="atLeast"/>
      <w:jc w:val="center"/>
      <w:textAlignment w:val="baseline"/>
    </w:pPr>
    <w:rPr>
      <w:rFonts w:ascii="宋体" w:hAnsi="宋体"/>
      <w:kern w:val="0"/>
      <w:sz w:val="20"/>
      <w:lang w:val="zh-CN"/>
    </w:rPr>
  </w:style>
  <w:style w:type="character" w:customStyle="1" w:styleId="1124">
    <w:name w:val="报告书表格 Char"/>
    <w:link w:val="1123"/>
    <w:autoRedefine/>
    <w:qFormat/>
    <w:uiPriority w:val="0"/>
    <w:rPr>
      <w:rFonts w:ascii="宋体" w:hAnsi="宋体"/>
      <w:szCs w:val="24"/>
      <w:lang w:val="zh-CN"/>
    </w:rPr>
  </w:style>
  <w:style w:type="character" w:customStyle="1" w:styleId="1125">
    <w:name w:val="标题 Char2"/>
    <w:autoRedefine/>
    <w:qFormat/>
    <w:uiPriority w:val="0"/>
    <w:rPr>
      <w:rFonts w:ascii="Cambria" w:hAnsi="Cambria" w:eastAsia="宋体" w:cs="Times New Roman"/>
      <w:b/>
      <w:bCs/>
      <w:kern w:val="0"/>
      <w:sz w:val="32"/>
      <w:szCs w:val="32"/>
    </w:rPr>
  </w:style>
  <w:style w:type="character" w:customStyle="1" w:styleId="1126">
    <w:name w:val="样式 标题 3H3标题 3 Char Char标题 3 Char条标题1.1.1标题 3zym + 仿宋_GB23121 Char"/>
    <w:link w:val="1127"/>
    <w:autoRedefine/>
    <w:qFormat/>
    <w:uiPriority w:val="0"/>
    <w:rPr>
      <w:rFonts w:ascii="仿宋_GB2312" w:hAnsi="仿宋_GB2312" w:eastAsia="仿宋_GB2312"/>
      <w:b/>
      <w:bCs/>
      <w:sz w:val="28"/>
      <w:szCs w:val="28"/>
    </w:rPr>
  </w:style>
  <w:style w:type="paragraph" w:customStyle="1" w:styleId="1127">
    <w:name w:val="样式 标题 3H3标题 3 Char Char标题 3 Char条标题1.1.1标题 3zym + 仿宋_GB23121"/>
    <w:basedOn w:val="5"/>
    <w:link w:val="1126"/>
    <w:autoRedefine/>
    <w:qFormat/>
    <w:uiPriority w:val="0"/>
    <w:pPr>
      <w:keepLines w:val="0"/>
      <w:tabs>
        <w:tab w:val="left" w:pos="1418"/>
        <w:tab w:val="left" w:pos="2520"/>
      </w:tabs>
      <w:snapToGrid w:val="0"/>
      <w:spacing w:before="0" w:afterLines="50" w:line="360" w:lineRule="auto"/>
      <w:ind w:left="267" w:right="100" w:rightChars="100" w:hanging="87"/>
    </w:pPr>
    <w:rPr>
      <w:rFonts w:ascii="仿宋_GB2312" w:hAnsi="仿宋_GB2312" w:eastAsia="仿宋_GB2312"/>
      <w:kern w:val="0"/>
      <w:sz w:val="28"/>
      <w:szCs w:val="28"/>
    </w:rPr>
  </w:style>
  <w:style w:type="character" w:customStyle="1" w:styleId="1128">
    <w:name w:val="报告书正文 Char"/>
    <w:link w:val="1129"/>
    <w:autoRedefine/>
    <w:qFormat/>
    <w:locked/>
    <w:uiPriority w:val="0"/>
    <w:rPr>
      <w:sz w:val="24"/>
      <w:szCs w:val="24"/>
    </w:rPr>
  </w:style>
  <w:style w:type="paragraph" w:customStyle="1" w:styleId="1129">
    <w:name w:val="报告书正文"/>
    <w:basedOn w:val="1"/>
    <w:link w:val="1128"/>
    <w:autoRedefine/>
    <w:qFormat/>
    <w:uiPriority w:val="0"/>
    <w:pPr>
      <w:spacing w:line="360" w:lineRule="auto"/>
      <w:ind w:firstLine="480" w:firstLineChars="200"/>
    </w:pPr>
    <w:rPr>
      <w:kern w:val="0"/>
      <w:sz w:val="24"/>
    </w:rPr>
  </w:style>
  <w:style w:type="character" w:customStyle="1" w:styleId="1130">
    <w:name w:val="z-窗体底端 Char"/>
    <w:link w:val="1131"/>
    <w:autoRedefine/>
    <w:qFormat/>
    <w:locked/>
    <w:uiPriority w:val="0"/>
    <w:rPr>
      <w:rFonts w:ascii="Arial" w:hAnsi="Arial"/>
      <w:vanish/>
      <w:sz w:val="16"/>
      <w:szCs w:val="16"/>
    </w:rPr>
  </w:style>
  <w:style w:type="paragraph" w:customStyle="1" w:styleId="1131">
    <w:name w:val="z-窗体底端111"/>
    <w:basedOn w:val="1"/>
    <w:next w:val="1"/>
    <w:link w:val="1130"/>
    <w:autoRedefine/>
    <w:qFormat/>
    <w:uiPriority w:val="0"/>
    <w:pPr>
      <w:widowControl/>
      <w:pBdr>
        <w:top w:val="single" w:color="auto" w:sz="6" w:space="1"/>
      </w:pBdr>
      <w:jc w:val="center"/>
    </w:pPr>
    <w:rPr>
      <w:rFonts w:ascii="Arial" w:hAnsi="Arial"/>
      <w:vanish/>
      <w:kern w:val="0"/>
      <w:sz w:val="16"/>
      <w:szCs w:val="16"/>
    </w:rPr>
  </w:style>
  <w:style w:type="character" w:customStyle="1" w:styleId="1132">
    <w:name w:val="博泵1 Char"/>
    <w:link w:val="1133"/>
    <w:autoRedefine/>
    <w:qFormat/>
    <w:uiPriority w:val="0"/>
    <w:rPr>
      <w:rFonts w:hAnsi="宋体"/>
      <w:color w:val="000000"/>
      <w:sz w:val="24"/>
    </w:rPr>
  </w:style>
  <w:style w:type="paragraph" w:customStyle="1" w:styleId="1133">
    <w:name w:val="博泵1"/>
    <w:basedOn w:val="1"/>
    <w:link w:val="1132"/>
    <w:autoRedefine/>
    <w:qFormat/>
    <w:uiPriority w:val="0"/>
    <w:pPr>
      <w:adjustRightInd w:val="0"/>
      <w:spacing w:line="480" w:lineRule="exact"/>
      <w:ind w:firstLine="200" w:firstLineChars="200"/>
      <w:jc w:val="left"/>
      <w:textAlignment w:val="baseline"/>
    </w:pPr>
    <w:rPr>
      <w:rFonts w:hAnsi="宋体"/>
      <w:color w:val="000000"/>
      <w:kern w:val="0"/>
      <w:sz w:val="24"/>
      <w:szCs w:val="20"/>
    </w:rPr>
  </w:style>
  <w:style w:type="character" w:customStyle="1" w:styleId="1134">
    <w:name w:val="ask-title"/>
    <w:autoRedefine/>
    <w:qFormat/>
    <w:uiPriority w:val="0"/>
    <w:rPr>
      <w:rFonts w:cs="Times New Roman"/>
    </w:rPr>
  </w:style>
  <w:style w:type="character" w:customStyle="1" w:styleId="1135">
    <w:name w:val="样式8 Char"/>
    <w:link w:val="1136"/>
    <w:autoRedefine/>
    <w:qFormat/>
    <w:uiPriority w:val="0"/>
    <w:rPr>
      <w:rFonts w:ascii="宋体" w:hAnsi="Arial Black" w:cs="宋体"/>
      <w:kern w:val="2"/>
      <w:sz w:val="24"/>
      <w:szCs w:val="24"/>
    </w:rPr>
  </w:style>
  <w:style w:type="paragraph" w:customStyle="1" w:styleId="1136">
    <w:name w:val="样式8"/>
    <w:basedOn w:val="1"/>
    <w:next w:val="1"/>
    <w:link w:val="1135"/>
    <w:autoRedefine/>
    <w:qFormat/>
    <w:uiPriority w:val="0"/>
    <w:pPr>
      <w:ind w:firstLine="420"/>
    </w:pPr>
    <w:rPr>
      <w:rFonts w:ascii="宋体" w:hAnsi="Arial Black" w:cs="宋体"/>
      <w:sz w:val="24"/>
    </w:rPr>
  </w:style>
  <w:style w:type="character" w:customStyle="1" w:styleId="1137">
    <w:name w:val="尾注文本 Char1"/>
    <w:autoRedefine/>
    <w:qFormat/>
    <w:uiPriority w:val="99"/>
    <w:rPr>
      <w:rFonts w:ascii="仿宋_GB2312" w:eastAsia="仿宋_GB2312"/>
      <w:sz w:val="28"/>
      <w:szCs w:val="24"/>
    </w:rPr>
  </w:style>
  <w:style w:type="character" w:customStyle="1" w:styleId="1138">
    <w:name w:val="普通(Web) Char"/>
    <w:autoRedefine/>
    <w:qFormat/>
    <w:uiPriority w:val="0"/>
    <w:rPr>
      <w:rFonts w:hint="eastAsia" w:ascii="宋体" w:hAnsi="宋体" w:eastAsia="宋体"/>
      <w:sz w:val="24"/>
      <w:szCs w:val="24"/>
      <w:lang w:val="en-US" w:eastAsia="zh-CN" w:bidi="ar-SA"/>
    </w:rPr>
  </w:style>
  <w:style w:type="character" w:customStyle="1" w:styleId="1139">
    <w:name w:val="unnamed3"/>
    <w:autoRedefine/>
    <w:qFormat/>
    <w:uiPriority w:val="0"/>
  </w:style>
  <w:style w:type="character" w:customStyle="1" w:styleId="1140">
    <w:name w:val="谏壁正文chen Char"/>
    <w:link w:val="1141"/>
    <w:autoRedefine/>
    <w:qFormat/>
    <w:uiPriority w:val="0"/>
    <w:rPr>
      <w:sz w:val="24"/>
      <w:szCs w:val="24"/>
    </w:rPr>
  </w:style>
  <w:style w:type="paragraph" w:customStyle="1" w:styleId="1141">
    <w:name w:val="谏壁正文chen"/>
    <w:basedOn w:val="1"/>
    <w:link w:val="1140"/>
    <w:autoRedefine/>
    <w:qFormat/>
    <w:uiPriority w:val="0"/>
    <w:pPr>
      <w:spacing w:line="360" w:lineRule="auto"/>
      <w:ind w:firstLine="200" w:firstLineChars="200"/>
    </w:pPr>
    <w:rPr>
      <w:kern w:val="0"/>
      <w:sz w:val="24"/>
    </w:rPr>
  </w:style>
  <w:style w:type="character" w:customStyle="1" w:styleId="1142">
    <w:name w:val="Char Char35"/>
    <w:autoRedefine/>
    <w:qFormat/>
    <w:uiPriority w:val="0"/>
    <w:rPr>
      <w:rFonts w:eastAsia="宋体"/>
      <w:kern w:val="2"/>
      <w:sz w:val="28"/>
      <w:lang w:val="en-US" w:eastAsia="zh-CN" w:bidi="ar-SA"/>
    </w:rPr>
  </w:style>
  <w:style w:type="character" w:customStyle="1" w:styleId="1143">
    <w:name w:val="paragragh1"/>
    <w:autoRedefine/>
    <w:qFormat/>
    <w:uiPriority w:val="0"/>
    <w:rPr>
      <w:rFonts w:cs="Times New Roman"/>
      <w:color w:val="004040"/>
      <w:spacing w:val="300"/>
      <w:sz w:val="21"/>
      <w:szCs w:val="21"/>
    </w:rPr>
  </w:style>
  <w:style w:type="character" w:customStyle="1" w:styleId="1144">
    <w:name w:val="a11"/>
    <w:autoRedefine/>
    <w:qFormat/>
    <w:uiPriority w:val="0"/>
  </w:style>
  <w:style w:type="character" w:customStyle="1" w:styleId="1145">
    <w:name w:val="Char Char17"/>
    <w:autoRedefine/>
    <w:qFormat/>
    <w:uiPriority w:val="0"/>
    <w:rPr>
      <w:rFonts w:ascii="宋体" w:eastAsia="宋体"/>
      <w:kern w:val="2"/>
      <w:sz w:val="24"/>
      <w:lang w:val="en-US" w:eastAsia="zh-CN" w:bidi="ar-SA"/>
    </w:rPr>
  </w:style>
  <w:style w:type="character" w:customStyle="1" w:styleId="1146">
    <w:name w:val="A2 Char"/>
    <w:link w:val="1147"/>
    <w:autoRedefine/>
    <w:qFormat/>
    <w:uiPriority w:val="0"/>
    <w:rPr>
      <w:sz w:val="30"/>
      <w:szCs w:val="24"/>
    </w:rPr>
  </w:style>
  <w:style w:type="paragraph" w:customStyle="1" w:styleId="1147">
    <w:name w:val="A2"/>
    <w:basedOn w:val="1"/>
    <w:link w:val="1146"/>
    <w:autoRedefine/>
    <w:qFormat/>
    <w:uiPriority w:val="0"/>
    <w:pPr>
      <w:spacing w:line="360" w:lineRule="auto"/>
      <w:ind w:firstLine="570"/>
    </w:pPr>
    <w:rPr>
      <w:kern w:val="0"/>
      <w:sz w:val="30"/>
    </w:rPr>
  </w:style>
  <w:style w:type="character" w:customStyle="1" w:styleId="1148">
    <w:name w:val="style15 style15"/>
    <w:autoRedefine/>
    <w:qFormat/>
    <w:uiPriority w:val="0"/>
  </w:style>
  <w:style w:type="character" w:customStyle="1" w:styleId="1149">
    <w:name w:val="标题 311"/>
    <w:autoRedefine/>
    <w:qFormat/>
    <w:uiPriority w:val="0"/>
    <w:rPr>
      <w:rFonts w:hint="eastAsia" w:ascii="宋体" w:hAnsi="宋体" w:eastAsia="宋体"/>
      <w:sz w:val="28"/>
      <w:lang w:val="en-US" w:eastAsia="zh-CN" w:bidi="ar-SA"/>
    </w:rPr>
  </w:style>
  <w:style w:type="character" w:customStyle="1" w:styleId="1150">
    <w:name w:val="s lh15"/>
    <w:autoRedefine/>
    <w:qFormat/>
    <w:uiPriority w:val="0"/>
    <w:rPr>
      <w:rFonts w:cs="Times New Roman"/>
    </w:rPr>
  </w:style>
  <w:style w:type="character" w:customStyle="1" w:styleId="1151">
    <w:name w:val="Char Char22"/>
    <w:autoRedefine/>
    <w:qFormat/>
    <w:uiPriority w:val="0"/>
    <w:rPr>
      <w:rFonts w:eastAsia="宋体"/>
      <w:kern w:val="2"/>
      <w:sz w:val="21"/>
      <w:szCs w:val="24"/>
      <w:lang w:val="en-US" w:eastAsia="zh-CN" w:bidi="ar-SA"/>
    </w:rPr>
  </w:style>
  <w:style w:type="character" w:customStyle="1" w:styleId="1152">
    <w:name w:val="e91"/>
    <w:autoRedefine/>
    <w:qFormat/>
    <w:uiPriority w:val="0"/>
    <w:rPr>
      <w:rFonts w:hint="default" w:ascii="Arial" w:hAnsi="Arial" w:cs="Arial"/>
      <w:sz w:val="21"/>
      <w:szCs w:val="21"/>
    </w:rPr>
  </w:style>
  <w:style w:type="character" w:customStyle="1" w:styleId="1153">
    <w:name w:val="unnamed11"/>
    <w:autoRedefine/>
    <w:qFormat/>
    <w:uiPriority w:val="0"/>
    <w:rPr>
      <w:b/>
      <w:bCs/>
      <w:color w:val="3366CC"/>
      <w:sz w:val="21"/>
      <w:szCs w:val="21"/>
    </w:rPr>
  </w:style>
  <w:style w:type="character" w:customStyle="1" w:styleId="1154">
    <w:name w:val="left"/>
    <w:autoRedefine/>
    <w:qFormat/>
    <w:uiPriority w:val="0"/>
    <w:rPr>
      <w:rFonts w:cs="Times New Roman"/>
    </w:rPr>
  </w:style>
  <w:style w:type="character" w:customStyle="1" w:styleId="1155">
    <w:name w:val="orange1"/>
    <w:autoRedefine/>
    <w:qFormat/>
    <w:uiPriority w:val="0"/>
    <w:rPr>
      <w:rFonts w:cs="Times New Roman"/>
      <w:color w:val="FE9903"/>
      <w:sz w:val="18"/>
      <w:szCs w:val="18"/>
    </w:rPr>
  </w:style>
  <w:style w:type="character" w:customStyle="1" w:styleId="1156">
    <w:name w:val="标题 2 字符1"/>
    <w:autoRedefine/>
    <w:qFormat/>
    <w:locked/>
    <w:uiPriority w:val="0"/>
    <w:rPr>
      <w:rFonts w:ascii="黑体" w:eastAsia="黑体" w:cs="宋体"/>
      <w:bCs/>
      <w:color w:val="000000"/>
      <w:sz w:val="30"/>
      <w:szCs w:val="30"/>
    </w:rPr>
  </w:style>
  <w:style w:type="character" w:customStyle="1" w:styleId="1157">
    <w:name w:val="t_tag"/>
    <w:autoRedefine/>
    <w:qFormat/>
    <w:uiPriority w:val="0"/>
  </w:style>
  <w:style w:type="character" w:customStyle="1" w:styleId="1158">
    <w:name w:val="正文首行缩进 2 + Times New Roman Char"/>
    <w:autoRedefine/>
    <w:qFormat/>
    <w:locked/>
    <w:uiPriority w:val="0"/>
    <w:rPr>
      <w:rFonts w:ascii="黑体" w:hAnsi="宋体" w:eastAsia="宋体"/>
      <w:b/>
      <w:spacing w:val="10"/>
      <w:kern w:val="2"/>
      <w:sz w:val="24"/>
      <w:szCs w:val="24"/>
      <w:lang w:val="en-US" w:eastAsia="zh-CN" w:bidi="ar-SA"/>
    </w:rPr>
  </w:style>
  <w:style w:type="character" w:customStyle="1" w:styleId="1159">
    <w:name w:val="ca-6"/>
    <w:autoRedefine/>
    <w:qFormat/>
    <w:uiPriority w:val="0"/>
    <w:rPr>
      <w:rFonts w:cs="Times New Roman"/>
    </w:rPr>
  </w:style>
  <w:style w:type="character" w:customStyle="1" w:styleId="1160">
    <w:name w:val="Char Char15"/>
    <w:autoRedefine/>
    <w:qFormat/>
    <w:uiPriority w:val="0"/>
    <w:rPr>
      <w:rFonts w:hint="eastAsia" w:ascii="宋体" w:hAnsi="Courier New" w:eastAsia="宋体"/>
      <w:sz w:val="18"/>
      <w:lang w:val="en-US" w:eastAsia="zh-CN" w:bidi="ar-SA"/>
    </w:rPr>
  </w:style>
  <w:style w:type="character" w:customStyle="1" w:styleId="1161">
    <w:name w:val="Char Char11"/>
    <w:autoRedefine/>
    <w:qFormat/>
    <w:uiPriority w:val="0"/>
    <w:rPr>
      <w:rFonts w:ascii="Arial" w:hAnsi="Arial" w:eastAsia="宋体" w:cs="Arial"/>
      <w:b/>
      <w:bCs/>
      <w:kern w:val="2"/>
      <w:sz w:val="32"/>
      <w:szCs w:val="32"/>
      <w:lang w:val="en-US" w:eastAsia="zh-CN" w:bidi="ar-SA"/>
    </w:rPr>
  </w:style>
  <w:style w:type="character" w:customStyle="1" w:styleId="1162">
    <w:name w:val="grame"/>
    <w:autoRedefine/>
    <w:qFormat/>
    <w:uiPriority w:val="0"/>
    <w:rPr>
      <w:rFonts w:cs="Times New Roman"/>
    </w:rPr>
  </w:style>
  <w:style w:type="character" w:customStyle="1" w:styleId="1163">
    <w:name w:val="p141"/>
    <w:autoRedefine/>
    <w:qFormat/>
    <w:uiPriority w:val="0"/>
    <w:rPr>
      <w:rFonts w:cs="Times New Roman"/>
      <w:sz w:val="21"/>
      <w:szCs w:val="21"/>
    </w:rPr>
  </w:style>
  <w:style w:type="character" w:customStyle="1" w:styleId="1164">
    <w:name w:val="正文文字 Char Char"/>
    <w:autoRedefine/>
    <w:qFormat/>
    <w:uiPriority w:val="0"/>
    <w:rPr>
      <w:rFonts w:ascii="仿宋_GB2312" w:hAnsi="Arial Black" w:eastAsia="仿宋_GB2312"/>
      <w:kern w:val="0"/>
      <w:sz w:val="28"/>
    </w:rPr>
  </w:style>
  <w:style w:type="character" w:customStyle="1" w:styleId="1165">
    <w:name w:val="Char Char181"/>
    <w:autoRedefine/>
    <w:qFormat/>
    <w:uiPriority w:val="0"/>
    <w:rPr>
      <w:rFonts w:hint="eastAsia" w:ascii="宋体" w:hAnsi="宋体" w:eastAsia="宋体"/>
      <w:b/>
      <w:bCs/>
      <w:kern w:val="2"/>
      <w:sz w:val="24"/>
      <w:szCs w:val="24"/>
      <w:lang w:val="en-US" w:eastAsia="zh-CN" w:bidi="ar-SA"/>
    </w:rPr>
  </w:style>
  <w:style w:type="character" w:customStyle="1" w:styleId="1166">
    <w:name w:val="content1"/>
    <w:autoRedefine/>
    <w:qFormat/>
    <w:uiPriority w:val="0"/>
    <w:rPr>
      <w:sz w:val="21"/>
      <w:szCs w:val="21"/>
    </w:rPr>
  </w:style>
  <w:style w:type="character" w:customStyle="1" w:styleId="1167">
    <w:name w:val="Header Char1"/>
    <w:autoRedefine/>
    <w:qFormat/>
    <w:locked/>
    <w:uiPriority w:val="0"/>
    <w:rPr>
      <w:rFonts w:ascii="Times New Roman" w:hAnsi="Times New Roman" w:eastAsia="宋体" w:cs="Times New Roman"/>
      <w:sz w:val="18"/>
      <w:szCs w:val="18"/>
    </w:rPr>
  </w:style>
  <w:style w:type="character" w:customStyle="1" w:styleId="1168">
    <w:name w:val="段落-首行缩进:  0.74 厘米 行距: 1.5 倍行距 Char"/>
    <w:autoRedefine/>
    <w:qFormat/>
    <w:uiPriority w:val="0"/>
    <w:rPr>
      <w:rFonts w:ascii="宋体" w:hAnsi="宋体" w:eastAsia="宋体" w:cs="宋体"/>
      <w:kern w:val="2"/>
      <w:sz w:val="28"/>
      <w:szCs w:val="28"/>
      <w:lang w:val="en-US" w:eastAsia="zh-CN" w:bidi="ar-SA"/>
    </w:rPr>
  </w:style>
  <w:style w:type="character" w:customStyle="1" w:styleId="1169">
    <w:name w:val="样式13 Char"/>
    <w:link w:val="1170"/>
    <w:autoRedefine/>
    <w:qFormat/>
    <w:locked/>
    <w:uiPriority w:val="0"/>
    <w:rPr>
      <w:sz w:val="18"/>
    </w:rPr>
  </w:style>
  <w:style w:type="paragraph" w:customStyle="1" w:styleId="1170">
    <w:name w:val="样式13"/>
    <w:basedOn w:val="51"/>
    <w:link w:val="1169"/>
    <w:autoRedefine/>
    <w:qFormat/>
    <w:uiPriority w:val="0"/>
    <w:pPr>
      <w:widowControl/>
    </w:pPr>
  </w:style>
  <w:style w:type="character" w:customStyle="1" w:styleId="1171">
    <w:name w:val="一级标题 Char"/>
    <w:link w:val="1172"/>
    <w:autoRedefine/>
    <w:qFormat/>
    <w:locked/>
    <w:uiPriority w:val="0"/>
    <w:rPr>
      <w:b/>
      <w:bCs/>
      <w:kern w:val="2"/>
      <w:sz w:val="32"/>
      <w:szCs w:val="24"/>
    </w:rPr>
  </w:style>
  <w:style w:type="paragraph" w:customStyle="1" w:styleId="1172">
    <w:name w:val="一级标题"/>
    <w:basedOn w:val="1"/>
    <w:link w:val="1171"/>
    <w:autoRedefine/>
    <w:qFormat/>
    <w:uiPriority w:val="0"/>
    <w:pPr>
      <w:spacing w:before="60" w:line="460" w:lineRule="exact"/>
      <w:outlineLvl w:val="0"/>
    </w:pPr>
    <w:rPr>
      <w:b/>
      <w:bCs/>
      <w:sz w:val="32"/>
    </w:rPr>
  </w:style>
  <w:style w:type="character" w:customStyle="1" w:styleId="1173">
    <w:name w:val="hhcwt正文 Char"/>
    <w:link w:val="1174"/>
    <w:autoRedefine/>
    <w:qFormat/>
    <w:uiPriority w:val="0"/>
    <w:rPr>
      <w:sz w:val="24"/>
      <w:szCs w:val="24"/>
    </w:rPr>
  </w:style>
  <w:style w:type="paragraph" w:customStyle="1" w:styleId="1174">
    <w:name w:val="hhcwt正文"/>
    <w:basedOn w:val="1"/>
    <w:link w:val="1173"/>
    <w:autoRedefine/>
    <w:qFormat/>
    <w:uiPriority w:val="0"/>
    <w:pPr>
      <w:spacing w:line="360" w:lineRule="auto"/>
      <w:ind w:firstLine="480" w:firstLineChars="200"/>
    </w:pPr>
    <w:rPr>
      <w:kern w:val="0"/>
      <w:sz w:val="24"/>
    </w:rPr>
  </w:style>
  <w:style w:type="character" w:customStyle="1" w:styleId="1175">
    <w:name w:val="Header Char"/>
    <w:autoRedefine/>
    <w:qFormat/>
    <w:locked/>
    <w:uiPriority w:val="0"/>
    <w:rPr>
      <w:rFonts w:ascii="Times New Roman" w:hAnsi="Times New Roman" w:eastAsia="宋体" w:cs="Times New Roman"/>
      <w:sz w:val="18"/>
      <w:szCs w:val="18"/>
    </w:rPr>
  </w:style>
  <w:style w:type="character" w:customStyle="1" w:styleId="1176">
    <w:name w:val="Char Char9"/>
    <w:autoRedefine/>
    <w:qFormat/>
    <w:uiPriority w:val="0"/>
    <w:rPr>
      <w:rFonts w:eastAsia="宋体"/>
      <w:kern w:val="2"/>
      <w:sz w:val="18"/>
      <w:szCs w:val="18"/>
      <w:lang w:val="en-US" w:eastAsia="zh-CN" w:bidi="ar-SA"/>
    </w:rPr>
  </w:style>
  <w:style w:type="character" w:customStyle="1" w:styleId="1177">
    <w:name w:val="目录 1 Char1"/>
    <w:link w:val="1178"/>
    <w:autoRedefine/>
    <w:qFormat/>
    <w:uiPriority w:val="39"/>
    <w:rPr>
      <w:rFonts w:ascii="Arial" w:hAnsi="Arial" w:cs="Arial"/>
      <w:b/>
      <w:bCs/>
      <w:caps/>
      <w:kern w:val="2"/>
      <w:sz w:val="24"/>
      <w:szCs w:val="24"/>
    </w:rPr>
  </w:style>
  <w:style w:type="paragraph" w:customStyle="1" w:styleId="1178">
    <w:name w:val="目录 111"/>
    <w:basedOn w:val="1"/>
    <w:next w:val="1"/>
    <w:link w:val="1177"/>
    <w:autoRedefine/>
    <w:qFormat/>
    <w:uiPriority w:val="39"/>
    <w:pPr>
      <w:spacing w:before="360"/>
      <w:jc w:val="left"/>
    </w:pPr>
    <w:rPr>
      <w:rFonts w:ascii="Arial" w:hAnsi="Arial" w:cs="Arial"/>
      <w:b/>
      <w:bCs/>
      <w:caps/>
      <w:sz w:val="24"/>
    </w:rPr>
  </w:style>
  <w:style w:type="character" w:customStyle="1" w:styleId="1179">
    <w:name w:val="甲乙酮正文 Char"/>
    <w:link w:val="1180"/>
    <w:autoRedefine/>
    <w:qFormat/>
    <w:uiPriority w:val="0"/>
    <w:rPr>
      <w:color w:val="000000"/>
      <w:sz w:val="24"/>
      <w:szCs w:val="24"/>
    </w:rPr>
  </w:style>
  <w:style w:type="paragraph" w:customStyle="1" w:styleId="1180">
    <w:name w:val="甲乙酮正文"/>
    <w:basedOn w:val="1181"/>
    <w:link w:val="1179"/>
    <w:autoRedefine/>
    <w:qFormat/>
    <w:uiPriority w:val="0"/>
    <w:pPr>
      <w:widowControl w:val="0"/>
      <w:spacing w:after="0" w:line="360" w:lineRule="auto"/>
      <w:ind w:firstLine="200" w:firstLineChars="200"/>
    </w:pPr>
    <w:rPr>
      <w:color w:val="000000"/>
      <w:szCs w:val="24"/>
      <w:lang w:val="en-US"/>
    </w:rPr>
  </w:style>
  <w:style w:type="paragraph" w:customStyle="1" w:styleId="1181">
    <w:name w:val="正文首行缩进111"/>
    <w:basedOn w:val="33"/>
    <w:autoRedefine/>
    <w:qFormat/>
    <w:uiPriority w:val="0"/>
    <w:pPr>
      <w:snapToGrid/>
      <w:spacing w:before="0" w:after="120" w:line="240" w:lineRule="auto"/>
      <w:ind w:right="0" w:firstLine="420" w:firstLineChars="100"/>
      <w:jc w:val="left"/>
    </w:pPr>
    <w:rPr>
      <w:sz w:val="24"/>
      <w:lang w:val="zh-CN"/>
    </w:rPr>
  </w:style>
  <w:style w:type="character" w:customStyle="1" w:styleId="1182">
    <w:name w:val="chen 正文字体 Char"/>
    <w:link w:val="1183"/>
    <w:autoRedefine/>
    <w:qFormat/>
    <w:uiPriority w:val="0"/>
    <w:rPr>
      <w:rFonts w:ascii="宋体" w:hAnsi="宋体"/>
      <w:color w:val="000000"/>
      <w:spacing w:val="10"/>
      <w:sz w:val="24"/>
      <w:szCs w:val="24"/>
    </w:rPr>
  </w:style>
  <w:style w:type="paragraph" w:customStyle="1" w:styleId="1183">
    <w:name w:val="chen 正文字体"/>
    <w:basedOn w:val="1"/>
    <w:link w:val="1182"/>
    <w:autoRedefine/>
    <w:qFormat/>
    <w:uiPriority w:val="0"/>
    <w:pPr>
      <w:spacing w:line="360" w:lineRule="auto"/>
      <w:ind w:firstLine="200" w:firstLineChars="200"/>
    </w:pPr>
    <w:rPr>
      <w:rFonts w:ascii="宋体" w:hAnsi="宋体"/>
      <w:color w:val="000000"/>
      <w:spacing w:val="10"/>
      <w:kern w:val="0"/>
      <w:sz w:val="24"/>
    </w:rPr>
  </w:style>
  <w:style w:type="character" w:customStyle="1" w:styleId="1184">
    <w:name w:val="和桥报告正文 Char"/>
    <w:link w:val="1185"/>
    <w:autoRedefine/>
    <w:qFormat/>
    <w:uiPriority w:val="0"/>
    <w:rPr>
      <w:kern w:val="24"/>
      <w:sz w:val="24"/>
      <w:szCs w:val="21"/>
    </w:rPr>
  </w:style>
  <w:style w:type="paragraph" w:customStyle="1" w:styleId="1185">
    <w:name w:val="和桥报告正文"/>
    <w:basedOn w:val="1"/>
    <w:link w:val="1184"/>
    <w:autoRedefine/>
    <w:qFormat/>
    <w:uiPriority w:val="0"/>
    <w:pPr>
      <w:adjustRightInd w:val="0"/>
      <w:snapToGrid w:val="0"/>
      <w:spacing w:line="360" w:lineRule="auto"/>
      <w:ind w:firstLine="482"/>
      <w:textAlignment w:val="baseline"/>
    </w:pPr>
    <w:rPr>
      <w:kern w:val="24"/>
      <w:sz w:val="24"/>
      <w:szCs w:val="21"/>
    </w:rPr>
  </w:style>
  <w:style w:type="character" w:customStyle="1" w:styleId="1186">
    <w:name w:val="z-窗体顶端 Char1"/>
    <w:autoRedefine/>
    <w:qFormat/>
    <w:uiPriority w:val="99"/>
    <w:rPr>
      <w:rFonts w:ascii="Arial" w:hAnsi="Arial" w:cs="Arial"/>
      <w:vanish/>
      <w:kern w:val="2"/>
      <w:sz w:val="16"/>
      <w:szCs w:val="16"/>
    </w:rPr>
  </w:style>
  <w:style w:type="character" w:customStyle="1" w:styleId="1187">
    <w:name w:val="unnamed2"/>
    <w:autoRedefine/>
    <w:qFormat/>
    <w:uiPriority w:val="0"/>
  </w:style>
  <w:style w:type="character" w:customStyle="1" w:styleId="1188">
    <w:name w:val="页眉 字符"/>
    <w:autoRedefine/>
    <w:qFormat/>
    <w:uiPriority w:val="99"/>
    <w:rPr>
      <w:sz w:val="18"/>
      <w:szCs w:val="18"/>
    </w:rPr>
  </w:style>
  <w:style w:type="character" w:customStyle="1" w:styleId="1189">
    <w:name w:val="标题 6 字符"/>
    <w:autoRedefine/>
    <w:qFormat/>
    <w:uiPriority w:val="0"/>
    <w:rPr>
      <w:rFonts w:ascii="Times New Roman" w:hAnsi="Times New Roman" w:eastAsia="宋体" w:cs="Times New Roman"/>
      <w:bCs/>
      <w:sz w:val="28"/>
      <w:szCs w:val="28"/>
    </w:rPr>
  </w:style>
  <w:style w:type="character" w:customStyle="1" w:styleId="1190">
    <w:name w:val="批注主题 Char1"/>
    <w:autoRedefine/>
    <w:qFormat/>
    <w:uiPriority w:val="99"/>
    <w:rPr>
      <w:rFonts w:eastAsia="宋体"/>
      <w:b/>
      <w:bCs/>
      <w:kern w:val="2"/>
      <w:sz w:val="21"/>
      <w:szCs w:val="24"/>
      <w:lang w:val="en-US" w:eastAsia="zh-CN" w:bidi="ar-SA"/>
    </w:rPr>
  </w:style>
  <w:style w:type="character" w:customStyle="1" w:styleId="1191">
    <w:name w:val="px141"/>
    <w:autoRedefine/>
    <w:qFormat/>
    <w:uiPriority w:val="0"/>
    <w:rPr>
      <w:sz w:val="21"/>
      <w:szCs w:val="21"/>
    </w:rPr>
  </w:style>
  <w:style w:type="character" w:customStyle="1" w:styleId="1192">
    <w:name w:val="未确定 Char"/>
    <w:link w:val="1193"/>
    <w:autoRedefine/>
    <w:qFormat/>
    <w:uiPriority w:val="0"/>
    <w:rPr>
      <w:color w:val="800080"/>
      <w:sz w:val="24"/>
      <w:szCs w:val="24"/>
    </w:rPr>
  </w:style>
  <w:style w:type="paragraph" w:customStyle="1" w:styleId="1193">
    <w:name w:val="未确定"/>
    <w:basedOn w:val="1"/>
    <w:link w:val="1192"/>
    <w:autoRedefine/>
    <w:qFormat/>
    <w:uiPriority w:val="0"/>
    <w:pPr>
      <w:spacing w:beforeLines="50" w:line="400" w:lineRule="exact"/>
      <w:ind w:firstLine="480" w:firstLineChars="200"/>
    </w:pPr>
    <w:rPr>
      <w:color w:val="800080"/>
      <w:kern w:val="0"/>
      <w:sz w:val="24"/>
    </w:rPr>
  </w:style>
  <w:style w:type="character" w:customStyle="1" w:styleId="1194">
    <w:name w:val="正文文体 Char"/>
    <w:link w:val="1195"/>
    <w:autoRedefine/>
    <w:qFormat/>
    <w:uiPriority w:val="0"/>
    <w:rPr>
      <w:kern w:val="2"/>
      <w:sz w:val="28"/>
      <w:szCs w:val="28"/>
    </w:rPr>
  </w:style>
  <w:style w:type="paragraph" w:customStyle="1" w:styleId="1195">
    <w:name w:val="正文文体"/>
    <w:basedOn w:val="1"/>
    <w:link w:val="1194"/>
    <w:autoRedefine/>
    <w:qFormat/>
    <w:uiPriority w:val="0"/>
    <w:pPr>
      <w:spacing w:line="500" w:lineRule="exact"/>
      <w:ind w:firstLine="200" w:firstLineChars="200"/>
    </w:pPr>
    <w:rPr>
      <w:sz w:val="28"/>
      <w:szCs w:val="28"/>
    </w:rPr>
  </w:style>
  <w:style w:type="character" w:customStyle="1" w:styleId="1196">
    <w:name w:val="批注主题 字符"/>
    <w:autoRedefine/>
    <w:qFormat/>
    <w:uiPriority w:val="0"/>
    <w:rPr>
      <w:rFonts w:ascii="Times New Roman" w:hAnsi="Times New Roman" w:eastAsia="宋体" w:cs="Times New Roman"/>
      <w:b/>
      <w:bCs/>
      <w:kern w:val="0"/>
      <w:sz w:val="24"/>
      <w:szCs w:val="20"/>
    </w:rPr>
  </w:style>
  <w:style w:type="character" w:customStyle="1" w:styleId="1197">
    <w:name w:val="word21"/>
    <w:autoRedefine/>
    <w:qFormat/>
    <w:uiPriority w:val="0"/>
    <w:rPr>
      <w:rFonts w:cs="Times New Roman"/>
      <w:b/>
      <w:bCs/>
      <w:color w:val="0040A6"/>
      <w:spacing w:val="315"/>
      <w:sz w:val="20"/>
      <w:szCs w:val="20"/>
    </w:rPr>
  </w:style>
  <w:style w:type="character" w:customStyle="1" w:styleId="1198">
    <w:name w:val="标题2新 Char"/>
    <w:link w:val="1199"/>
    <w:autoRedefine/>
    <w:qFormat/>
    <w:uiPriority w:val="0"/>
    <w:rPr>
      <w:rFonts w:ascii="楷体" w:hAnsi="楷体" w:eastAsia="楷体"/>
      <w:bCs/>
      <w:sz w:val="32"/>
      <w:szCs w:val="32"/>
    </w:rPr>
  </w:style>
  <w:style w:type="paragraph" w:customStyle="1" w:styleId="1199">
    <w:name w:val="标题2新"/>
    <w:basedOn w:val="4"/>
    <w:link w:val="1198"/>
    <w:autoRedefine/>
    <w:qFormat/>
    <w:uiPriority w:val="0"/>
    <w:pPr>
      <w:tabs>
        <w:tab w:val="left" w:pos="1419"/>
      </w:tabs>
      <w:spacing w:before="0" w:after="0" w:line="560" w:lineRule="exact"/>
      <w:jc w:val="center"/>
    </w:pPr>
    <w:rPr>
      <w:rFonts w:ascii="楷体" w:hAnsi="楷体" w:eastAsia="楷体"/>
      <w:b w:val="0"/>
      <w:kern w:val="0"/>
    </w:rPr>
  </w:style>
  <w:style w:type="character" w:customStyle="1" w:styleId="1200">
    <w:name w:val="样式 标题 3 Char1标题 3 Char Char Char1标题 3 Char Char1h3 Char3 Cha... Char"/>
    <w:link w:val="1201"/>
    <w:autoRedefine/>
    <w:qFormat/>
    <w:uiPriority w:val="0"/>
    <w:rPr>
      <w:bCs/>
      <w:kern w:val="2"/>
      <w:sz w:val="28"/>
      <w:szCs w:val="32"/>
    </w:rPr>
  </w:style>
  <w:style w:type="paragraph" w:customStyle="1" w:styleId="1201">
    <w:name w:val="样式 标题 3 Char1标题 3 Char Char Char1标题 3 Char Char1h3 Char3 Cha..."/>
    <w:basedOn w:val="5"/>
    <w:link w:val="1200"/>
    <w:autoRedefine/>
    <w:qFormat/>
    <w:uiPriority w:val="0"/>
    <w:pPr>
      <w:spacing w:before="240" w:after="240" w:line="240" w:lineRule="auto"/>
    </w:pPr>
    <w:rPr>
      <w:b w:val="0"/>
      <w:sz w:val="28"/>
    </w:rPr>
  </w:style>
  <w:style w:type="character" w:customStyle="1" w:styleId="1202">
    <w:name w:val="标题 Char Char"/>
    <w:autoRedefine/>
    <w:qFormat/>
    <w:uiPriority w:val="0"/>
    <w:rPr>
      <w:rFonts w:ascii="Arial" w:hAnsi="Arial" w:eastAsia="宋体" w:cs="Arial"/>
      <w:b/>
      <w:bCs/>
      <w:sz w:val="32"/>
      <w:szCs w:val="32"/>
      <w:lang w:val="en-US" w:eastAsia="zh-CN" w:bidi="ar-SA"/>
    </w:rPr>
  </w:style>
  <w:style w:type="character" w:customStyle="1" w:styleId="1203">
    <w:name w:val="style3"/>
    <w:autoRedefine/>
    <w:qFormat/>
    <w:uiPriority w:val="0"/>
    <w:rPr>
      <w:rFonts w:cs="Times New Roman"/>
    </w:rPr>
  </w:style>
  <w:style w:type="character" w:customStyle="1" w:styleId="1204">
    <w:name w:val="Char Char18"/>
    <w:autoRedefine/>
    <w:qFormat/>
    <w:uiPriority w:val="0"/>
    <w:rPr>
      <w:rFonts w:eastAsia="宋体"/>
      <w:kern w:val="2"/>
      <w:sz w:val="24"/>
      <w:lang w:val="en-US" w:eastAsia="zh-CN" w:bidi="ar-SA"/>
    </w:rPr>
  </w:style>
  <w:style w:type="character" w:customStyle="1" w:styleId="1205">
    <w:name w:val="注释标题 Char2"/>
    <w:autoRedefine/>
    <w:qFormat/>
    <w:locked/>
    <w:uiPriority w:val="0"/>
    <w:rPr>
      <w:rFonts w:eastAsia="宋体"/>
      <w:sz w:val="24"/>
      <w:szCs w:val="24"/>
      <w:lang w:bidi="ar-SA"/>
    </w:rPr>
  </w:style>
  <w:style w:type="character" w:customStyle="1" w:styleId="1206">
    <w:name w:val="批注文字 字符"/>
    <w:autoRedefine/>
    <w:qFormat/>
    <w:uiPriority w:val="0"/>
    <w:rPr>
      <w:rFonts w:ascii="Times New Roman" w:hAnsi="Times New Roman" w:eastAsia="宋体" w:cs="Times New Roman"/>
      <w:kern w:val="0"/>
      <w:sz w:val="24"/>
      <w:szCs w:val="20"/>
    </w:rPr>
  </w:style>
  <w:style w:type="character" w:customStyle="1" w:styleId="1207">
    <w:name w:val="段落-首行缩进:  0.74 厘米 行距: 1.5 倍行距 Char Char"/>
    <w:autoRedefine/>
    <w:qFormat/>
    <w:uiPriority w:val="0"/>
    <w:rPr>
      <w:rFonts w:ascii="宋体" w:hAnsi="宋体" w:eastAsia="宋体" w:cs="宋体"/>
      <w:kern w:val="2"/>
      <w:sz w:val="28"/>
      <w:szCs w:val="28"/>
      <w:lang w:val="en-US" w:eastAsia="zh-CN" w:bidi="ar-SA"/>
    </w:rPr>
  </w:style>
  <w:style w:type="character" w:customStyle="1" w:styleId="1208">
    <w:name w:val="项目名称 Char Char"/>
    <w:autoRedefine/>
    <w:qFormat/>
    <w:uiPriority w:val="0"/>
    <w:rPr>
      <w:rFonts w:ascii="黑体" w:eastAsia="黑体"/>
      <w:kern w:val="2"/>
      <w:sz w:val="52"/>
      <w:szCs w:val="52"/>
      <w:lang w:val="en-US" w:eastAsia="zh-CN" w:bidi="ar-SA"/>
    </w:rPr>
  </w:style>
  <w:style w:type="character" w:customStyle="1" w:styleId="1209">
    <w:name w:val="Char Char Char Char Char Char Char3"/>
    <w:link w:val="1210"/>
    <w:autoRedefine/>
    <w:qFormat/>
    <w:locked/>
    <w:uiPriority w:val="0"/>
    <w:rPr>
      <w:sz w:val="24"/>
      <w:szCs w:val="24"/>
    </w:rPr>
  </w:style>
  <w:style w:type="paragraph" w:customStyle="1" w:styleId="1210">
    <w:name w:val="Char Char Char Char Char Char3"/>
    <w:basedOn w:val="1"/>
    <w:link w:val="1209"/>
    <w:autoRedefine/>
    <w:qFormat/>
    <w:uiPriority w:val="0"/>
    <w:rPr>
      <w:kern w:val="0"/>
      <w:sz w:val="24"/>
    </w:rPr>
  </w:style>
  <w:style w:type="character" w:customStyle="1" w:styleId="1211">
    <w:name w:val="Char Char34"/>
    <w:autoRedefine/>
    <w:qFormat/>
    <w:uiPriority w:val="0"/>
    <w:rPr>
      <w:rFonts w:ascii="Arial" w:hAnsi="Arial" w:eastAsia="黑体"/>
      <w:b/>
      <w:bCs/>
      <w:kern w:val="2"/>
      <w:sz w:val="24"/>
      <w:szCs w:val="24"/>
      <w:lang w:val="en-US" w:eastAsia="zh-CN" w:bidi="ar-SA"/>
    </w:rPr>
  </w:style>
  <w:style w:type="character" w:customStyle="1" w:styleId="1212">
    <w:name w:val="标题33 Char"/>
    <w:link w:val="1213"/>
    <w:autoRedefine/>
    <w:qFormat/>
    <w:uiPriority w:val="0"/>
    <w:rPr>
      <w:rFonts w:ascii="宋体" w:hAnsi="宋体"/>
      <w:b/>
      <w:bCs/>
      <w:color w:val="000000"/>
      <w:sz w:val="30"/>
      <w:szCs w:val="30"/>
    </w:rPr>
  </w:style>
  <w:style w:type="paragraph" w:customStyle="1" w:styleId="1213">
    <w:name w:val="标题33"/>
    <w:basedOn w:val="200"/>
    <w:link w:val="1212"/>
    <w:autoRedefine/>
    <w:qFormat/>
    <w:uiPriority w:val="0"/>
    <w:pPr>
      <w:keepNext w:val="0"/>
      <w:keepLines w:val="0"/>
      <w:snapToGrid w:val="0"/>
      <w:spacing w:before="240" w:after="240" w:line="360" w:lineRule="auto"/>
      <w:ind w:firstLine="480" w:firstLineChars="200"/>
    </w:pPr>
    <w:rPr>
      <w:rFonts w:ascii="宋体" w:hAnsi="宋体" w:eastAsia="宋体"/>
      <w:b/>
      <w:bCs/>
      <w:color w:val="000000"/>
      <w:kern w:val="0"/>
      <w:sz w:val="30"/>
      <w:szCs w:val="30"/>
    </w:rPr>
  </w:style>
  <w:style w:type="character" w:customStyle="1" w:styleId="1214">
    <w:name w:val="f241"/>
    <w:autoRedefine/>
    <w:qFormat/>
    <w:uiPriority w:val="0"/>
    <w:rPr>
      <w:rFonts w:cs="Times New Roman"/>
      <w:sz w:val="36"/>
      <w:szCs w:val="36"/>
    </w:rPr>
  </w:style>
  <w:style w:type="character" w:customStyle="1" w:styleId="1215">
    <w:name w:val="标题 6 字符1"/>
    <w:autoRedefine/>
    <w:qFormat/>
    <w:locked/>
    <w:uiPriority w:val="0"/>
    <w:rPr>
      <w:bCs/>
      <w:kern w:val="2"/>
      <w:sz w:val="28"/>
      <w:szCs w:val="28"/>
    </w:rPr>
  </w:style>
  <w:style w:type="character" w:customStyle="1" w:styleId="1216">
    <w:name w:val="h8 Char"/>
    <w:autoRedefine/>
    <w:qFormat/>
    <w:uiPriority w:val="0"/>
    <w:rPr>
      <w:rFonts w:ascii="Arial" w:hAnsi="Arial" w:eastAsia="黑体"/>
      <w:kern w:val="2"/>
      <w:sz w:val="24"/>
      <w:szCs w:val="24"/>
    </w:rPr>
  </w:style>
  <w:style w:type="character" w:customStyle="1" w:styleId="1217">
    <w:name w:val="unnamed31"/>
    <w:autoRedefine/>
    <w:qFormat/>
    <w:uiPriority w:val="0"/>
    <w:rPr>
      <w:sz w:val="18"/>
    </w:rPr>
  </w:style>
  <w:style w:type="character" w:customStyle="1" w:styleId="1218">
    <w:name w:val="大港正文 Char"/>
    <w:link w:val="1219"/>
    <w:autoRedefine/>
    <w:qFormat/>
    <w:uiPriority w:val="0"/>
    <w:rPr>
      <w:rFonts w:ascii="宋体" w:hAnsi="宋体"/>
      <w:sz w:val="24"/>
      <w:szCs w:val="24"/>
    </w:rPr>
  </w:style>
  <w:style w:type="paragraph" w:customStyle="1" w:styleId="1219">
    <w:name w:val="大港正文"/>
    <w:basedOn w:val="1"/>
    <w:next w:val="1"/>
    <w:link w:val="1218"/>
    <w:autoRedefine/>
    <w:qFormat/>
    <w:uiPriority w:val="0"/>
    <w:pPr>
      <w:adjustRightInd w:val="0"/>
      <w:snapToGrid w:val="0"/>
      <w:spacing w:line="500" w:lineRule="atLeast"/>
      <w:ind w:firstLine="480" w:firstLineChars="200"/>
    </w:pPr>
    <w:rPr>
      <w:rFonts w:ascii="宋体" w:hAnsi="宋体"/>
      <w:kern w:val="0"/>
      <w:sz w:val="24"/>
    </w:rPr>
  </w:style>
  <w:style w:type="character" w:customStyle="1" w:styleId="1220">
    <w:name w:val="样式 样式 样式 宋体 小四 行距: 多倍行距 1.4 字行2 + 黑色 + Times New Roman1 Char"/>
    <w:link w:val="1221"/>
    <w:autoRedefine/>
    <w:qFormat/>
    <w:uiPriority w:val="0"/>
    <w:rPr>
      <w:color w:val="000000"/>
      <w:sz w:val="24"/>
      <w:szCs w:val="24"/>
    </w:rPr>
  </w:style>
  <w:style w:type="paragraph" w:customStyle="1" w:styleId="1221">
    <w:name w:val="样式 样式 样式 宋体 小四 行距: 多倍行距 1.4 字行2 + 黑色 + Times New Roman1"/>
    <w:basedOn w:val="1"/>
    <w:link w:val="1220"/>
    <w:autoRedefine/>
    <w:qFormat/>
    <w:uiPriority w:val="0"/>
    <w:pPr>
      <w:spacing w:line="360" w:lineRule="auto"/>
      <w:ind w:firstLine="200" w:firstLineChars="200"/>
    </w:pPr>
    <w:rPr>
      <w:color w:val="000000"/>
      <w:kern w:val="0"/>
      <w:sz w:val="24"/>
    </w:rPr>
  </w:style>
  <w:style w:type="character" w:customStyle="1" w:styleId="1222">
    <w:name w:val="标题 2 Char1"/>
    <w:autoRedefine/>
    <w:qFormat/>
    <w:uiPriority w:val="9"/>
    <w:rPr>
      <w:rFonts w:ascii="黑体" w:eastAsia="黑体" w:cs="Times New Roman"/>
      <w:bCs/>
      <w:color w:val="000000"/>
      <w:sz w:val="30"/>
      <w:szCs w:val="30"/>
      <w:lang w:val="en-US" w:eastAsia="zh-CN" w:bidi="ar-SA"/>
    </w:rPr>
  </w:style>
  <w:style w:type="character" w:customStyle="1" w:styleId="1223">
    <w:name w:val="表蕊居中 Char"/>
    <w:link w:val="1224"/>
    <w:autoRedefine/>
    <w:qFormat/>
    <w:uiPriority w:val="0"/>
    <w:rPr>
      <w:rFonts w:ascii="仿宋_GB2312" w:hAnsi="宋体" w:eastAsia="仿宋_GB2312"/>
      <w:sz w:val="28"/>
      <w:szCs w:val="28"/>
    </w:rPr>
  </w:style>
  <w:style w:type="paragraph" w:customStyle="1" w:styleId="1224">
    <w:name w:val="表蕊居中"/>
    <w:basedOn w:val="1"/>
    <w:link w:val="1223"/>
    <w:autoRedefine/>
    <w:qFormat/>
    <w:uiPriority w:val="0"/>
    <w:pPr>
      <w:spacing w:line="300" w:lineRule="exact"/>
      <w:jc w:val="center"/>
    </w:pPr>
    <w:rPr>
      <w:rFonts w:ascii="仿宋_GB2312" w:hAnsi="宋体" w:eastAsia="仿宋_GB2312"/>
      <w:kern w:val="0"/>
      <w:sz w:val="28"/>
      <w:szCs w:val="28"/>
    </w:rPr>
  </w:style>
  <w:style w:type="character" w:customStyle="1" w:styleId="1225">
    <w:name w:val="正文（首行缩进两字） Char Char Char"/>
    <w:autoRedefine/>
    <w:qFormat/>
    <w:uiPriority w:val="0"/>
    <w:rPr>
      <w:rFonts w:ascii="仿宋_GB2312" w:eastAsia="仿宋_GB2312"/>
      <w:color w:val="000000"/>
      <w:kern w:val="2"/>
      <w:sz w:val="28"/>
      <w:szCs w:val="24"/>
      <w:lang w:val="en-US" w:eastAsia="zh-CN" w:bidi="ar-SA"/>
    </w:rPr>
  </w:style>
  <w:style w:type="character" w:customStyle="1" w:styleId="1226">
    <w:name w:val="Char Char14"/>
    <w:autoRedefine/>
    <w:qFormat/>
    <w:uiPriority w:val="0"/>
    <w:rPr>
      <w:rFonts w:ascii="Arial" w:hAnsi="Arial" w:eastAsia="黑体" w:cs="Arial"/>
      <w:b/>
      <w:bCs/>
      <w:kern w:val="2"/>
      <w:sz w:val="32"/>
      <w:szCs w:val="32"/>
    </w:rPr>
  </w:style>
  <w:style w:type="character" w:customStyle="1" w:styleId="1227">
    <w:name w:val="标题 3 字符"/>
    <w:autoRedefine/>
    <w:qFormat/>
    <w:uiPriority w:val="0"/>
    <w:rPr>
      <w:rFonts w:ascii="Times New Roman" w:hAnsi="Times New Roman" w:eastAsia="宋体" w:cs="Times New Roman"/>
      <w:b/>
      <w:bCs/>
      <w:kern w:val="0"/>
      <w:sz w:val="32"/>
      <w:szCs w:val="32"/>
    </w:rPr>
  </w:style>
  <w:style w:type="character" w:customStyle="1" w:styleId="1228">
    <w:name w:val="showdetailcontent1"/>
    <w:autoRedefine/>
    <w:qFormat/>
    <w:uiPriority w:val="0"/>
    <w:rPr>
      <w:rFonts w:ascii="宋体" w:hAnsi="宋体" w:eastAsia="宋体" w:cs="Times New Roman"/>
      <w:color w:val="434343"/>
      <w:sz w:val="21"/>
      <w:szCs w:val="21"/>
    </w:rPr>
  </w:style>
  <w:style w:type="character" w:customStyle="1" w:styleId="1229">
    <w:name w:val="单学凯段落格式 Char"/>
    <w:link w:val="1230"/>
    <w:autoRedefine/>
    <w:qFormat/>
    <w:uiPriority w:val="0"/>
    <w:rPr>
      <w:rFonts w:ascii="宋体" w:hAnsi="宋体"/>
      <w:sz w:val="24"/>
      <w:szCs w:val="28"/>
    </w:rPr>
  </w:style>
  <w:style w:type="paragraph" w:customStyle="1" w:styleId="1230">
    <w:name w:val="单学凯段落格式"/>
    <w:basedOn w:val="1"/>
    <w:link w:val="1229"/>
    <w:autoRedefine/>
    <w:qFormat/>
    <w:uiPriority w:val="0"/>
    <w:pPr>
      <w:spacing w:line="500" w:lineRule="exact"/>
      <w:ind w:firstLine="480" w:firstLineChars="200"/>
      <w:jc w:val="left"/>
    </w:pPr>
    <w:rPr>
      <w:rFonts w:ascii="宋体" w:hAnsi="宋体"/>
      <w:kern w:val="0"/>
      <w:sz w:val="24"/>
      <w:szCs w:val="28"/>
    </w:rPr>
  </w:style>
  <w:style w:type="character" w:customStyle="1" w:styleId="1231">
    <w:name w:val="表 头 Char"/>
    <w:link w:val="1232"/>
    <w:autoRedefine/>
    <w:qFormat/>
    <w:uiPriority w:val="0"/>
    <w:rPr>
      <w:spacing w:val="10"/>
      <w:sz w:val="24"/>
    </w:rPr>
  </w:style>
  <w:style w:type="paragraph" w:customStyle="1" w:styleId="1232">
    <w:name w:val="表 头"/>
    <w:basedOn w:val="1"/>
    <w:link w:val="1231"/>
    <w:autoRedefine/>
    <w:qFormat/>
    <w:uiPriority w:val="0"/>
    <w:pPr>
      <w:adjustRightInd w:val="0"/>
      <w:spacing w:line="500" w:lineRule="exact"/>
      <w:jc w:val="center"/>
    </w:pPr>
    <w:rPr>
      <w:spacing w:val="10"/>
      <w:kern w:val="0"/>
      <w:sz w:val="24"/>
      <w:szCs w:val="20"/>
    </w:rPr>
  </w:style>
  <w:style w:type="character" w:customStyle="1" w:styleId="1233">
    <w:name w:val="HTML 打字机11"/>
    <w:autoRedefine/>
    <w:qFormat/>
    <w:uiPriority w:val="0"/>
    <w:rPr>
      <w:rFonts w:hint="eastAsia" w:ascii="黑体" w:hAnsi="Courier New" w:eastAsia="黑体" w:cs="Courier New"/>
      <w:sz w:val="18"/>
      <w:szCs w:val="18"/>
    </w:rPr>
  </w:style>
  <w:style w:type="character" w:customStyle="1" w:styleId="1234">
    <w:name w:val="标题 5 字符"/>
    <w:autoRedefine/>
    <w:qFormat/>
    <w:uiPriority w:val="0"/>
    <w:rPr>
      <w:rFonts w:ascii="Times New Roman" w:hAnsi="Times New Roman" w:eastAsia="宋体" w:cs="Times New Roman"/>
      <w:b/>
      <w:bCs/>
      <w:kern w:val="0"/>
      <w:sz w:val="28"/>
      <w:szCs w:val="28"/>
    </w:rPr>
  </w:style>
  <w:style w:type="character" w:customStyle="1" w:styleId="1235">
    <w:name w:val="环正文 Char"/>
    <w:autoRedefine/>
    <w:qFormat/>
    <w:uiPriority w:val="0"/>
    <w:rPr>
      <w:rFonts w:ascii="宋体" w:hAnsi="Courier New" w:eastAsia="宋体" w:cs="Times New Roman"/>
      <w:kern w:val="2"/>
      <w:sz w:val="24"/>
      <w:lang w:val="en-US" w:eastAsia="zh-CN" w:bidi="ar-SA"/>
    </w:rPr>
  </w:style>
  <w:style w:type="character" w:customStyle="1" w:styleId="1236">
    <w:name w:val="批注框文本 字符"/>
    <w:autoRedefine/>
    <w:qFormat/>
    <w:uiPriority w:val="0"/>
    <w:rPr>
      <w:rFonts w:ascii="Times New Roman" w:hAnsi="Times New Roman" w:eastAsia="宋体" w:cs="Times New Roman"/>
      <w:kern w:val="0"/>
      <w:sz w:val="18"/>
      <w:szCs w:val="18"/>
    </w:rPr>
  </w:style>
  <w:style w:type="character" w:customStyle="1" w:styleId="1237">
    <w:name w:val="hangju"/>
    <w:autoRedefine/>
    <w:qFormat/>
    <w:uiPriority w:val="0"/>
  </w:style>
  <w:style w:type="character" w:customStyle="1" w:styleId="1238">
    <w:name w:val="Char Char Char Char Char Char Char14"/>
    <w:link w:val="1239"/>
    <w:autoRedefine/>
    <w:qFormat/>
    <w:locked/>
    <w:uiPriority w:val="0"/>
    <w:rPr>
      <w:rFonts w:ascii="宋体" w:hAnsi="宋体"/>
      <w:sz w:val="24"/>
      <w:szCs w:val="24"/>
    </w:rPr>
  </w:style>
  <w:style w:type="paragraph" w:customStyle="1" w:styleId="1239">
    <w:name w:val="Char Char Char Char Char Char1"/>
    <w:basedOn w:val="1"/>
    <w:link w:val="1238"/>
    <w:autoRedefine/>
    <w:qFormat/>
    <w:uiPriority w:val="0"/>
    <w:rPr>
      <w:rFonts w:ascii="宋体" w:hAnsi="宋体"/>
      <w:kern w:val="0"/>
      <w:sz w:val="24"/>
    </w:rPr>
  </w:style>
  <w:style w:type="character" w:customStyle="1" w:styleId="1240">
    <w:name w:val="bt21"/>
    <w:autoRedefine/>
    <w:qFormat/>
    <w:uiPriority w:val="0"/>
    <w:rPr>
      <w:rFonts w:ascii="黑体" w:eastAsia="黑体" w:cs="Times New Roman"/>
      <w:spacing w:val="400"/>
      <w:sz w:val="24"/>
      <w:szCs w:val="24"/>
    </w:rPr>
  </w:style>
  <w:style w:type="character" w:customStyle="1" w:styleId="1241">
    <w:name w:val="style61"/>
    <w:autoRedefine/>
    <w:qFormat/>
    <w:uiPriority w:val="0"/>
    <w:rPr>
      <w:rFonts w:cs="Times New Roman"/>
      <w:sz w:val="45"/>
      <w:szCs w:val="45"/>
    </w:rPr>
  </w:style>
  <w:style w:type="character" w:customStyle="1" w:styleId="1242">
    <w:name w:val="Char Char414"/>
    <w:autoRedefine/>
    <w:qFormat/>
    <w:uiPriority w:val="0"/>
    <w:rPr>
      <w:rFonts w:eastAsia="宋体"/>
      <w:kern w:val="2"/>
      <w:sz w:val="21"/>
      <w:szCs w:val="24"/>
      <w:lang w:val="en-US" w:eastAsia="zh-CN" w:bidi="ar-SA"/>
    </w:rPr>
  </w:style>
  <w:style w:type="character" w:customStyle="1" w:styleId="1243">
    <w:name w:val="单学凯小节标题 Char"/>
    <w:link w:val="1244"/>
    <w:autoRedefine/>
    <w:qFormat/>
    <w:uiPriority w:val="0"/>
    <w:rPr>
      <w:rFonts w:ascii="宋体" w:hAnsi="宋体"/>
      <w:bCs/>
      <w:color w:val="000000"/>
      <w:sz w:val="24"/>
      <w:szCs w:val="24"/>
    </w:rPr>
  </w:style>
  <w:style w:type="paragraph" w:customStyle="1" w:styleId="1244">
    <w:name w:val="单学凯小节标题"/>
    <w:basedOn w:val="1"/>
    <w:link w:val="1243"/>
    <w:autoRedefine/>
    <w:qFormat/>
    <w:uiPriority w:val="0"/>
    <w:pPr>
      <w:widowControl/>
      <w:tabs>
        <w:tab w:val="left" w:pos="5094"/>
      </w:tabs>
      <w:adjustRightInd w:val="0"/>
      <w:spacing w:beforeLines="50" w:afterLines="50" w:line="500" w:lineRule="exact"/>
      <w:ind w:firstLine="480" w:firstLineChars="200"/>
      <w:textAlignment w:val="baseline"/>
    </w:pPr>
    <w:rPr>
      <w:rFonts w:ascii="宋体" w:hAnsi="宋体"/>
      <w:bCs/>
      <w:color w:val="000000"/>
      <w:kern w:val="0"/>
      <w:sz w:val="24"/>
    </w:rPr>
  </w:style>
  <w:style w:type="character" w:customStyle="1" w:styleId="1245">
    <w:name w:val="0经营正文 Char"/>
    <w:link w:val="1246"/>
    <w:autoRedefine/>
    <w:qFormat/>
    <w:uiPriority w:val="0"/>
    <w:rPr>
      <w:rFonts w:ascii="宋体" w:hAnsi="宋体"/>
      <w:kern w:val="2"/>
      <w:sz w:val="24"/>
      <w:szCs w:val="24"/>
    </w:rPr>
  </w:style>
  <w:style w:type="paragraph" w:customStyle="1" w:styleId="1246">
    <w:name w:val="0经营正文"/>
    <w:basedOn w:val="1"/>
    <w:link w:val="1245"/>
    <w:autoRedefine/>
    <w:qFormat/>
    <w:uiPriority w:val="0"/>
    <w:pPr>
      <w:spacing w:line="360" w:lineRule="auto"/>
      <w:ind w:firstLine="480" w:firstLineChars="200"/>
    </w:pPr>
    <w:rPr>
      <w:rFonts w:ascii="宋体" w:hAnsi="宋体"/>
      <w:sz w:val="24"/>
    </w:rPr>
  </w:style>
  <w:style w:type="character" w:customStyle="1" w:styleId="1247">
    <w:name w:val="表注 Char"/>
    <w:link w:val="1248"/>
    <w:autoRedefine/>
    <w:qFormat/>
    <w:uiPriority w:val="0"/>
    <w:rPr>
      <w:rFonts w:ascii="宋体" w:hAnsi="宋体" w:cs="Courier New"/>
      <w:b/>
      <w:spacing w:val="10"/>
      <w:sz w:val="18"/>
      <w:szCs w:val="21"/>
    </w:rPr>
  </w:style>
  <w:style w:type="paragraph" w:customStyle="1" w:styleId="1248">
    <w:name w:val="表注"/>
    <w:basedOn w:val="1"/>
    <w:next w:val="1"/>
    <w:link w:val="1247"/>
    <w:autoRedefine/>
    <w:qFormat/>
    <w:uiPriority w:val="0"/>
    <w:pPr>
      <w:keepLines/>
      <w:spacing w:line="240" w:lineRule="atLeast"/>
    </w:pPr>
    <w:rPr>
      <w:rFonts w:ascii="宋体" w:hAnsi="宋体" w:cs="Courier New"/>
      <w:b/>
      <w:spacing w:val="10"/>
      <w:kern w:val="0"/>
      <w:sz w:val="18"/>
      <w:szCs w:val="21"/>
    </w:rPr>
  </w:style>
  <w:style w:type="character" w:customStyle="1" w:styleId="1249">
    <w:name w:val="fcpjsfont1"/>
    <w:autoRedefine/>
    <w:qFormat/>
    <w:uiPriority w:val="0"/>
  </w:style>
  <w:style w:type="character" w:customStyle="1" w:styleId="1250">
    <w:name w:val="z-窗体底端 Char1"/>
    <w:autoRedefine/>
    <w:qFormat/>
    <w:uiPriority w:val="99"/>
    <w:rPr>
      <w:rFonts w:ascii="Arial" w:hAnsi="Arial" w:cs="Arial"/>
      <w:vanish/>
      <w:kern w:val="2"/>
      <w:sz w:val="16"/>
      <w:szCs w:val="16"/>
    </w:rPr>
  </w:style>
  <w:style w:type="character" w:customStyle="1" w:styleId="1251">
    <w:name w:val="高表单 Char Char"/>
    <w:autoRedefine/>
    <w:qFormat/>
    <w:uiPriority w:val="0"/>
    <w:rPr>
      <w:rFonts w:ascii="Arial" w:hAnsi="Arial" w:eastAsia="宋体"/>
      <w:kern w:val="2"/>
      <w:sz w:val="21"/>
      <w:szCs w:val="21"/>
      <w:lang w:val="en-US" w:eastAsia="zh-CN" w:bidi="ar-SA"/>
    </w:rPr>
  </w:style>
  <w:style w:type="paragraph" w:customStyle="1" w:styleId="1252">
    <w:name w:val="xl127"/>
    <w:basedOn w:val="1"/>
    <w:autoRedefine/>
    <w:qFormat/>
    <w:uiPriority w:val="0"/>
    <w:pPr>
      <w:widowControl/>
      <w:pBdr>
        <w:top w:val="single" w:color="auto" w:sz="8" w:space="0"/>
        <w:bottom w:val="single" w:color="auto" w:sz="8" w:space="0"/>
      </w:pBdr>
      <w:spacing w:before="100" w:beforeAutospacing="1" w:after="100" w:afterAutospacing="1"/>
      <w:jc w:val="center"/>
    </w:pPr>
    <w:rPr>
      <w:rFonts w:ascii="Arial Unicode MS" w:hAnsi="Arial Unicode MS"/>
      <w:kern w:val="0"/>
      <w:sz w:val="16"/>
      <w:szCs w:val="16"/>
    </w:rPr>
  </w:style>
  <w:style w:type="paragraph" w:customStyle="1" w:styleId="1253">
    <w:name w:val="四级标题1.1.1.1"/>
    <w:basedOn w:val="1"/>
    <w:next w:val="1"/>
    <w:autoRedefine/>
    <w:qFormat/>
    <w:uiPriority w:val="0"/>
    <w:pPr>
      <w:keepNext/>
      <w:keepLines/>
      <w:widowControl/>
      <w:adjustRightInd w:val="0"/>
      <w:spacing w:before="40" w:after="40" w:line="360" w:lineRule="auto"/>
      <w:ind w:firstLine="200" w:firstLineChars="200"/>
      <w:textAlignment w:val="baseline"/>
      <w:outlineLvl w:val="3"/>
    </w:pPr>
    <w:rPr>
      <w:rFonts w:eastAsia="仿宋_GB2312" w:cs="宋体"/>
      <w:b/>
      <w:kern w:val="0"/>
      <w:sz w:val="24"/>
      <w:szCs w:val="28"/>
    </w:rPr>
  </w:style>
  <w:style w:type="paragraph" w:customStyle="1" w:styleId="1254">
    <w:name w:val="xl136"/>
    <w:basedOn w:val="1"/>
    <w:autoRedefine/>
    <w:qFormat/>
    <w:uiPriority w:val="0"/>
    <w:pPr>
      <w:widowControl/>
      <w:spacing w:before="100" w:beforeAutospacing="1" w:after="100" w:afterAutospacing="1"/>
      <w:jc w:val="left"/>
    </w:pPr>
    <w:rPr>
      <w:rFonts w:ascii="Arial Unicode MS" w:hAnsi="Arial Unicode MS"/>
      <w:kern w:val="0"/>
      <w:sz w:val="12"/>
      <w:szCs w:val="12"/>
    </w:rPr>
  </w:style>
  <w:style w:type="paragraph" w:customStyle="1" w:styleId="1255">
    <w:name w:val="Char Char Char Char Char Char Char Char Char Char Char Char Char1"/>
    <w:basedOn w:val="1"/>
    <w:autoRedefine/>
    <w:qFormat/>
    <w:uiPriority w:val="0"/>
    <w:pPr>
      <w:widowControl/>
      <w:spacing w:after="160" w:line="240" w:lineRule="exact"/>
      <w:jc w:val="left"/>
    </w:pPr>
    <w:rPr>
      <w:rFonts w:ascii="Arial" w:hAnsi="Arial" w:cs="Verdana"/>
      <w:b/>
      <w:kern w:val="0"/>
      <w:sz w:val="24"/>
      <w:lang w:eastAsia="en-US"/>
    </w:rPr>
  </w:style>
  <w:style w:type="paragraph" w:customStyle="1" w:styleId="1256">
    <w:name w:val="xl167"/>
    <w:basedOn w:val="1"/>
    <w:autoRedefine/>
    <w:qFormat/>
    <w:uiPriority w:val="0"/>
    <w:pPr>
      <w:widowControl/>
      <w:pBdr>
        <w:bottom w:val="single" w:color="auto" w:sz="12" w:space="0"/>
      </w:pBdr>
      <w:spacing w:before="100" w:beforeAutospacing="1" w:after="100" w:afterAutospacing="1"/>
      <w:jc w:val="center"/>
    </w:pPr>
    <w:rPr>
      <w:rFonts w:ascii="Arial Unicode MS" w:hAnsi="Arial Unicode MS"/>
      <w:kern w:val="0"/>
    </w:rPr>
  </w:style>
  <w:style w:type="paragraph" w:customStyle="1" w:styleId="1257">
    <w:name w:val="首消息标题"/>
    <w:basedOn w:val="69"/>
    <w:next w:val="69"/>
    <w:autoRedefine/>
    <w:qFormat/>
    <w:uiPriority w:val="0"/>
    <w:pPr>
      <w:keepLines/>
      <w:widowControl/>
      <w:pBdr>
        <w:top w:val="none" w:color="auto" w:sz="0" w:space="0"/>
        <w:left w:val="none" w:color="auto" w:sz="0" w:space="0"/>
        <w:bottom w:val="none" w:color="auto" w:sz="0" w:space="0"/>
        <w:right w:val="none" w:color="auto" w:sz="0" w:space="0"/>
      </w:pBdr>
      <w:shd w:val="clear" w:color="auto" w:fill="auto"/>
      <w:adjustRightInd w:val="0"/>
      <w:spacing w:before="0" w:after="40" w:line="140" w:lineRule="atLeast"/>
      <w:ind w:left="360" w:firstLine="0"/>
      <w:jc w:val="left"/>
    </w:pPr>
    <w:rPr>
      <w:rFonts w:ascii="Garamond" w:hAnsi="Garamond" w:eastAsia="宋体" w:cs="Arial"/>
      <w:spacing w:val="-5"/>
      <w:sz w:val="24"/>
      <w:shd w:val="clear" w:color="auto" w:fill="auto"/>
    </w:rPr>
  </w:style>
  <w:style w:type="paragraph" w:customStyle="1" w:styleId="1258">
    <w:name w:val="样式 标题 3条标题1.1.1条标题1.1.11条标题1.1.12条标题1.1.13条标题1.1.111条标题1.1..."/>
    <w:basedOn w:val="5"/>
    <w:autoRedefine/>
    <w:qFormat/>
    <w:uiPriority w:val="0"/>
    <w:pPr>
      <w:tabs>
        <w:tab w:val="left" w:pos="1418"/>
      </w:tabs>
      <w:spacing w:before="0" w:after="0" w:line="500" w:lineRule="exact"/>
    </w:pPr>
    <w:rPr>
      <w:rFonts w:ascii="宋体" w:hAnsi="宋体"/>
      <w:bCs w:val="0"/>
      <w:sz w:val="28"/>
      <w:szCs w:val="20"/>
      <w:lang w:val="zh-CN"/>
    </w:rPr>
  </w:style>
  <w:style w:type="paragraph" w:customStyle="1" w:styleId="1259">
    <w:name w:val="xl174"/>
    <w:basedOn w:val="1"/>
    <w:autoRedefine/>
    <w:qFormat/>
    <w:uiPriority w:val="0"/>
    <w:pPr>
      <w:widowControl/>
      <w:spacing w:before="100" w:beforeAutospacing="1" w:after="100" w:afterAutospacing="1"/>
      <w:jc w:val="center"/>
    </w:pPr>
    <w:rPr>
      <w:rFonts w:ascii="Arial Unicode MS" w:hAnsi="Arial Unicode MS"/>
      <w:kern w:val="0"/>
      <w:sz w:val="16"/>
      <w:szCs w:val="16"/>
    </w:rPr>
  </w:style>
  <w:style w:type="paragraph" w:customStyle="1" w:styleId="1260">
    <w:name w:val="Char Char Char1 Char Char Char Char Char Char1 Char Char Char Char Char Char Char Char Char Char1"/>
    <w:basedOn w:val="1"/>
    <w:autoRedefine/>
    <w:qFormat/>
    <w:uiPriority w:val="0"/>
    <w:rPr>
      <w:rFonts w:ascii="宋体" w:hAnsi="宋体"/>
      <w:sz w:val="24"/>
    </w:rPr>
  </w:style>
  <w:style w:type="paragraph" w:customStyle="1" w:styleId="1261">
    <w:name w:val="正文 New New New New New New New New New New New New New New New New New New New New"/>
    <w:autoRedefine/>
    <w:qFormat/>
    <w:uiPriority w:val="0"/>
    <w:pPr>
      <w:widowControl w:val="0"/>
      <w:jc w:val="both"/>
    </w:pPr>
    <w:rPr>
      <w:rFonts w:ascii="Times New Roman" w:hAnsi="Times New Roman" w:eastAsia="仿宋_GB2312" w:cs="Times New Roman"/>
      <w:kern w:val="2"/>
      <w:sz w:val="32"/>
      <w:szCs w:val="24"/>
      <w:lang w:val="en-US" w:eastAsia="zh-CN" w:bidi="ar-SA"/>
    </w:rPr>
  </w:style>
  <w:style w:type="paragraph" w:customStyle="1" w:styleId="1262">
    <w:name w:val="样式 标题 11.标题 1章标题 1H1Section HeadHeader1h11st levell1Hea..."/>
    <w:basedOn w:val="3"/>
    <w:autoRedefine/>
    <w:qFormat/>
    <w:uiPriority w:val="0"/>
    <w:pPr>
      <w:keepLines/>
      <w:tabs>
        <w:tab w:val="left" w:pos="425"/>
      </w:tabs>
      <w:overflowPunct/>
      <w:snapToGrid/>
      <w:spacing w:before="0" w:after="0" w:line="360" w:lineRule="auto"/>
      <w:ind w:left="425" w:hanging="425"/>
    </w:pPr>
    <w:rPr>
      <w:rFonts w:eastAsia="宋体" w:cs="宋体"/>
      <w:b w:val="0"/>
      <w:bCs w:val="0"/>
      <w:color w:val="auto"/>
      <w:szCs w:val="20"/>
      <w:lang w:val="zh-CN"/>
    </w:rPr>
  </w:style>
  <w:style w:type="paragraph" w:customStyle="1" w:styleId="1263">
    <w:name w:val="样式 居中 首行缩进:  0.85 厘米 行距: 固定值 25 磅"/>
    <w:basedOn w:val="1"/>
    <w:autoRedefine/>
    <w:qFormat/>
    <w:uiPriority w:val="0"/>
    <w:pPr>
      <w:spacing w:line="500" w:lineRule="exact"/>
      <w:jc w:val="center"/>
    </w:pPr>
    <w:rPr>
      <w:szCs w:val="20"/>
    </w:rPr>
  </w:style>
  <w:style w:type="paragraph" w:customStyle="1" w:styleId="1264">
    <w:name w:val="xl44"/>
    <w:basedOn w:val="1"/>
    <w:autoRedefine/>
    <w:qFormat/>
    <w:uiPriority w:val="0"/>
    <w:pPr>
      <w:widowControl/>
      <w:pBdr>
        <w:right w:val="single" w:color="auto" w:sz="12" w:space="0"/>
      </w:pBdr>
      <w:spacing w:before="100" w:beforeAutospacing="1" w:after="100" w:afterAutospacing="1"/>
      <w:jc w:val="left"/>
    </w:pPr>
    <w:rPr>
      <w:rFonts w:ascii="Arial Unicode MS" w:hAnsi="Arial Unicode MS"/>
      <w:kern w:val="0"/>
      <w:sz w:val="16"/>
      <w:szCs w:val="16"/>
    </w:rPr>
  </w:style>
  <w:style w:type="paragraph" w:customStyle="1" w:styleId="1265">
    <w:name w:val="表格新"/>
    <w:basedOn w:val="1"/>
    <w:autoRedefine/>
    <w:qFormat/>
    <w:uiPriority w:val="0"/>
    <w:pPr>
      <w:tabs>
        <w:tab w:val="left" w:pos="360"/>
      </w:tabs>
      <w:adjustRightInd w:val="0"/>
      <w:snapToGrid w:val="0"/>
      <w:jc w:val="center"/>
      <w:outlineLvl w:val="2"/>
    </w:pPr>
    <w:rPr>
      <w:rFonts w:ascii="宋体" w:hAnsi="宋体"/>
      <w:kern w:val="0"/>
      <w:szCs w:val="21"/>
    </w:rPr>
  </w:style>
  <w:style w:type="paragraph" w:customStyle="1" w:styleId="1266">
    <w:name w:val="Char Char Char Char Char Char Char Char Char1 Char Char Char Char7"/>
    <w:basedOn w:val="1"/>
    <w:autoRedefine/>
    <w:qFormat/>
    <w:uiPriority w:val="0"/>
    <w:rPr>
      <w:szCs w:val="21"/>
    </w:rPr>
  </w:style>
  <w:style w:type="paragraph" w:customStyle="1" w:styleId="1267">
    <w:name w:val="文件编号"/>
    <w:basedOn w:val="1"/>
    <w:next w:val="1"/>
    <w:autoRedefine/>
    <w:qFormat/>
    <w:uiPriority w:val="0"/>
    <w:pPr>
      <w:jc w:val="center"/>
    </w:pPr>
    <w:rPr>
      <w:rFonts w:ascii="黑体" w:eastAsia="黑体"/>
      <w:sz w:val="44"/>
      <w:szCs w:val="44"/>
    </w:rPr>
  </w:style>
  <w:style w:type="paragraph" w:customStyle="1" w:styleId="1268">
    <w:name w:val="正文文本缩进11"/>
    <w:basedOn w:val="1"/>
    <w:autoRedefine/>
    <w:qFormat/>
    <w:uiPriority w:val="0"/>
    <w:pPr>
      <w:spacing w:after="120" w:line="360" w:lineRule="auto"/>
      <w:ind w:left="420" w:leftChars="200" w:firstLine="200" w:firstLineChars="200"/>
    </w:pPr>
    <w:rPr>
      <w:sz w:val="24"/>
    </w:rPr>
  </w:style>
  <w:style w:type="paragraph" w:customStyle="1" w:styleId="1269">
    <w:name w:val="xl152"/>
    <w:basedOn w:val="1"/>
    <w:autoRedefine/>
    <w:qFormat/>
    <w:uiPriority w:val="0"/>
    <w:pPr>
      <w:widowControl/>
      <w:spacing w:before="100" w:beforeAutospacing="1" w:after="100" w:afterAutospacing="1"/>
      <w:jc w:val="left"/>
    </w:pPr>
    <w:rPr>
      <w:rFonts w:ascii="Arial Unicode MS" w:hAnsi="Arial Unicode MS"/>
      <w:kern w:val="0"/>
      <w:sz w:val="16"/>
      <w:szCs w:val="16"/>
    </w:rPr>
  </w:style>
  <w:style w:type="paragraph" w:customStyle="1" w:styleId="1270">
    <w:name w:val="xl169"/>
    <w:basedOn w:val="1"/>
    <w:autoRedefine/>
    <w:qFormat/>
    <w:uiPriority w:val="0"/>
    <w:pPr>
      <w:widowControl/>
      <w:pBdr>
        <w:right w:val="single" w:color="auto" w:sz="4" w:space="0"/>
      </w:pBdr>
      <w:spacing w:before="100" w:beforeAutospacing="1" w:after="100" w:afterAutospacing="1"/>
      <w:jc w:val="center"/>
    </w:pPr>
    <w:rPr>
      <w:rFonts w:ascii="Arial Unicode MS" w:hAnsi="Arial Unicode MS"/>
      <w:kern w:val="0"/>
    </w:rPr>
  </w:style>
  <w:style w:type="paragraph" w:customStyle="1" w:styleId="1271">
    <w:name w:val="纯文本1"/>
    <w:basedOn w:val="1"/>
    <w:autoRedefine/>
    <w:qFormat/>
    <w:uiPriority w:val="0"/>
    <w:pPr>
      <w:adjustRightInd w:val="0"/>
      <w:textAlignment w:val="baseline"/>
    </w:pPr>
    <w:rPr>
      <w:rFonts w:ascii="宋体" w:hAnsi="Courier New"/>
      <w:szCs w:val="20"/>
    </w:rPr>
  </w:style>
  <w:style w:type="paragraph" w:customStyle="1" w:styleId="1272">
    <w:name w:val="样式 13.5 磅 首行缩进:  2 字符"/>
    <w:basedOn w:val="1"/>
    <w:autoRedefine/>
    <w:qFormat/>
    <w:uiPriority w:val="0"/>
    <w:pPr>
      <w:ind w:left="2" w:leftChars="1" w:firstLine="480" w:firstLineChars="200"/>
      <w:jc w:val="left"/>
    </w:pPr>
    <w:rPr>
      <w:rFonts w:cs="宋体"/>
      <w:kern w:val="10"/>
      <w:sz w:val="24"/>
    </w:rPr>
  </w:style>
  <w:style w:type="paragraph" w:customStyle="1" w:styleId="1273">
    <w:name w:val="pic-info"/>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1274">
    <w:name w:val="Char Char1 Char"/>
    <w:basedOn w:val="1"/>
    <w:autoRedefine/>
    <w:qFormat/>
    <w:uiPriority w:val="0"/>
    <w:rPr>
      <w:sz w:val="24"/>
    </w:rPr>
  </w:style>
  <w:style w:type="paragraph" w:customStyle="1" w:styleId="1275">
    <w:name w:val="Char Char3 Char5"/>
    <w:basedOn w:val="1"/>
    <w:autoRedefine/>
    <w:qFormat/>
    <w:uiPriority w:val="0"/>
    <w:rPr>
      <w:rFonts w:ascii="Tahoma" w:hAnsi="Tahoma"/>
      <w:sz w:val="24"/>
      <w:szCs w:val="20"/>
    </w:rPr>
  </w:style>
  <w:style w:type="paragraph" w:customStyle="1" w:styleId="1276">
    <w:name w:val="正文文本缩进 31"/>
    <w:basedOn w:val="1"/>
    <w:autoRedefine/>
    <w:qFormat/>
    <w:uiPriority w:val="0"/>
    <w:pPr>
      <w:adjustRightInd w:val="0"/>
      <w:spacing w:line="480" w:lineRule="exact"/>
      <w:ind w:firstLine="525"/>
      <w:textAlignment w:val="baseline"/>
    </w:pPr>
    <w:rPr>
      <w:rFonts w:ascii="宋体"/>
      <w:sz w:val="28"/>
      <w:szCs w:val="20"/>
    </w:rPr>
  </w:style>
  <w:style w:type="paragraph" w:customStyle="1" w:styleId="1277">
    <w:name w:val="原料"/>
    <w:basedOn w:val="1"/>
    <w:autoRedefine/>
    <w:qFormat/>
    <w:uiPriority w:val="0"/>
    <w:pPr>
      <w:adjustRightInd w:val="0"/>
      <w:spacing w:line="315" w:lineRule="atLeast"/>
      <w:jc w:val="left"/>
      <w:textAlignment w:val="baseline"/>
    </w:pPr>
    <w:rPr>
      <w:rFonts w:ascii="宋体" w:hAnsi="宋体"/>
      <w:spacing w:val="-2"/>
      <w:kern w:val="0"/>
      <w:sz w:val="28"/>
      <w:szCs w:val="20"/>
    </w:rPr>
  </w:style>
  <w:style w:type="paragraph" w:customStyle="1" w:styleId="1278">
    <w:name w:val="3级标题"/>
    <w:basedOn w:val="1"/>
    <w:autoRedefine/>
    <w:qFormat/>
    <w:uiPriority w:val="0"/>
    <w:pPr>
      <w:keepNext/>
      <w:keepLines/>
      <w:adjustRightInd w:val="0"/>
      <w:snapToGrid w:val="0"/>
      <w:spacing w:before="80" w:after="80" w:line="400" w:lineRule="exact"/>
      <w:outlineLvl w:val="2"/>
    </w:pPr>
    <w:rPr>
      <w:b/>
      <w:color w:val="000000"/>
      <w:sz w:val="24"/>
      <w:szCs w:val="20"/>
    </w:rPr>
  </w:style>
  <w:style w:type="paragraph" w:customStyle="1" w:styleId="1279">
    <w:name w:val="表图1"/>
    <w:basedOn w:val="1"/>
    <w:autoRedefine/>
    <w:qFormat/>
    <w:uiPriority w:val="0"/>
    <w:pPr>
      <w:widowControl/>
      <w:spacing w:line="0" w:lineRule="atLeast"/>
      <w:jc w:val="left"/>
    </w:pPr>
    <w:rPr>
      <w:rFonts w:ascii="宋体" w:hAnsi="宋体" w:cs="宋体"/>
      <w:kern w:val="0"/>
      <w:sz w:val="24"/>
    </w:rPr>
  </w:style>
  <w:style w:type="paragraph" w:customStyle="1" w:styleId="1280">
    <w:name w:val="环评表样式1"/>
    <w:basedOn w:val="75"/>
    <w:autoRedefine/>
    <w:qFormat/>
    <w:uiPriority w:val="0"/>
    <w:pPr>
      <w:widowControl/>
      <w:adjustRightInd w:val="0"/>
      <w:spacing w:before="360" w:after="360" w:line="160" w:lineRule="atLeast"/>
      <w:textAlignment w:val="baseline"/>
    </w:pPr>
    <w:rPr>
      <w:rFonts w:ascii="黑体" w:eastAsia="黑体" w:cs="宋体"/>
      <w:bCs w:val="0"/>
      <w:kern w:val="0"/>
      <w:sz w:val="48"/>
      <w:szCs w:val="24"/>
    </w:rPr>
  </w:style>
  <w:style w:type="paragraph" w:customStyle="1" w:styleId="1281">
    <w:name w:val="样式 小二 加粗 段前: 7.8 磅 段后: 7.8 磅 行距: 固定值 22 磅"/>
    <w:basedOn w:val="1"/>
    <w:autoRedefine/>
    <w:qFormat/>
    <w:uiPriority w:val="0"/>
    <w:pPr>
      <w:spacing w:beforeLines="50" w:afterLines="50" w:line="440" w:lineRule="exact"/>
    </w:pPr>
    <w:rPr>
      <w:rFonts w:cs="宋体"/>
      <w:b/>
      <w:bCs/>
      <w:sz w:val="36"/>
      <w:szCs w:val="20"/>
    </w:rPr>
  </w:style>
  <w:style w:type="paragraph" w:customStyle="1" w:styleId="1282">
    <w:name w:val="样式 正文文本 + 首行缩进:  2 字符4"/>
    <w:basedOn w:val="33"/>
    <w:autoRedefine/>
    <w:qFormat/>
    <w:uiPriority w:val="0"/>
    <w:pPr>
      <w:widowControl w:val="0"/>
      <w:adjustRightInd w:val="0"/>
      <w:snapToGrid/>
      <w:spacing w:before="0" w:after="0" w:line="240" w:lineRule="auto"/>
      <w:ind w:right="0"/>
      <w:textAlignment w:val="baseline"/>
    </w:pPr>
    <w:rPr>
      <w:rFonts w:eastAsia="仿宋_GB2312" w:cs="宋体"/>
      <w:color w:val="000000"/>
      <w:kern w:val="2"/>
      <w:sz w:val="21"/>
      <w:szCs w:val="21"/>
      <w:lang w:val="zh-CN"/>
    </w:rPr>
  </w:style>
  <w:style w:type="paragraph" w:customStyle="1" w:styleId="1283">
    <w:name w:val="zg1"/>
    <w:basedOn w:val="34"/>
    <w:autoRedefine/>
    <w:qFormat/>
    <w:uiPriority w:val="0"/>
    <w:pPr>
      <w:spacing w:after="0" w:line="360" w:lineRule="auto"/>
      <w:ind w:left="0" w:leftChars="0" w:firstLine="425"/>
    </w:pPr>
    <w:rPr>
      <w:kern w:val="2"/>
      <w:lang w:val="zh-CN"/>
    </w:rPr>
  </w:style>
  <w:style w:type="paragraph" w:customStyle="1" w:styleId="1284">
    <w:name w:val="验方正文"/>
    <w:basedOn w:val="1"/>
    <w:autoRedefine/>
    <w:qFormat/>
    <w:uiPriority w:val="0"/>
    <w:pPr>
      <w:adjustRightInd w:val="0"/>
      <w:spacing w:line="312" w:lineRule="atLeast"/>
      <w:ind w:firstLine="686"/>
      <w:textAlignment w:val="baseline"/>
    </w:pPr>
    <w:rPr>
      <w:rFonts w:ascii="仿宋_GB2312" w:hAnsi="Courier New" w:eastAsia="仿宋_GB2312"/>
      <w:kern w:val="0"/>
      <w:sz w:val="28"/>
      <w:szCs w:val="20"/>
    </w:rPr>
  </w:style>
  <w:style w:type="paragraph" w:customStyle="1" w:styleId="1285">
    <w:name w:val="博士论文正文"/>
    <w:basedOn w:val="1"/>
    <w:autoRedefine/>
    <w:qFormat/>
    <w:uiPriority w:val="0"/>
    <w:pPr>
      <w:spacing w:line="360" w:lineRule="auto"/>
      <w:ind w:firstLine="200" w:firstLineChars="200"/>
    </w:pPr>
    <w:rPr>
      <w:sz w:val="24"/>
    </w:rPr>
  </w:style>
  <w:style w:type="paragraph" w:customStyle="1" w:styleId="1286">
    <w:name w:val="表体"/>
    <w:basedOn w:val="1"/>
    <w:autoRedefine/>
    <w:qFormat/>
    <w:uiPriority w:val="0"/>
    <w:pPr>
      <w:overflowPunct w:val="0"/>
      <w:adjustRightInd w:val="0"/>
      <w:spacing w:line="300" w:lineRule="atLeast"/>
      <w:jc w:val="center"/>
      <w:textAlignment w:val="baseline"/>
    </w:pPr>
    <w:rPr>
      <w:color w:val="000000"/>
      <w:kern w:val="24"/>
      <w:sz w:val="18"/>
      <w:szCs w:val="20"/>
    </w:rPr>
  </w:style>
  <w:style w:type="paragraph" w:customStyle="1" w:styleId="1287">
    <w:name w:val="标题正4"/>
    <w:basedOn w:val="1"/>
    <w:autoRedefine/>
    <w:qFormat/>
    <w:uiPriority w:val="0"/>
    <w:pPr>
      <w:jc w:val="center"/>
    </w:pPr>
    <w:rPr>
      <w:rFonts w:ascii="仿宋_GB2312" w:eastAsia="仿宋_GB2312"/>
      <w:color w:val="000000"/>
    </w:rPr>
  </w:style>
  <w:style w:type="paragraph" w:customStyle="1" w:styleId="1288">
    <w:name w:val="Char Char Char Char Char Char Char Char Char Char Char Char Char4"/>
    <w:basedOn w:val="1"/>
    <w:autoRedefine/>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1289">
    <w:name w:val="表格（大）"/>
    <w:basedOn w:val="131"/>
    <w:autoRedefine/>
    <w:qFormat/>
    <w:uiPriority w:val="0"/>
    <w:pPr>
      <w:widowControl/>
      <w:tabs>
        <w:tab w:val="left" w:pos="425"/>
        <w:tab w:val="left" w:pos="780"/>
      </w:tabs>
      <w:spacing w:beforeLines="0" w:afterLines="0" w:line="240" w:lineRule="auto"/>
      <w:ind w:left="780" w:hanging="360"/>
      <w:jc w:val="both"/>
    </w:pPr>
    <w:rPr>
      <w:rFonts w:ascii="Times New Roman" w:cs="宋体"/>
      <w:kern w:val="2"/>
      <w:szCs w:val="24"/>
      <w:lang w:val="zh-CN"/>
    </w:rPr>
  </w:style>
  <w:style w:type="paragraph" w:customStyle="1" w:styleId="1290">
    <w:name w:val="xl47"/>
    <w:basedOn w:val="1"/>
    <w:autoRedefine/>
    <w:qFormat/>
    <w:uiPriority w:val="0"/>
    <w:pPr>
      <w:widowControl/>
      <w:pBdr>
        <w:top w:val="single" w:color="auto" w:sz="12" w:space="0"/>
      </w:pBdr>
      <w:spacing w:before="100" w:beforeAutospacing="1" w:after="100" w:afterAutospacing="1"/>
      <w:jc w:val="center"/>
    </w:pPr>
    <w:rPr>
      <w:rFonts w:ascii="Arial Unicode MS" w:hAnsi="Arial Unicode MS"/>
      <w:kern w:val="0"/>
      <w:sz w:val="16"/>
      <w:szCs w:val="16"/>
    </w:rPr>
  </w:style>
  <w:style w:type="paragraph" w:customStyle="1" w:styleId="1291">
    <w:name w:val="正文新"/>
    <w:basedOn w:val="42"/>
    <w:autoRedefine/>
    <w:qFormat/>
    <w:uiPriority w:val="0"/>
    <w:pPr>
      <w:spacing w:line="300" w:lineRule="auto"/>
      <w:ind w:firstLine="510"/>
    </w:pPr>
    <w:rPr>
      <w:rFonts w:hAnsi="Arial"/>
      <w:kern w:val="0"/>
      <w:sz w:val="24"/>
      <w:szCs w:val="20"/>
    </w:rPr>
  </w:style>
  <w:style w:type="paragraph" w:customStyle="1" w:styleId="1292">
    <w:name w:val="宏福4"/>
    <w:basedOn w:val="1"/>
    <w:autoRedefine/>
    <w:qFormat/>
    <w:uiPriority w:val="0"/>
    <w:pPr>
      <w:adjustRightInd w:val="0"/>
      <w:spacing w:line="400" w:lineRule="atLeast"/>
      <w:ind w:firstLine="567"/>
      <w:jc w:val="left"/>
      <w:textAlignment w:val="baseline"/>
    </w:pPr>
    <w:rPr>
      <w:sz w:val="28"/>
      <w:szCs w:val="28"/>
    </w:rPr>
  </w:style>
  <w:style w:type="paragraph" w:customStyle="1" w:styleId="1293">
    <w:name w:val="目录 2 Char Char"/>
    <w:basedOn w:val="1"/>
    <w:next w:val="1"/>
    <w:autoRedefine/>
    <w:qFormat/>
    <w:uiPriority w:val="0"/>
    <w:pPr>
      <w:spacing w:line="351" w:lineRule="atLeast"/>
      <w:ind w:left="209" w:firstLine="419"/>
      <w:jc w:val="left"/>
    </w:pPr>
    <w:rPr>
      <w:rFonts w:hint="eastAsia"/>
      <w:szCs w:val="20"/>
    </w:rPr>
  </w:style>
  <w:style w:type="paragraph" w:customStyle="1" w:styleId="1294">
    <w:name w:val="z-Top of Form1"/>
    <w:basedOn w:val="1"/>
    <w:next w:val="1"/>
    <w:autoRedefine/>
    <w:qFormat/>
    <w:uiPriority w:val="0"/>
    <w:pPr>
      <w:pBdr>
        <w:bottom w:val="single" w:color="auto" w:sz="6" w:space="1"/>
      </w:pBdr>
      <w:adjustRightInd w:val="0"/>
      <w:snapToGrid w:val="0"/>
      <w:spacing w:line="300" w:lineRule="auto"/>
      <w:jc w:val="center"/>
    </w:pPr>
    <w:rPr>
      <w:rFonts w:ascii="Arial" w:hAnsi="Arial" w:eastAsia="仿宋_GB2312"/>
      <w:vanish/>
      <w:kern w:val="0"/>
      <w:sz w:val="16"/>
      <w:szCs w:val="20"/>
    </w:rPr>
  </w:style>
  <w:style w:type="paragraph" w:customStyle="1" w:styleId="1295">
    <w:name w:val="Char Char Char Char Char Char Char7"/>
    <w:basedOn w:val="1"/>
    <w:autoRedefine/>
    <w:qFormat/>
    <w:uiPriority w:val="0"/>
  </w:style>
  <w:style w:type="paragraph" w:customStyle="1" w:styleId="1296">
    <w:name w:val="font25"/>
    <w:basedOn w:val="1"/>
    <w:autoRedefine/>
    <w:qFormat/>
    <w:uiPriority w:val="0"/>
    <w:pPr>
      <w:widowControl/>
      <w:spacing w:before="100" w:beforeAutospacing="1" w:after="100" w:afterAutospacing="1"/>
      <w:jc w:val="left"/>
    </w:pPr>
    <w:rPr>
      <w:rFonts w:ascii="宋体" w:hAnsi="宋体" w:cs="宋体"/>
      <w:color w:val="333399"/>
      <w:kern w:val="0"/>
      <w:sz w:val="18"/>
      <w:szCs w:val="18"/>
    </w:rPr>
  </w:style>
  <w:style w:type="paragraph" w:customStyle="1" w:styleId="1297">
    <w:name w:val="xl172"/>
    <w:basedOn w:val="1"/>
    <w:autoRedefine/>
    <w:qFormat/>
    <w:uiPriority w:val="0"/>
    <w:pPr>
      <w:widowControl/>
      <w:pBdr>
        <w:top w:val="single" w:color="auto" w:sz="12" w:space="0"/>
        <w:left w:val="single" w:color="auto" w:sz="12" w:space="0"/>
        <w:right w:val="single" w:color="auto" w:sz="4" w:space="0"/>
      </w:pBdr>
      <w:spacing w:before="100" w:beforeAutospacing="1" w:after="100" w:afterAutospacing="1"/>
      <w:jc w:val="center"/>
    </w:pPr>
    <w:rPr>
      <w:rFonts w:ascii="Arial Unicode MS" w:hAnsi="Arial Unicode MS"/>
      <w:kern w:val="0"/>
    </w:rPr>
  </w:style>
  <w:style w:type="paragraph" w:customStyle="1" w:styleId="1298">
    <w:name w:val="Char32"/>
    <w:basedOn w:val="1"/>
    <w:autoRedefine/>
    <w:qFormat/>
    <w:uiPriority w:val="0"/>
    <w:rPr>
      <w:sz w:val="24"/>
    </w:rPr>
  </w:style>
  <w:style w:type="paragraph" w:customStyle="1" w:styleId="1299">
    <w:name w:val="xl118"/>
    <w:basedOn w:val="1"/>
    <w:autoRedefine/>
    <w:qFormat/>
    <w:uiPriority w:val="0"/>
    <w:pPr>
      <w:widowControl/>
      <w:pBdr>
        <w:left w:val="single" w:color="auto" w:sz="12" w:space="0"/>
      </w:pBdr>
      <w:spacing w:before="100" w:beforeAutospacing="1" w:after="100" w:afterAutospacing="1"/>
      <w:jc w:val="center"/>
    </w:pPr>
    <w:rPr>
      <w:rFonts w:ascii="Arial Unicode MS" w:hAnsi="Arial Unicode MS"/>
      <w:kern w:val="0"/>
      <w:sz w:val="12"/>
      <w:szCs w:val="12"/>
    </w:rPr>
  </w:style>
  <w:style w:type="paragraph" w:customStyle="1" w:styleId="1300">
    <w:name w:val="Char Char Char Char110"/>
    <w:basedOn w:val="1"/>
    <w:autoRedefine/>
    <w:qFormat/>
    <w:uiPriority w:val="0"/>
    <w:pPr>
      <w:widowControl/>
      <w:jc w:val="left"/>
    </w:pPr>
    <w:rPr>
      <w:kern w:val="0"/>
      <w:sz w:val="24"/>
      <w:szCs w:val="20"/>
    </w:rPr>
  </w:style>
  <w:style w:type="paragraph" w:customStyle="1" w:styleId="1301">
    <w:name w:val="Char Char Char Char Char Char Char Char Char Char Char Char Char Char Char Char Char Char Char Char Char Char Char Char Char"/>
    <w:basedOn w:val="1"/>
    <w:autoRedefine/>
    <w:qFormat/>
    <w:uiPriority w:val="0"/>
    <w:rPr>
      <w:sz w:val="24"/>
    </w:rPr>
  </w:style>
  <w:style w:type="paragraph" w:customStyle="1" w:styleId="1302">
    <w:name w:val="Char Char6 Char Char Char Char"/>
    <w:basedOn w:val="1"/>
    <w:autoRedefine/>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1303">
    <w:name w:val="Body Text Indent 21"/>
    <w:basedOn w:val="1"/>
    <w:autoRedefine/>
    <w:qFormat/>
    <w:uiPriority w:val="0"/>
    <w:pPr>
      <w:adjustRightInd w:val="0"/>
      <w:spacing w:line="480" w:lineRule="atLeast"/>
      <w:ind w:firstLine="630"/>
      <w:textAlignment w:val="baseline"/>
    </w:pPr>
    <w:rPr>
      <w:rFonts w:ascii="宋体"/>
      <w:sz w:val="28"/>
      <w:szCs w:val="20"/>
    </w:rPr>
  </w:style>
  <w:style w:type="paragraph" w:customStyle="1" w:styleId="1304">
    <w:name w:val="Char Char Char12"/>
    <w:basedOn w:val="1"/>
    <w:autoRedefine/>
    <w:qFormat/>
    <w:uiPriority w:val="0"/>
    <w:rPr>
      <w:sz w:val="24"/>
    </w:rPr>
  </w:style>
  <w:style w:type="paragraph" w:customStyle="1" w:styleId="1305">
    <w:name w:val="Chapter"/>
    <w:basedOn w:val="3"/>
    <w:autoRedefine/>
    <w:qFormat/>
    <w:uiPriority w:val="0"/>
    <w:pPr>
      <w:keepLines/>
      <w:tabs>
        <w:tab w:val="left" w:pos="425"/>
        <w:tab w:val="left" w:pos="926"/>
      </w:tabs>
      <w:overflowPunct/>
      <w:snapToGrid/>
      <w:spacing w:before="340" w:after="330" w:line="578" w:lineRule="auto"/>
      <w:ind w:left="-16" w:firstLine="0"/>
      <w:jc w:val="center"/>
    </w:pPr>
    <w:rPr>
      <w:rFonts w:eastAsia="宋体"/>
      <w:color w:val="auto"/>
      <w:sz w:val="36"/>
      <w:szCs w:val="36"/>
      <w:lang w:val="zh-CN"/>
    </w:rPr>
  </w:style>
  <w:style w:type="paragraph" w:customStyle="1" w:styleId="1306">
    <w:name w:val="default paragraph font Char"/>
    <w:basedOn w:val="1"/>
    <w:autoRedefine/>
    <w:qFormat/>
    <w:uiPriority w:val="0"/>
    <w:pPr>
      <w:spacing w:line="240" w:lineRule="atLeast"/>
      <w:ind w:left="420" w:firstLine="420"/>
    </w:pPr>
    <w:rPr>
      <w:kern w:val="0"/>
      <w:szCs w:val="21"/>
    </w:rPr>
  </w:style>
  <w:style w:type="paragraph" w:customStyle="1" w:styleId="1307">
    <w:name w:val="Body Text Indent1"/>
    <w:basedOn w:val="1"/>
    <w:autoRedefine/>
    <w:qFormat/>
    <w:uiPriority w:val="0"/>
    <w:pPr>
      <w:spacing w:after="120" w:line="360" w:lineRule="auto"/>
      <w:ind w:left="420" w:leftChars="200" w:firstLine="200" w:firstLineChars="200"/>
    </w:pPr>
    <w:rPr>
      <w:sz w:val="24"/>
    </w:rPr>
  </w:style>
  <w:style w:type="paragraph" w:customStyle="1" w:styleId="1308">
    <w:name w:val="Char Char Char Char Char Char Char Char Char2"/>
    <w:basedOn w:val="1"/>
    <w:autoRedefine/>
    <w:qFormat/>
    <w:uiPriority w:val="0"/>
    <w:rPr>
      <w:sz w:val="24"/>
    </w:rPr>
  </w:style>
  <w:style w:type="paragraph" w:customStyle="1" w:styleId="1309">
    <w:name w:val="Char Char Char Char Char Char Char Char Char Char Char Char Char Char Char Char Char Char Char Char Char Char Char Char Char Char1"/>
    <w:basedOn w:val="1"/>
    <w:autoRedefine/>
    <w:qFormat/>
    <w:uiPriority w:val="0"/>
    <w:rPr>
      <w:sz w:val="24"/>
    </w:rPr>
  </w:style>
  <w:style w:type="paragraph" w:customStyle="1" w:styleId="1310">
    <w:name w:val="wangjunbo.bullet"/>
    <w:basedOn w:val="1"/>
    <w:autoRedefine/>
    <w:qFormat/>
    <w:uiPriority w:val="0"/>
    <w:pPr>
      <w:jc w:val="center"/>
    </w:pPr>
    <w:rPr>
      <w:rFonts w:ascii="宋体" w:hAnsi="宋体"/>
      <w:szCs w:val="20"/>
    </w:rPr>
  </w:style>
  <w:style w:type="paragraph" w:customStyle="1" w:styleId="1311">
    <w:name w:val="19号令"/>
    <w:basedOn w:val="1"/>
    <w:autoRedefine/>
    <w:qFormat/>
    <w:uiPriority w:val="0"/>
    <w:pPr>
      <w:widowControl/>
      <w:spacing w:before="100" w:beforeAutospacing="1" w:after="100" w:afterAutospacing="1" w:line="500" w:lineRule="atLeast"/>
      <w:jc w:val="left"/>
    </w:pPr>
    <w:rPr>
      <w:rFonts w:ascii="宋体" w:hAnsi="宋体" w:cs="宋体"/>
      <w:kern w:val="0"/>
      <w:sz w:val="24"/>
    </w:rPr>
  </w:style>
  <w:style w:type="paragraph" w:customStyle="1" w:styleId="1312">
    <w:name w:val="样式 标题 3条标题1.1.1条标题1.1.11条标题1.1.12条标题1.1.13条标题1.1.111条标题1.1...1"/>
    <w:basedOn w:val="5"/>
    <w:autoRedefine/>
    <w:qFormat/>
    <w:uiPriority w:val="0"/>
    <w:pPr>
      <w:tabs>
        <w:tab w:val="left" w:pos="1418"/>
      </w:tabs>
      <w:spacing w:before="0" w:after="0" w:line="500" w:lineRule="exact"/>
    </w:pPr>
    <w:rPr>
      <w:rFonts w:ascii="宋体" w:hAnsi="宋体"/>
      <w:bCs w:val="0"/>
      <w:sz w:val="28"/>
      <w:szCs w:val="20"/>
      <w:lang w:val="zh-CN"/>
    </w:rPr>
  </w:style>
  <w:style w:type="paragraph" w:customStyle="1" w:styleId="1313">
    <w:name w:val="st_divcss"/>
    <w:basedOn w:val="1"/>
    <w:autoRedefine/>
    <w:qFormat/>
    <w:uiPriority w:val="0"/>
    <w:pPr>
      <w:widowControl/>
      <w:jc w:val="left"/>
    </w:pPr>
    <w:rPr>
      <w:rFonts w:ascii="宋体" w:hAnsi="宋体" w:cs="宋体"/>
      <w:kern w:val="0"/>
      <w:sz w:val="24"/>
    </w:rPr>
  </w:style>
  <w:style w:type="paragraph" w:customStyle="1" w:styleId="1314">
    <w:name w:val="a新标题1"/>
    <w:basedOn w:val="3"/>
    <w:next w:val="4"/>
    <w:autoRedefine/>
    <w:qFormat/>
    <w:uiPriority w:val="0"/>
    <w:pPr>
      <w:keepLines/>
      <w:widowControl/>
      <w:tabs>
        <w:tab w:val="left" w:pos="425"/>
        <w:tab w:val="left" w:pos="780"/>
      </w:tabs>
      <w:overflowPunct/>
      <w:snapToGrid/>
      <w:spacing w:before="340" w:after="330" w:line="240" w:lineRule="exact"/>
      <w:ind w:left="780" w:hanging="360"/>
      <w:jc w:val="left"/>
    </w:pPr>
    <w:rPr>
      <w:b w:val="0"/>
      <w:color w:val="auto"/>
      <w:sz w:val="28"/>
      <w:szCs w:val="44"/>
      <w:lang w:val="zh-CN"/>
    </w:rPr>
  </w:style>
  <w:style w:type="paragraph" w:customStyle="1" w:styleId="1315">
    <w:name w:val="Bullet"/>
    <w:basedOn w:val="1"/>
    <w:autoRedefine/>
    <w:qFormat/>
    <w:uiPriority w:val="0"/>
    <w:pPr>
      <w:widowControl/>
      <w:tabs>
        <w:tab w:val="left" w:pos="2040"/>
      </w:tabs>
      <w:spacing w:after="60" w:line="300" w:lineRule="atLeast"/>
      <w:ind w:left="2040" w:hanging="360"/>
    </w:pPr>
    <w:rPr>
      <w:kern w:val="0"/>
      <w:sz w:val="22"/>
    </w:rPr>
  </w:style>
  <w:style w:type="paragraph" w:customStyle="1" w:styleId="1316">
    <w:name w:val="xl171"/>
    <w:basedOn w:val="1"/>
    <w:autoRedefine/>
    <w:qFormat/>
    <w:uiPriority w:val="0"/>
    <w:pPr>
      <w:widowControl/>
      <w:pBdr>
        <w:bottom w:val="single" w:color="auto" w:sz="12" w:space="0"/>
      </w:pBdr>
      <w:spacing w:before="100" w:beforeAutospacing="1" w:after="100" w:afterAutospacing="1"/>
      <w:jc w:val="center"/>
    </w:pPr>
    <w:rPr>
      <w:rFonts w:ascii="Arial Unicode MS" w:hAnsi="Arial Unicode MS"/>
      <w:kern w:val="0"/>
    </w:rPr>
  </w:style>
  <w:style w:type="paragraph" w:customStyle="1" w:styleId="1317">
    <w:name w:val="Char Char Char Char Char Char Char Char Char Char Char Char Char5"/>
    <w:basedOn w:val="1"/>
    <w:autoRedefine/>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1318">
    <w:name w:val="b新标题2"/>
    <w:basedOn w:val="4"/>
    <w:autoRedefine/>
    <w:qFormat/>
    <w:uiPriority w:val="0"/>
    <w:pPr>
      <w:widowControl/>
      <w:tabs>
        <w:tab w:val="left" w:pos="780"/>
        <w:tab w:val="left" w:pos="1419"/>
      </w:tabs>
      <w:spacing w:before="156" w:line="240" w:lineRule="exact"/>
      <w:ind w:left="780" w:hanging="360"/>
      <w:jc w:val="left"/>
    </w:pPr>
    <w:rPr>
      <w:rFonts w:ascii="Arial" w:hAnsi="Arial" w:cs="Arial"/>
      <w:b w:val="0"/>
      <w:bCs w:val="0"/>
      <w:kern w:val="0"/>
      <w:sz w:val="24"/>
      <w:lang w:val="zh-CN"/>
    </w:rPr>
  </w:style>
  <w:style w:type="paragraph" w:customStyle="1" w:styleId="1319">
    <w:name w:val="四级无标题条"/>
    <w:basedOn w:val="1"/>
    <w:autoRedefine/>
    <w:qFormat/>
    <w:uiPriority w:val="0"/>
  </w:style>
  <w:style w:type="paragraph" w:customStyle="1" w:styleId="1320">
    <w:name w:val="目录 811"/>
    <w:basedOn w:val="1"/>
    <w:next w:val="1"/>
    <w:autoRedefine/>
    <w:qFormat/>
    <w:uiPriority w:val="0"/>
    <w:pPr>
      <w:ind w:left="1260"/>
      <w:jc w:val="left"/>
    </w:pPr>
    <w:rPr>
      <w:sz w:val="20"/>
      <w:szCs w:val="20"/>
    </w:rPr>
  </w:style>
  <w:style w:type="paragraph" w:customStyle="1" w:styleId="1321">
    <w:name w:val="1.1标题"/>
    <w:next w:val="1"/>
    <w:autoRedefine/>
    <w:qFormat/>
    <w:uiPriority w:val="0"/>
    <w:pPr>
      <w:adjustRightInd w:val="0"/>
      <w:snapToGrid w:val="0"/>
      <w:spacing w:beforeLines="50" w:line="500" w:lineRule="exact"/>
      <w:jc w:val="both"/>
      <w:outlineLvl w:val="1"/>
    </w:pPr>
    <w:rPr>
      <w:rFonts w:ascii="Times New Roman" w:hAnsi="Times New Roman" w:eastAsia="楷体_GB2312" w:cs="Times New Roman"/>
      <w:b/>
      <w:kern w:val="2"/>
      <w:sz w:val="32"/>
      <w:szCs w:val="32"/>
      <w:lang w:val="en-US" w:eastAsia="zh-CN" w:bidi="ar-SA"/>
    </w:rPr>
  </w:style>
  <w:style w:type="paragraph" w:customStyle="1" w:styleId="1322">
    <w:name w:val="正文 New New New New New New New New New New New New New New New New New New New"/>
    <w:autoRedefine/>
    <w:qFormat/>
    <w:uiPriority w:val="0"/>
    <w:pPr>
      <w:widowControl w:val="0"/>
      <w:jc w:val="both"/>
    </w:pPr>
    <w:rPr>
      <w:rFonts w:ascii="Times New Roman" w:hAnsi="Times New Roman" w:eastAsia="仿宋_GB2312" w:cs="Times New Roman"/>
      <w:kern w:val="2"/>
      <w:sz w:val="32"/>
      <w:szCs w:val="24"/>
      <w:lang w:val="en-US" w:eastAsia="zh-CN" w:bidi="ar-SA"/>
    </w:rPr>
  </w:style>
  <w:style w:type="paragraph" w:customStyle="1" w:styleId="1323">
    <w:name w:val="样式 楷体_GB2312 居中"/>
    <w:basedOn w:val="1"/>
    <w:autoRedefine/>
    <w:qFormat/>
    <w:uiPriority w:val="0"/>
    <w:pPr>
      <w:spacing w:line="360" w:lineRule="auto"/>
      <w:jc w:val="center"/>
    </w:pPr>
    <w:rPr>
      <w:rFonts w:ascii="楷体_GB2312" w:eastAsia="楷体_GB2312"/>
      <w:szCs w:val="20"/>
    </w:rPr>
  </w:style>
  <w:style w:type="paragraph" w:customStyle="1" w:styleId="1324">
    <w:name w:val="wtext"/>
    <w:basedOn w:val="1"/>
    <w:autoRedefine/>
    <w:qFormat/>
    <w:uiPriority w:val="0"/>
    <w:pPr>
      <w:widowControl/>
      <w:spacing w:before="100" w:beforeAutospacing="1" w:after="100" w:afterAutospacing="1"/>
      <w:ind w:firstLine="480"/>
      <w:jc w:val="left"/>
    </w:pPr>
    <w:rPr>
      <w:rFonts w:ascii="ˎ̥" w:hAnsi="ˎ̥" w:cs="宋体"/>
      <w:color w:val="000000"/>
      <w:kern w:val="0"/>
      <w:sz w:val="22"/>
      <w:szCs w:val="22"/>
    </w:rPr>
  </w:style>
  <w:style w:type="paragraph" w:customStyle="1" w:styleId="1325">
    <w:name w:val="流程"/>
    <w:basedOn w:val="1"/>
    <w:autoRedefine/>
    <w:qFormat/>
    <w:uiPriority w:val="0"/>
    <w:pPr>
      <w:topLinePunct/>
      <w:adjustRightInd w:val="0"/>
      <w:snapToGrid w:val="0"/>
      <w:jc w:val="center"/>
    </w:pPr>
    <w:rPr>
      <w:rFonts w:cs="宋体"/>
      <w:bCs/>
      <w:color w:val="000000"/>
      <w:szCs w:val="20"/>
    </w:rPr>
  </w:style>
  <w:style w:type="paragraph" w:customStyle="1" w:styleId="1326">
    <w:name w:val="默认段落字体 Para Char Char Char Char Char Char Char Char Char Char Char"/>
    <w:basedOn w:val="5"/>
    <w:autoRedefine/>
    <w:qFormat/>
    <w:uiPriority w:val="0"/>
    <w:pPr>
      <w:keepNext w:val="0"/>
      <w:keepLines w:val="0"/>
      <w:tabs>
        <w:tab w:val="left" w:pos="360"/>
        <w:tab w:val="left" w:pos="900"/>
        <w:tab w:val="left" w:pos="1418"/>
      </w:tabs>
      <w:snapToGrid w:val="0"/>
      <w:spacing w:before="120" w:after="120" w:line="360" w:lineRule="auto"/>
      <w:ind w:left="542" w:leftChars="-12" w:firstLine="200" w:firstLineChars="200"/>
    </w:pPr>
    <w:rPr>
      <w:rFonts w:ascii="楷体_GB2312" w:eastAsia="黑体"/>
      <w:b w:val="0"/>
      <w:bCs w:val="0"/>
      <w:sz w:val="24"/>
      <w:szCs w:val="24"/>
      <w:lang w:val="zh-CN"/>
    </w:rPr>
  </w:style>
  <w:style w:type="paragraph" w:customStyle="1" w:styleId="1327">
    <w:name w:val="样式 标题 2标题 2节第一章 标题 2Heading 2 HiddenHeading 2 CCBSheading 2...1"/>
    <w:basedOn w:val="4"/>
    <w:autoRedefine/>
    <w:qFormat/>
    <w:uiPriority w:val="0"/>
    <w:pPr>
      <w:tabs>
        <w:tab w:val="left" w:pos="576"/>
      </w:tabs>
      <w:spacing w:before="240" w:after="60" w:line="360" w:lineRule="auto"/>
      <w:jc w:val="center"/>
    </w:pPr>
    <w:rPr>
      <w:rFonts w:ascii="楷体_GB2312" w:hAnsi="楷体_GB2312" w:eastAsia="楷体_GB2312"/>
      <w:lang w:val="zh-CN"/>
    </w:rPr>
  </w:style>
  <w:style w:type="paragraph" w:customStyle="1" w:styleId="1328">
    <w:name w:val="样式 样式 样式 标题 4 + 加粗 + 黑色 + 宋体"/>
    <w:basedOn w:val="1329"/>
    <w:autoRedefine/>
    <w:qFormat/>
    <w:uiPriority w:val="0"/>
    <w:pPr>
      <w:tabs>
        <w:tab w:val="left" w:pos="3796"/>
      </w:tabs>
      <w:ind w:left="1984" w:hanging="708"/>
    </w:pPr>
    <w:rPr>
      <w:rFonts w:ascii="宋体" w:hAnsi="宋体"/>
    </w:rPr>
  </w:style>
  <w:style w:type="paragraph" w:customStyle="1" w:styleId="1329">
    <w:name w:val="样式 样式 标题 4 + 加粗 + 黑色"/>
    <w:basedOn w:val="1"/>
    <w:autoRedefine/>
    <w:qFormat/>
    <w:uiPriority w:val="0"/>
    <w:pPr>
      <w:keepNext/>
      <w:keepLines/>
      <w:spacing w:line="360" w:lineRule="auto"/>
      <w:ind w:left="709" w:hanging="709"/>
      <w:outlineLvl w:val="3"/>
    </w:pPr>
    <w:rPr>
      <w:color w:val="000000"/>
      <w:sz w:val="24"/>
      <w:szCs w:val="28"/>
    </w:rPr>
  </w:style>
  <w:style w:type="paragraph" w:customStyle="1" w:styleId="1330">
    <w:name w:val="Char13"/>
    <w:basedOn w:val="1"/>
    <w:autoRedefine/>
    <w:qFormat/>
    <w:uiPriority w:val="0"/>
    <w:rPr>
      <w:sz w:val="24"/>
    </w:rPr>
  </w:style>
  <w:style w:type="paragraph" w:customStyle="1" w:styleId="1331">
    <w:name w:val="7表格(治)"/>
    <w:autoRedefine/>
    <w:qFormat/>
    <w:uiPriority w:val="0"/>
    <w:pPr>
      <w:jc w:val="center"/>
    </w:pPr>
    <w:rPr>
      <w:rFonts w:ascii="Times New Roman" w:hAnsi="Times New Roman" w:eastAsia="楷体_GB2312" w:cs="Times New Roman"/>
      <w:sz w:val="21"/>
      <w:lang w:val="en-US" w:eastAsia="zh-CN" w:bidi="ar-SA"/>
    </w:rPr>
  </w:style>
  <w:style w:type="paragraph" w:customStyle="1" w:styleId="1332">
    <w:name w:val="附录标识"/>
    <w:basedOn w:val="1017"/>
    <w:autoRedefine/>
    <w:qFormat/>
    <w:uiPriority w:val="0"/>
    <w:pPr>
      <w:tabs>
        <w:tab w:val="left" w:pos="360"/>
        <w:tab w:val="left" w:pos="6405"/>
        <w:tab w:val="clear" w:pos="903"/>
      </w:tabs>
      <w:spacing w:after="200"/>
      <w:ind w:left="360" w:hanging="360" w:hangingChars="200"/>
    </w:pPr>
    <w:rPr>
      <w:sz w:val="21"/>
    </w:rPr>
  </w:style>
  <w:style w:type="paragraph" w:customStyle="1" w:styleId="1333">
    <w:name w:val="Char Char Char Char Char Char Char Char Char Char Char Char Char Char Char Char Char Char Char Char Char Char Char Char"/>
    <w:basedOn w:val="1"/>
    <w:autoRedefine/>
    <w:qFormat/>
    <w:uiPriority w:val="0"/>
  </w:style>
  <w:style w:type="paragraph" w:customStyle="1" w:styleId="1334">
    <w:name w:val="Char4 Char Char Char1"/>
    <w:basedOn w:val="1"/>
    <w:autoRedefine/>
    <w:qFormat/>
    <w:uiPriority w:val="0"/>
    <w:rPr>
      <w:rFonts w:eastAsia="仿宋_GB2312"/>
      <w:sz w:val="28"/>
    </w:rPr>
  </w:style>
  <w:style w:type="paragraph" w:customStyle="1" w:styleId="1335">
    <w:name w:val="yz"/>
    <w:basedOn w:val="33"/>
    <w:autoRedefine/>
    <w:qFormat/>
    <w:uiPriority w:val="0"/>
    <w:pPr>
      <w:widowControl w:val="0"/>
      <w:tabs>
        <w:tab w:val="left" w:pos="900"/>
      </w:tabs>
      <w:adjustRightInd w:val="0"/>
      <w:snapToGrid/>
      <w:spacing w:before="0" w:after="0" w:line="240" w:lineRule="auto"/>
      <w:ind w:right="0" w:firstLine="200" w:firstLineChars="200"/>
      <w:textAlignment w:val="baseline"/>
    </w:pPr>
    <w:rPr>
      <w:rFonts w:hint="eastAsia" w:ascii="宋体" w:hAnsi="宋体"/>
      <w:kern w:val="2"/>
      <w:sz w:val="24"/>
      <w:lang w:val="zh-CN"/>
    </w:rPr>
  </w:style>
  <w:style w:type="paragraph" w:customStyle="1" w:styleId="1336">
    <w:name w:val="标题ab"/>
    <w:basedOn w:val="1"/>
    <w:next w:val="75"/>
    <w:autoRedefine/>
    <w:qFormat/>
    <w:uiPriority w:val="0"/>
    <w:pPr>
      <w:spacing w:line="1500" w:lineRule="exact"/>
      <w:jc w:val="center"/>
    </w:pPr>
    <w:rPr>
      <w:rFonts w:ascii="宋体" w:hAnsi="宋体"/>
      <w:b/>
      <w:color w:val="000000"/>
      <w:sz w:val="44"/>
    </w:rPr>
  </w:style>
  <w:style w:type="paragraph" w:customStyle="1" w:styleId="1337">
    <w:name w:val="样式5"/>
    <w:basedOn w:val="33"/>
    <w:autoRedefine/>
    <w:qFormat/>
    <w:uiPriority w:val="0"/>
    <w:pPr>
      <w:widowControl w:val="0"/>
      <w:snapToGrid/>
      <w:spacing w:before="0" w:after="0" w:line="240" w:lineRule="auto"/>
      <w:ind w:right="-105" w:rightChars="-50"/>
      <w:jc w:val="center"/>
    </w:pPr>
    <w:rPr>
      <w:rFonts w:ascii="宋体" w:cs="宋体"/>
      <w:kern w:val="2"/>
      <w:sz w:val="21"/>
      <w:szCs w:val="21"/>
      <w:lang w:val="zh-CN"/>
    </w:rPr>
  </w:style>
  <w:style w:type="paragraph" w:customStyle="1" w:styleId="1338">
    <w:name w:val="报告名"/>
    <w:basedOn w:val="1"/>
    <w:autoRedefine/>
    <w:qFormat/>
    <w:uiPriority w:val="0"/>
    <w:pPr>
      <w:tabs>
        <w:tab w:val="left" w:pos="1727"/>
        <w:tab w:val="left" w:pos="1884"/>
      </w:tabs>
      <w:adjustRightInd w:val="0"/>
      <w:snapToGrid w:val="0"/>
      <w:spacing w:line="360" w:lineRule="auto"/>
      <w:ind w:left="26"/>
      <w:jc w:val="center"/>
      <w:outlineLvl w:val="0"/>
    </w:pPr>
    <w:rPr>
      <w:rFonts w:ascii="文鼎大标宋简" w:hAnsi="宋体" w:eastAsia="文鼎大标宋简"/>
      <w:sz w:val="56"/>
      <w:szCs w:val="20"/>
    </w:rPr>
  </w:style>
  <w:style w:type="paragraph" w:customStyle="1" w:styleId="1339">
    <w:name w:val="style4"/>
    <w:basedOn w:val="1"/>
    <w:autoRedefine/>
    <w:qFormat/>
    <w:uiPriority w:val="0"/>
    <w:pPr>
      <w:widowControl/>
      <w:spacing w:before="100" w:beforeAutospacing="1" w:after="100" w:afterAutospacing="1"/>
      <w:jc w:val="left"/>
    </w:pPr>
    <w:rPr>
      <w:rFonts w:ascii="宋体" w:hAnsi="宋体" w:cs="宋体"/>
      <w:color w:val="636466"/>
      <w:kern w:val="0"/>
      <w:sz w:val="24"/>
    </w:rPr>
  </w:style>
  <w:style w:type="paragraph" w:customStyle="1" w:styleId="1340">
    <w:name w:val="无间隔5"/>
    <w:autoRedefine/>
    <w:qFormat/>
    <w:uiPriority w:val="0"/>
    <w:pPr>
      <w:widowControl w:val="0"/>
      <w:jc w:val="both"/>
    </w:pPr>
    <w:rPr>
      <w:rFonts w:ascii="Arial" w:hAnsi="Arial" w:eastAsia="仿宋" w:cs="Times New Roman"/>
      <w:w w:val="90"/>
      <w:kern w:val="2"/>
      <w:sz w:val="24"/>
      <w:szCs w:val="24"/>
      <w:lang w:val="en-US" w:eastAsia="zh-CN" w:bidi="ar-SA"/>
    </w:rPr>
  </w:style>
  <w:style w:type="paragraph" w:customStyle="1" w:styleId="1341">
    <w:name w:val="样式 标题 2 + 首行缩进:  2 字符"/>
    <w:basedOn w:val="3"/>
    <w:autoRedefine/>
    <w:qFormat/>
    <w:uiPriority w:val="0"/>
    <w:pPr>
      <w:keepNext w:val="0"/>
      <w:tabs>
        <w:tab w:val="left" w:pos="425"/>
      </w:tabs>
      <w:overflowPunct/>
      <w:snapToGrid/>
      <w:spacing w:before="0" w:after="0" w:line="400" w:lineRule="exact"/>
      <w:ind w:left="0" w:firstLine="0"/>
      <w:jc w:val="center"/>
      <w:outlineLvl w:val="9"/>
    </w:pPr>
    <w:rPr>
      <w:rFonts w:eastAsia="华文中宋"/>
      <w:color w:val="auto"/>
      <w:spacing w:val="-2"/>
      <w:kern w:val="2"/>
      <w:sz w:val="44"/>
      <w:szCs w:val="24"/>
      <w:lang w:val="zh-CN"/>
    </w:rPr>
  </w:style>
  <w:style w:type="paragraph" w:customStyle="1" w:styleId="1342">
    <w:name w:val="hb3"/>
    <w:basedOn w:val="5"/>
    <w:autoRedefine/>
    <w:qFormat/>
    <w:uiPriority w:val="0"/>
    <w:pPr>
      <w:tabs>
        <w:tab w:val="left" w:pos="1418"/>
      </w:tabs>
      <w:adjustRightInd w:val="0"/>
      <w:spacing w:line="240" w:lineRule="auto"/>
      <w:jc w:val="left"/>
      <w:textAlignment w:val="baseline"/>
    </w:pPr>
    <w:rPr>
      <w:rFonts w:ascii="宋体" w:hAnsi="宋体"/>
      <w:bCs w:val="0"/>
      <w:kern w:val="0"/>
      <w:sz w:val="24"/>
      <w:lang w:val="zh-CN"/>
    </w:rPr>
  </w:style>
  <w:style w:type="paragraph" w:customStyle="1" w:styleId="1343">
    <w:name w:val="正文编号"/>
    <w:basedOn w:val="1"/>
    <w:autoRedefine/>
    <w:qFormat/>
    <w:uiPriority w:val="0"/>
    <w:pPr>
      <w:tabs>
        <w:tab w:val="left" w:pos="796"/>
      </w:tabs>
      <w:adjustRightInd w:val="0"/>
      <w:spacing w:line="360" w:lineRule="auto"/>
      <w:ind w:left="796" w:hanging="720"/>
      <w:textAlignment w:val="baseline"/>
    </w:pPr>
    <w:rPr>
      <w:rFonts w:ascii="Arial" w:hAnsi="Arial"/>
      <w:kern w:val="0"/>
      <w:sz w:val="24"/>
      <w:szCs w:val="20"/>
    </w:rPr>
  </w:style>
  <w:style w:type="paragraph" w:customStyle="1" w:styleId="1344">
    <w:name w:val="注解"/>
    <w:autoRedefine/>
    <w:qFormat/>
    <w:uiPriority w:val="0"/>
    <w:pPr>
      <w:widowControl w:val="0"/>
      <w:jc w:val="center"/>
    </w:pPr>
    <w:rPr>
      <w:rFonts w:ascii="宋体" w:hAnsi="Arial Black" w:eastAsia="宋体" w:cs="Times New Roman"/>
      <w:kern w:val="2"/>
      <w:sz w:val="18"/>
      <w:lang w:val="en-US" w:eastAsia="zh-CN" w:bidi="ar-SA"/>
    </w:rPr>
  </w:style>
  <w:style w:type="paragraph" w:customStyle="1" w:styleId="1345">
    <w:name w:val="默认段落字体 Para Char Char Char Char Char Char Char Char Char Char Char Char Char Char Char"/>
    <w:basedOn w:val="25"/>
    <w:autoRedefine/>
    <w:qFormat/>
    <w:uiPriority w:val="0"/>
    <w:rPr>
      <w:rFonts w:ascii="Tahoma" w:hAnsi="Tahoma"/>
      <w:sz w:val="24"/>
      <w:lang w:val="zh-CN"/>
    </w:rPr>
  </w:style>
  <w:style w:type="paragraph" w:customStyle="1" w:styleId="1346">
    <w:name w:val="xl181"/>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kern w:val="0"/>
      <w:sz w:val="16"/>
      <w:szCs w:val="16"/>
    </w:rPr>
  </w:style>
  <w:style w:type="paragraph" w:customStyle="1" w:styleId="1347">
    <w:name w:val="Char Char Char1 Char Char Char Char Char Char Char Char Char Char1"/>
    <w:basedOn w:val="1"/>
    <w:autoRedefine/>
    <w:qFormat/>
    <w:uiPriority w:val="0"/>
    <w:rPr>
      <w:szCs w:val="20"/>
    </w:rPr>
  </w:style>
  <w:style w:type="paragraph" w:customStyle="1" w:styleId="1348">
    <w:name w:val="CM75"/>
    <w:basedOn w:val="1"/>
    <w:next w:val="1"/>
    <w:autoRedefine/>
    <w:qFormat/>
    <w:uiPriority w:val="0"/>
    <w:pPr>
      <w:autoSpaceDE w:val="0"/>
      <w:autoSpaceDN w:val="0"/>
      <w:adjustRightInd w:val="0"/>
      <w:spacing w:after="60"/>
      <w:jc w:val="left"/>
    </w:pPr>
    <w:rPr>
      <w:rFonts w:ascii="Sim Sun+ 2" w:eastAsia="Sim Sun+ 2" w:cs="Sim Sun+ 2"/>
      <w:kern w:val="0"/>
      <w:sz w:val="24"/>
    </w:rPr>
  </w:style>
  <w:style w:type="paragraph" w:customStyle="1" w:styleId="1349">
    <w:name w:val="xl67"/>
    <w:basedOn w:val="1"/>
    <w:autoRedefine/>
    <w:qFormat/>
    <w:uiPriority w:val="0"/>
    <w:pPr>
      <w:widowControl/>
      <w:pBdr>
        <w:right w:val="single" w:color="auto" w:sz="4" w:space="0"/>
      </w:pBdr>
      <w:spacing w:before="100" w:beforeAutospacing="1" w:after="100" w:afterAutospacing="1"/>
      <w:jc w:val="center"/>
    </w:pPr>
    <w:rPr>
      <w:rFonts w:ascii="Arial Unicode MS" w:hAnsi="Arial Unicode MS"/>
      <w:kern w:val="0"/>
      <w:sz w:val="16"/>
      <w:szCs w:val="16"/>
    </w:rPr>
  </w:style>
  <w:style w:type="paragraph" w:customStyle="1" w:styleId="1350">
    <w:name w:val="xl71"/>
    <w:basedOn w:val="1"/>
    <w:autoRedefine/>
    <w:qFormat/>
    <w:uiPriority w:val="0"/>
    <w:pPr>
      <w:widowControl/>
      <w:spacing w:before="100" w:beforeAutospacing="1" w:after="100" w:afterAutospacing="1"/>
      <w:jc w:val="left"/>
    </w:pPr>
    <w:rPr>
      <w:rFonts w:ascii="Arial Unicode MS" w:hAnsi="Arial Unicode MS"/>
      <w:kern w:val="0"/>
      <w:sz w:val="16"/>
      <w:szCs w:val="16"/>
    </w:rPr>
  </w:style>
  <w:style w:type="paragraph" w:customStyle="1" w:styleId="1351">
    <w:name w:val="样式 标题 4 + 黑色 左侧:  -0.01 厘米 首行缩进:  0.01 厘米"/>
    <w:basedOn w:val="6"/>
    <w:autoRedefine/>
    <w:qFormat/>
    <w:uiPriority w:val="0"/>
    <w:pPr>
      <w:keepLines/>
      <w:tabs>
        <w:tab w:val="left" w:pos="0"/>
        <w:tab w:val="left" w:pos="864"/>
        <w:tab w:val="left" w:pos="1080"/>
        <w:tab w:val="left" w:pos="1984"/>
      </w:tabs>
      <w:adjustRightInd w:val="0"/>
      <w:snapToGrid w:val="0"/>
      <w:spacing w:line="324" w:lineRule="auto"/>
      <w:ind w:left="864" w:right="0" w:hanging="864"/>
      <w:jc w:val="both"/>
    </w:pPr>
    <w:rPr>
      <w:rFonts w:ascii="仿宋_GB2312" w:hAnsi="宋体" w:cs="宋体"/>
      <w:color w:val="000000"/>
      <w:szCs w:val="20"/>
      <w:lang w:val="zh-CN"/>
    </w:rPr>
  </w:style>
  <w:style w:type="paragraph" w:customStyle="1" w:styleId="1352">
    <w:name w:val="style28"/>
    <w:basedOn w:val="1"/>
    <w:autoRedefine/>
    <w:qFormat/>
    <w:uiPriority w:val="0"/>
    <w:pPr>
      <w:widowControl/>
      <w:spacing w:before="100" w:beforeAutospacing="1" w:after="100" w:afterAutospacing="1"/>
      <w:jc w:val="left"/>
    </w:pPr>
    <w:rPr>
      <w:rFonts w:ascii="文鼎CS中黑" w:hAnsi="宋体" w:eastAsia="文鼎CS中黑" w:cs="宋体"/>
      <w:color w:val="636466"/>
      <w:kern w:val="0"/>
      <w:sz w:val="11"/>
      <w:szCs w:val="11"/>
    </w:rPr>
  </w:style>
  <w:style w:type="paragraph" w:customStyle="1" w:styleId="1353">
    <w:name w:val="图名"/>
    <w:basedOn w:val="348"/>
    <w:autoRedefine/>
    <w:qFormat/>
    <w:uiPriority w:val="0"/>
    <w:pPr>
      <w:adjustRightInd w:val="0"/>
      <w:spacing w:before="120" w:after="120" w:line="380" w:lineRule="atLeast"/>
      <w:ind w:firstLine="425"/>
      <w:jc w:val="center"/>
      <w:textAlignment w:val="baseline"/>
      <w:outlineLvl w:val="9"/>
    </w:pPr>
    <w:rPr>
      <w:rFonts w:ascii="Times New Roman" w:eastAsia="宋体"/>
      <w:kern w:val="0"/>
      <w:sz w:val="24"/>
      <w:szCs w:val="20"/>
    </w:rPr>
  </w:style>
  <w:style w:type="paragraph" w:customStyle="1" w:styleId="1354">
    <w:name w:val="Char Char Char Char Char Char Char Char1 Char Char Char Char"/>
    <w:basedOn w:val="1"/>
    <w:autoRedefine/>
    <w:qFormat/>
    <w:uiPriority w:val="0"/>
  </w:style>
  <w:style w:type="paragraph" w:customStyle="1" w:styleId="1355">
    <w:name w:val="样式 宋体 小四 左 段前: 6 磅 段后: 6 磅 行距: 1.5 倍行距2"/>
    <w:basedOn w:val="1"/>
    <w:autoRedefine/>
    <w:qFormat/>
    <w:uiPriority w:val="0"/>
    <w:pPr>
      <w:spacing w:line="300" w:lineRule="exact"/>
      <w:jc w:val="center"/>
    </w:pPr>
    <w:rPr>
      <w:szCs w:val="21"/>
    </w:rPr>
  </w:style>
  <w:style w:type="paragraph" w:customStyle="1" w:styleId="1356">
    <w:name w:val="副标题3"/>
    <w:basedOn w:val="1357"/>
    <w:autoRedefine/>
    <w:qFormat/>
    <w:uiPriority w:val="0"/>
    <w:pPr>
      <w:keepLines/>
      <w:tabs>
        <w:tab w:val="left" w:pos="360"/>
        <w:tab w:val="left" w:pos="425"/>
        <w:tab w:val="left" w:pos="672"/>
        <w:tab w:val="left" w:pos="720"/>
        <w:tab w:val="left" w:pos="780"/>
      </w:tabs>
      <w:snapToGrid w:val="0"/>
      <w:ind w:left="672" w:hanging="348"/>
      <w:jc w:val="both"/>
      <w:textAlignment w:val="auto"/>
      <w:outlineLvl w:val="3"/>
    </w:pPr>
    <w:rPr>
      <w:rFonts w:ascii="宋体" w:eastAsia="宋体"/>
      <w:kern w:val="0"/>
      <w:sz w:val="24"/>
    </w:rPr>
  </w:style>
  <w:style w:type="paragraph" w:customStyle="1" w:styleId="1357">
    <w:name w:val="副标题2"/>
    <w:basedOn w:val="1358"/>
    <w:autoRedefine/>
    <w:qFormat/>
    <w:uiPriority w:val="0"/>
    <w:pPr>
      <w:keepLines w:val="0"/>
      <w:tabs>
        <w:tab w:val="left" w:pos="360"/>
        <w:tab w:val="left" w:pos="425"/>
        <w:tab w:val="left" w:pos="720"/>
        <w:tab w:val="left" w:pos="780"/>
      </w:tabs>
    </w:pPr>
  </w:style>
  <w:style w:type="paragraph" w:customStyle="1" w:styleId="1358">
    <w:name w:val="副标题 1"/>
    <w:basedOn w:val="3"/>
    <w:autoRedefine/>
    <w:qFormat/>
    <w:uiPriority w:val="0"/>
    <w:pPr>
      <w:keepNext w:val="0"/>
      <w:keepLines/>
      <w:tabs>
        <w:tab w:val="left" w:pos="360"/>
        <w:tab w:val="left" w:pos="425"/>
        <w:tab w:val="left" w:pos="780"/>
      </w:tabs>
      <w:overflowPunct/>
      <w:adjustRightInd w:val="0"/>
      <w:snapToGrid/>
      <w:spacing w:before="0" w:after="0" w:line="400" w:lineRule="atLeast"/>
      <w:ind w:left="780" w:hanging="360"/>
      <w:jc w:val="left"/>
      <w:textAlignment w:val="baseline"/>
      <w:outlineLvl w:val="9"/>
    </w:pPr>
    <w:rPr>
      <w:rFonts w:ascii="仿宋_GB2312" w:eastAsia="仿宋_GB2312"/>
      <w:b w:val="0"/>
      <w:bCs w:val="0"/>
      <w:color w:val="auto"/>
      <w:sz w:val="28"/>
      <w:szCs w:val="20"/>
      <w:lang w:val="zh-CN"/>
    </w:rPr>
  </w:style>
  <w:style w:type="paragraph" w:customStyle="1" w:styleId="1359">
    <w:name w:val="xl86"/>
    <w:basedOn w:val="1"/>
    <w:autoRedefine/>
    <w:qFormat/>
    <w:uiPriority w:val="0"/>
    <w:pPr>
      <w:widowControl/>
      <w:spacing w:before="100" w:beforeAutospacing="1" w:after="100" w:afterAutospacing="1"/>
      <w:jc w:val="center"/>
    </w:pPr>
    <w:rPr>
      <w:rFonts w:ascii="Arial Unicode MS" w:hAnsi="Arial Unicode MS"/>
      <w:kern w:val="0"/>
      <w:sz w:val="12"/>
      <w:szCs w:val="12"/>
    </w:rPr>
  </w:style>
  <w:style w:type="paragraph" w:customStyle="1" w:styleId="1360">
    <w:name w:val="a3"/>
    <w:basedOn w:val="1"/>
    <w:autoRedefine/>
    <w:qFormat/>
    <w:uiPriority w:val="0"/>
    <w:pPr>
      <w:widowControl/>
      <w:spacing w:before="100" w:beforeAutospacing="1" w:after="100" w:afterAutospacing="1"/>
      <w:jc w:val="left"/>
    </w:pPr>
    <w:rPr>
      <w:rFonts w:ascii="宋体" w:hAnsi="宋体"/>
      <w:color w:val="000000"/>
      <w:kern w:val="0"/>
      <w:sz w:val="24"/>
    </w:rPr>
  </w:style>
  <w:style w:type="paragraph" w:customStyle="1" w:styleId="1361">
    <w:name w:val="样式 (符号) 宋体 四号 行距: 固定值 27 磅"/>
    <w:basedOn w:val="1"/>
    <w:autoRedefine/>
    <w:qFormat/>
    <w:uiPriority w:val="0"/>
    <w:pPr>
      <w:spacing w:line="360" w:lineRule="auto"/>
      <w:ind w:firstLine="200" w:firstLineChars="200"/>
      <w:textAlignment w:val="baseline"/>
    </w:pPr>
    <w:rPr>
      <w:rFonts w:ascii="宋体" w:hAnsi="宋体" w:cs="宋体"/>
      <w:sz w:val="28"/>
      <w:szCs w:val="20"/>
    </w:rPr>
  </w:style>
  <w:style w:type="paragraph" w:customStyle="1" w:styleId="1362">
    <w:name w:val="条1"/>
    <w:basedOn w:val="1"/>
    <w:next w:val="257"/>
    <w:autoRedefine/>
    <w:qFormat/>
    <w:uiPriority w:val="0"/>
    <w:pPr>
      <w:outlineLvl w:val="1"/>
    </w:pPr>
    <w:rPr>
      <w:rFonts w:ascii="黑体" w:eastAsia="黑体"/>
      <w:kern w:val="21"/>
      <w:szCs w:val="20"/>
    </w:rPr>
  </w:style>
  <w:style w:type="paragraph" w:customStyle="1" w:styleId="1363">
    <w:name w:val="TOC 标题1"/>
    <w:basedOn w:val="3"/>
    <w:next w:val="1"/>
    <w:autoRedefine/>
    <w:qFormat/>
    <w:uiPriority w:val="0"/>
    <w:pPr>
      <w:keepLines/>
      <w:widowControl/>
      <w:tabs>
        <w:tab w:val="left" w:pos="425"/>
        <w:tab w:val="left" w:pos="780"/>
      </w:tabs>
      <w:overflowPunct/>
      <w:snapToGrid/>
      <w:spacing w:before="480" w:after="0" w:line="276" w:lineRule="auto"/>
      <w:ind w:left="780" w:hanging="360"/>
      <w:jc w:val="left"/>
      <w:outlineLvl w:val="9"/>
    </w:pPr>
    <w:rPr>
      <w:rFonts w:ascii="Cambria" w:hAnsi="Cambria" w:eastAsia="宋体"/>
      <w:color w:val="365F91"/>
      <w:kern w:val="0"/>
      <w:sz w:val="28"/>
      <w:szCs w:val="28"/>
      <w:lang w:val="zh-CN"/>
    </w:rPr>
  </w:style>
  <w:style w:type="paragraph" w:customStyle="1" w:styleId="1364">
    <w:name w:val="日期1"/>
    <w:basedOn w:val="1"/>
    <w:next w:val="1"/>
    <w:autoRedefine/>
    <w:qFormat/>
    <w:uiPriority w:val="0"/>
    <w:pPr>
      <w:adjustRightInd w:val="0"/>
      <w:textAlignment w:val="baseline"/>
    </w:pPr>
    <w:rPr>
      <w:szCs w:val="20"/>
    </w:rPr>
  </w:style>
  <w:style w:type="paragraph" w:customStyle="1" w:styleId="1365">
    <w:name w:val="xl100"/>
    <w:basedOn w:val="1"/>
    <w:autoRedefine/>
    <w:qFormat/>
    <w:uiPriority w:val="0"/>
    <w:pPr>
      <w:widowControl/>
      <w:spacing w:before="100" w:beforeAutospacing="1" w:after="100" w:afterAutospacing="1"/>
      <w:jc w:val="left"/>
    </w:pPr>
    <w:rPr>
      <w:rFonts w:ascii="Arial Unicode MS" w:hAnsi="Arial Unicode MS"/>
      <w:kern w:val="0"/>
      <w:sz w:val="12"/>
      <w:szCs w:val="12"/>
    </w:rPr>
  </w:style>
  <w:style w:type="paragraph" w:customStyle="1" w:styleId="1366">
    <w:name w:val="无间隔3"/>
    <w:autoRedefine/>
    <w:qFormat/>
    <w:uiPriority w:val="0"/>
    <w:pPr>
      <w:widowControl w:val="0"/>
      <w:jc w:val="both"/>
    </w:pPr>
    <w:rPr>
      <w:rFonts w:ascii="Arial" w:hAnsi="Arial" w:eastAsia="仿宋" w:cs="Times New Roman"/>
      <w:w w:val="90"/>
      <w:kern w:val="2"/>
      <w:sz w:val="24"/>
      <w:szCs w:val="24"/>
      <w:lang w:val="en-US" w:eastAsia="zh-CN" w:bidi="ar-SA"/>
    </w:rPr>
  </w:style>
  <w:style w:type="paragraph" w:customStyle="1" w:styleId="1367">
    <w:name w:val="普通(Web)6"/>
    <w:basedOn w:val="1"/>
    <w:autoRedefine/>
    <w:qFormat/>
    <w:uiPriority w:val="0"/>
    <w:pPr>
      <w:widowControl/>
      <w:jc w:val="left"/>
    </w:pPr>
    <w:rPr>
      <w:rFonts w:ascii="宋体" w:hAnsi="宋体" w:cs="宋体"/>
      <w:kern w:val="0"/>
      <w:szCs w:val="21"/>
    </w:rPr>
  </w:style>
  <w:style w:type="paragraph" w:customStyle="1" w:styleId="1368">
    <w:name w:val="xl72"/>
    <w:basedOn w:val="1"/>
    <w:autoRedefine/>
    <w:qFormat/>
    <w:uiPriority w:val="0"/>
    <w:pPr>
      <w:widowControl/>
      <w:spacing w:before="100" w:beforeAutospacing="1" w:after="100" w:afterAutospacing="1"/>
      <w:jc w:val="left"/>
    </w:pPr>
    <w:rPr>
      <w:rFonts w:ascii="Arial Unicode MS" w:hAnsi="Arial Unicode MS"/>
      <w:kern w:val="0"/>
      <w:sz w:val="12"/>
      <w:szCs w:val="12"/>
    </w:rPr>
  </w:style>
  <w:style w:type="paragraph" w:customStyle="1" w:styleId="1369">
    <w:name w:val="表样式1"/>
    <w:basedOn w:val="1"/>
    <w:autoRedefine/>
    <w:qFormat/>
    <w:uiPriority w:val="0"/>
    <w:pPr>
      <w:spacing w:line="400" w:lineRule="exact"/>
      <w:ind w:left="-67" w:leftChars="-32"/>
      <w:jc w:val="center"/>
    </w:pPr>
    <w:rPr>
      <w:rFonts w:ascii="宋体" w:hAnsi="宋体"/>
      <w:color w:val="000000"/>
      <w:szCs w:val="20"/>
    </w:rPr>
  </w:style>
  <w:style w:type="paragraph" w:customStyle="1" w:styleId="1370">
    <w:name w:val="xl57"/>
    <w:basedOn w:val="1"/>
    <w:autoRedefine/>
    <w:qFormat/>
    <w:uiPriority w:val="0"/>
    <w:pPr>
      <w:widowControl/>
      <w:spacing w:before="100" w:beforeAutospacing="1" w:after="100" w:afterAutospacing="1"/>
      <w:jc w:val="left"/>
    </w:pPr>
    <w:rPr>
      <w:rFonts w:ascii="Arial Unicode MS" w:hAnsi="Arial Unicode MS"/>
      <w:kern w:val="0"/>
      <w:sz w:val="12"/>
      <w:szCs w:val="12"/>
    </w:rPr>
  </w:style>
  <w:style w:type="paragraph" w:customStyle="1" w:styleId="1371">
    <w:name w:val="高段文"/>
    <w:basedOn w:val="1"/>
    <w:autoRedefine/>
    <w:qFormat/>
    <w:uiPriority w:val="0"/>
    <w:pPr>
      <w:spacing w:line="300" w:lineRule="auto"/>
      <w:ind w:firstLine="200" w:firstLineChars="200"/>
    </w:pPr>
    <w:rPr>
      <w:rFonts w:ascii="Arial" w:hAnsi="Arial" w:eastAsia="楷体_GB2312"/>
      <w:sz w:val="28"/>
      <w:szCs w:val="28"/>
    </w:rPr>
  </w:style>
  <w:style w:type="paragraph" w:customStyle="1" w:styleId="1372">
    <w:name w:val="msolistparagraph"/>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1373">
    <w:name w:val="Char Char1 Char Char Char Char2"/>
    <w:basedOn w:val="1"/>
    <w:autoRedefine/>
    <w:qFormat/>
    <w:uiPriority w:val="0"/>
    <w:rPr>
      <w:sz w:val="24"/>
    </w:rPr>
  </w:style>
  <w:style w:type="paragraph" w:customStyle="1" w:styleId="1374">
    <w:name w:val="样式 标题 2 + 首行缩进:  2 字符1"/>
    <w:basedOn w:val="4"/>
    <w:autoRedefine/>
    <w:qFormat/>
    <w:uiPriority w:val="0"/>
    <w:pPr>
      <w:keepLines w:val="0"/>
      <w:tabs>
        <w:tab w:val="left" w:pos="1419"/>
      </w:tabs>
      <w:spacing w:beforeLines="100" w:after="0" w:line="440" w:lineRule="exact"/>
      <w:ind w:firstLine="440" w:firstLineChars="200"/>
      <w:jc w:val="left"/>
    </w:pPr>
    <w:rPr>
      <w:rFonts w:ascii="Times New Roman" w:hAnsi="Times New Roman" w:eastAsia="汉鼎简特宋"/>
      <w:b w:val="0"/>
      <w:bCs w:val="0"/>
      <w:spacing w:val="-2"/>
      <w:sz w:val="28"/>
      <w:szCs w:val="20"/>
      <w:lang w:val="zh-CN"/>
    </w:rPr>
  </w:style>
  <w:style w:type="paragraph" w:customStyle="1" w:styleId="1375">
    <w:name w:val="xl45"/>
    <w:basedOn w:val="1"/>
    <w:autoRedefine/>
    <w:qFormat/>
    <w:uiPriority w:val="0"/>
    <w:pPr>
      <w:widowControl/>
      <w:pBdr>
        <w:bottom w:val="single" w:color="auto" w:sz="12" w:space="0"/>
        <w:right w:val="single" w:color="auto" w:sz="12" w:space="0"/>
      </w:pBdr>
      <w:spacing w:before="100" w:beforeAutospacing="1" w:after="100" w:afterAutospacing="1"/>
      <w:jc w:val="center"/>
    </w:pPr>
    <w:rPr>
      <w:rFonts w:ascii="Arial Unicode MS" w:hAnsi="Arial Unicode MS"/>
      <w:kern w:val="0"/>
      <w:sz w:val="16"/>
      <w:szCs w:val="16"/>
    </w:rPr>
  </w:style>
  <w:style w:type="paragraph" w:customStyle="1" w:styleId="1376">
    <w:name w:val="xl201"/>
    <w:basedOn w:val="1"/>
    <w:autoRedefine/>
    <w:qFormat/>
    <w:uiPriority w:val="0"/>
    <w:pPr>
      <w:widowControl/>
      <w:pBdr>
        <w:top w:val="single" w:color="auto" w:sz="12" w:space="0"/>
        <w:right w:val="single" w:color="auto" w:sz="8" w:space="0"/>
      </w:pBdr>
      <w:spacing w:before="100" w:beforeAutospacing="1" w:after="100" w:afterAutospacing="1"/>
      <w:jc w:val="center"/>
    </w:pPr>
    <w:rPr>
      <w:rFonts w:ascii="宋体" w:hAnsi="宋体" w:cs="宋体"/>
      <w:color w:val="0000FF"/>
      <w:kern w:val="0"/>
      <w:sz w:val="18"/>
      <w:szCs w:val="18"/>
    </w:rPr>
  </w:style>
  <w:style w:type="paragraph" w:customStyle="1" w:styleId="1377">
    <w:name w:val="表字1"/>
    <w:basedOn w:val="1"/>
    <w:autoRedefine/>
    <w:qFormat/>
    <w:uiPriority w:val="0"/>
    <w:pPr>
      <w:adjustRightInd w:val="0"/>
      <w:spacing w:line="360" w:lineRule="auto"/>
      <w:jc w:val="center"/>
      <w:textAlignment w:val="baseline"/>
    </w:pPr>
    <w:rPr>
      <w:rFonts w:ascii="宋体"/>
      <w:kern w:val="0"/>
      <w:szCs w:val="20"/>
    </w:rPr>
  </w:style>
  <w:style w:type="paragraph" w:customStyle="1" w:styleId="1378">
    <w:name w:val="Char Char3 Char2"/>
    <w:basedOn w:val="1"/>
    <w:autoRedefine/>
    <w:qFormat/>
    <w:uiPriority w:val="0"/>
    <w:rPr>
      <w:rFonts w:ascii="Tahoma" w:hAnsi="Tahoma"/>
      <w:sz w:val="24"/>
      <w:szCs w:val="20"/>
    </w:rPr>
  </w:style>
  <w:style w:type="paragraph" w:customStyle="1" w:styleId="1379">
    <w:name w:val="xl59"/>
    <w:basedOn w:val="1"/>
    <w:autoRedefine/>
    <w:qFormat/>
    <w:uiPriority w:val="0"/>
    <w:pPr>
      <w:widowControl/>
      <w:pBdr>
        <w:bottom w:val="single" w:color="auto" w:sz="12" w:space="0"/>
      </w:pBdr>
      <w:spacing w:before="100" w:beforeAutospacing="1" w:after="100" w:afterAutospacing="1"/>
      <w:jc w:val="left"/>
    </w:pPr>
    <w:rPr>
      <w:kern w:val="0"/>
      <w:sz w:val="12"/>
      <w:szCs w:val="12"/>
    </w:rPr>
  </w:style>
  <w:style w:type="paragraph" w:customStyle="1" w:styleId="1380">
    <w:name w:val="Char Char Char1 Char14"/>
    <w:basedOn w:val="4"/>
    <w:autoRedefine/>
    <w:qFormat/>
    <w:uiPriority w:val="0"/>
    <w:pPr>
      <w:spacing w:line="520" w:lineRule="exact"/>
    </w:pPr>
    <w:rPr>
      <w:rFonts w:ascii="Times New Roman" w:hAnsi="Arial"/>
      <w:sz w:val="28"/>
      <w:lang w:val="zh-CN"/>
    </w:rPr>
  </w:style>
  <w:style w:type="paragraph" w:customStyle="1" w:styleId="1381">
    <w:name w:val="四级标题"/>
    <w:autoRedefine/>
    <w:qFormat/>
    <w:uiPriority w:val="0"/>
    <w:pPr>
      <w:keepNext/>
      <w:widowControl w:val="0"/>
      <w:adjustRightInd w:val="0"/>
      <w:snapToGrid w:val="0"/>
      <w:jc w:val="center"/>
    </w:pPr>
    <w:rPr>
      <w:rFonts w:ascii="Times New Roman" w:hAnsi="Times New Roman" w:eastAsia="黑体" w:cs="Times New Roman"/>
      <w:spacing w:val="20"/>
      <w:sz w:val="24"/>
      <w:lang w:val="en-US" w:eastAsia="zh-CN" w:bidi="ar-SA"/>
    </w:rPr>
  </w:style>
  <w:style w:type="paragraph" w:customStyle="1" w:styleId="1382">
    <w:name w:val="pa-2"/>
    <w:basedOn w:val="1"/>
    <w:autoRedefine/>
    <w:qFormat/>
    <w:uiPriority w:val="0"/>
    <w:pPr>
      <w:widowControl/>
      <w:spacing w:before="150" w:after="150"/>
      <w:jc w:val="left"/>
    </w:pPr>
    <w:rPr>
      <w:rFonts w:ascii="宋体" w:hAnsi="宋体" w:cs="宋体"/>
      <w:kern w:val="0"/>
      <w:sz w:val="24"/>
    </w:rPr>
  </w:style>
  <w:style w:type="paragraph" w:customStyle="1" w:styleId="1383">
    <w:name w:val="font7"/>
    <w:basedOn w:val="1"/>
    <w:autoRedefine/>
    <w:qFormat/>
    <w:uiPriority w:val="0"/>
    <w:pPr>
      <w:widowControl/>
      <w:spacing w:before="100" w:beforeAutospacing="1" w:after="100" w:afterAutospacing="1"/>
      <w:jc w:val="left"/>
    </w:pPr>
    <w:rPr>
      <w:rFonts w:hint="eastAsia" w:ascii="宋体" w:hAnsi="宋体" w:cs="Arial Unicode MS"/>
      <w:kern w:val="0"/>
      <w:szCs w:val="21"/>
    </w:rPr>
  </w:style>
  <w:style w:type="paragraph" w:customStyle="1" w:styleId="1384">
    <w:name w:val="正文 首行缩进:  2 字符"/>
    <w:basedOn w:val="1"/>
    <w:link w:val="1385"/>
    <w:autoRedefine/>
    <w:qFormat/>
    <w:uiPriority w:val="0"/>
    <w:pPr>
      <w:ind w:firstLine="579" w:firstLineChars="200"/>
    </w:pPr>
    <w:rPr>
      <w:sz w:val="28"/>
      <w:szCs w:val="20"/>
      <w:lang w:val="zh-CN"/>
    </w:rPr>
  </w:style>
  <w:style w:type="character" w:customStyle="1" w:styleId="1385">
    <w:name w:val="正文 首行缩进:  2 字符 Char"/>
    <w:link w:val="1384"/>
    <w:autoRedefine/>
    <w:qFormat/>
    <w:locked/>
    <w:uiPriority w:val="0"/>
    <w:rPr>
      <w:kern w:val="2"/>
      <w:sz w:val="28"/>
      <w:lang w:val="zh-CN"/>
    </w:rPr>
  </w:style>
  <w:style w:type="paragraph" w:customStyle="1" w:styleId="1386">
    <w:name w:val="Body Text 22"/>
    <w:basedOn w:val="1"/>
    <w:autoRedefine/>
    <w:qFormat/>
    <w:uiPriority w:val="0"/>
    <w:pPr>
      <w:adjustRightInd w:val="0"/>
      <w:spacing w:line="440" w:lineRule="atLeast"/>
      <w:ind w:firstLine="480"/>
      <w:textAlignment w:val="baseline"/>
    </w:pPr>
    <w:rPr>
      <w:rFonts w:eastAsia="仿宋_GB2312"/>
      <w:sz w:val="24"/>
      <w:szCs w:val="20"/>
    </w:rPr>
  </w:style>
  <w:style w:type="paragraph" w:customStyle="1" w:styleId="1387">
    <w:name w:val="图文字"/>
    <w:basedOn w:val="1"/>
    <w:autoRedefine/>
    <w:qFormat/>
    <w:uiPriority w:val="0"/>
    <w:pPr>
      <w:spacing w:line="400" w:lineRule="exact"/>
      <w:jc w:val="center"/>
    </w:pPr>
    <w:rPr>
      <w:rFonts w:ascii="宋体" w:hAnsi="宋体"/>
      <w:kern w:val="44"/>
      <w:sz w:val="24"/>
    </w:rPr>
  </w:style>
  <w:style w:type="paragraph" w:customStyle="1" w:styleId="1388">
    <w:name w:val="样式 标题 1章标题 1H1Section HeadHeader1h11st levell1Heading 0...2"/>
    <w:basedOn w:val="3"/>
    <w:autoRedefine/>
    <w:qFormat/>
    <w:uiPriority w:val="0"/>
    <w:pPr>
      <w:tabs>
        <w:tab w:val="left" w:pos="425"/>
      </w:tabs>
      <w:overflowPunct/>
      <w:snapToGrid/>
      <w:spacing w:before="0" w:after="0" w:line="500" w:lineRule="exact"/>
      <w:ind w:left="425" w:hanging="425"/>
      <w:jc w:val="left"/>
    </w:pPr>
    <w:rPr>
      <w:rFonts w:eastAsia="宋体" w:cs="宋体"/>
      <w:b w:val="0"/>
      <w:bCs w:val="0"/>
      <w:kern w:val="2"/>
      <w:sz w:val="28"/>
      <w:szCs w:val="20"/>
      <w:lang w:val="zh-CN"/>
    </w:rPr>
  </w:style>
  <w:style w:type="paragraph" w:customStyle="1" w:styleId="1389">
    <w:name w:val="样式一"/>
    <w:basedOn w:val="1"/>
    <w:autoRedefine/>
    <w:qFormat/>
    <w:uiPriority w:val="0"/>
    <w:pPr>
      <w:spacing w:beforeLines="50" w:afterLines="50" w:line="300" w:lineRule="auto"/>
    </w:pPr>
    <w:rPr>
      <w:rFonts w:eastAsia="黑体"/>
      <w:sz w:val="28"/>
    </w:rPr>
  </w:style>
  <w:style w:type="paragraph" w:customStyle="1" w:styleId="1390">
    <w:name w:val="xl196"/>
    <w:basedOn w:val="1"/>
    <w:autoRedefine/>
    <w:qFormat/>
    <w:uiPriority w:val="0"/>
    <w:pPr>
      <w:widowControl/>
      <w:pBdr>
        <w:left w:val="single" w:color="auto" w:sz="4" w:space="0"/>
        <w:right w:val="single" w:color="auto" w:sz="4" w:space="0"/>
      </w:pBdr>
      <w:spacing w:before="100" w:beforeAutospacing="1" w:after="100" w:afterAutospacing="1"/>
      <w:jc w:val="center"/>
    </w:pPr>
    <w:rPr>
      <w:rFonts w:ascii="Arial Unicode MS" w:hAnsi="Arial Unicode MS"/>
      <w:kern w:val="0"/>
    </w:rPr>
  </w:style>
  <w:style w:type="paragraph" w:customStyle="1" w:styleId="1391">
    <w:name w:val="环评正文字体"/>
    <w:basedOn w:val="1"/>
    <w:autoRedefine/>
    <w:qFormat/>
    <w:uiPriority w:val="0"/>
    <w:pPr>
      <w:spacing w:line="360" w:lineRule="auto"/>
      <w:ind w:firstLine="480" w:firstLineChars="200"/>
    </w:pPr>
    <w:rPr>
      <w:sz w:val="24"/>
      <w:szCs w:val="20"/>
    </w:rPr>
  </w:style>
  <w:style w:type="paragraph" w:customStyle="1" w:styleId="1392">
    <w:name w:val="样式 标题 3 + 宋体 小四 非加粗 行距: 1.5 倍行距"/>
    <w:basedOn w:val="5"/>
    <w:autoRedefine/>
    <w:qFormat/>
    <w:uiPriority w:val="0"/>
    <w:pPr>
      <w:tabs>
        <w:tab w:val="left" w:pos="1418"/>
      </w:tabs>
      <w:spacing w:line="360" w:lineRule="auto"/>
    </w:pPr>
    <w:rPr>
      <w:rFonts w:ascii="宋体" w:hAnsi="宋体" w:cs="宋体"/>
      <w:bCs w:val="0"/>
      <w:sz w:val="24"/>
      <w:szCs w:val="20"/>
      <w:lang w:val="zh-CN"/>
    </w:rPr>
  </w:style>
  <w:style w:type="paragraph" w:customStyle="1" w:styleId="1393">
    <w:name w:val="Char Char Char Char Char Char Char Char Char1 Char3"/>
    <w:basedOn w:val="1"/>
    <w:autoRedefine/>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1394">
    <w:name w:val="InstÀÀll6"/>
    <w:autoRedefine/>
    <w:qFormat/>
    <w:uiPriority w:val="0"/>
    <w:pPr>
      <w:tabs>
        <w:tab w:val="left" w:pos="-720"/>
      </w:tabs>
      <w:suppressAutoHyphens/>
      <w:jc w:val="both"/>
    </w:pPr>
    <w:rPr>
      <w:rFonts w:ascii="Courier" w:hAnsi="Courier" w:eastAsia="宋体" w:cs="Times New Roman"/>
      <w:spacing w:val="-3"/>
      <w:sz w:val="24"/>
      <w:lang w:val="en-US" w:eastAsia="sv-SE" w:bidi="ar-SA"/>
    </w:rPr>
  </w:style>
  <w:style w:type="paragraph" w:customStyle="1" w:styleId="1395">
    <w:name w:val="Body Text Indent 32"/>
    <w:basedOn w:val="1"/>
    <w:autoRedefine/>
    <w:qFormat/>
    <w:uiPriority w:val="0"/>
    <w:pPr>
      <w:adjustRightInd w:val="0"/>
      <w:spacing w:line="480" w:lineRule="exact"/>
      <w:ind w:firstLine="525"/>
      <w:textAlignment w:val="baseline"/>
    </w:pPr>
    <w:rPr>
      <w:rFonts w:ascii="宋体"/>
      <w:sz w:val="28"/>
      <w:szCs w:val="20"/>
    </w:rPr>
  </w:style>
  <w:style w:type="paragraph" w:customStyle="1" w:styleId="1396">
    <w:name w:val="puce"/>
    <w:basedOn w:val="1"/>
    <w:autoRedefine/>
    <w:qFormat/>
    <w:uiPriority w:val="0"/>
    <w:pPr>
      <w:widowControl/>
      <w:tabs>
        <w:tab w:val="left" w:pos="1114"/>
        <w:tab w:val="left" w:pos="1200"/>
      </w:tabs>
      <w:adjustRightInd w:val="0"/>
      <w:snapToGrid w:val="0"/>
      <w:spacing w:line="360" w:lineRule="auto"/>
      <w:ind w:firstLine="480" w:firstLineChars="200"/>
    </w:pPr>
    <w:rPr>
      <w:rFonts w:ascii="Arial" w:hAnsi="Arial"/>
      <w:color w:val="FF00FF"/>
      <w:kern w:val="0"/>
      <w:sz w:val="24"/>
    </w:rPr>
  </w:style>
  <w:style w:type="paragraph" w:customStyle="1" w:styleId="1397">
    <w:name w:val="新标题3"/>
    <w:basedOn w:val="1"/>
    <w:autoRedefine/>
    <w:qFormat/>
    <w:uiPriority w:val="0"/>
    <w:pPr>
      <w:keepNext/>
      <w:autoSpaceDE w:val="0"/>
      <w:autoSpaceDN w:val="0"/>
      <w:adjustRightInd w:val="0"/>
      <w:spacing w:before="120" w:after="120" w:line="460" w:lineRule="exact"/>
      <w:outlineLvl w:val="2"/>
    </w:pPr>
    <w:rPr>
      <w:rFonts w:ascii="黑体" w:eastAsia="黑体" w:cs="宋体"/>
      <w:b/>
      <w:bCs/>
      <w:color w:val="000000"/>
      <w:sz w:val="24"/>
      <w:lang w:val="zh-CN"/>
    </w:rPr>
  </w:style>
  <w:style w:type="paragraph" w:customStyle="1" w:styleId="1398">
    <w:name w:val="正文文字缩进"/>
    <w:basedOn w:val="1"/>
    <w:autoRedefine/>
    <w:qFormat/>
    <w:uiPriority w:val="0"/>
    <w:pPr>
      <w:autoSpaceDE w:val="0"/>
      <w:autoSpaceDN w:val="0"/>
      <w:adjustRightInd w:val="0"/>
      <w:snapToGrid w:val="0"/>
      <w:spacing w:line="360" w:lineRule="auto"/>
      <w:ind w:firstLine="540"/>
      <w:jc w:val="left"/>
      <w:textAlignment w:val="baseline"/>
    </w:pPr>
    <w:rPr>
      <w:rFonts w:ascii="宋体" w:cs="宋体"/>
      <w:kern w:val="0"/>
      <w:sz w:val="24"/>
    </w:rPr>
  </w:style>
  <w:style w:type="paragraph" w:customStyle="1" w:styleId="1399">
    <w:name w:val="正文缩进31"/>
    <w:basedOn w:val="1"/>
    <w:autoRedefine/>
    <w:qFormat/>
    <w:uiPriority w:val="0"/>
    <w:pPr>
      <w:adjustRightInd w:val="0"/>
      <w:ind w:firstLine="420" w:firstLineChars="200"/>
      <w:textAlignment w:val="baseline"/>
    </w:pPr>
    <w:rPr>
      <w:rFonts w:hint="eastAsia" w:hAnsi="宋体"/>
      <w:sz w:val="24"/>
      <w:szCs w:val="20"/>
    </w:rPr>
  </w:style>
  <w:style w:type="paragraph" w:customStyle="1" w:styleId="1400">
    <w:name w:val="xl107"/>
    <w:basedOn w:val="1"/>
    <w:autoRedefine/>
    <w:qFormat/>
    <w:uiPriority w:val="0"/>
    <w:pPr>
      <w:widowControl/>
      <w:pBdr>
        <w:bottom w:val="single" w:color="auto" w:sz="8" w:space="0"/>
      </w:pBdr>
      <w:spacing w:before="100" w:beforeAutospacing="1" w:after="100" w:afterAutospacing="1"/>
      <w:jc w:val="center"/>
    </w:pPr>
    <w:rPr>
      <w:rFonts w:ascii="Arial Unicode MS" w:hAnsi="Arial Unicode MS"/>
      <w:kern w:val="0"/>
      <w:sz w:val="16"/>
      <w:szCs w:val="16"/>
    </w:rPr>
  </w:style>
  <w:style w:type="paragraph" w:customStyle="1" w:styleId="1401">
    <w:name w:val="xl63"/>
    <w:basedOn w:val="1"/>
    <w:autoRedefine/>
    <w:qFormat/>
    <w:uiPriority w:val="0"/>
    <w:pPr>
      <w:widowControl/>
      <w:spacing w:before="100" w:beforeAutospacing="1" w:after="100" w:afterAutospacing="1"/>
      <w:jc w:val="center"/>
    </w:pPr>
    <w:rPr>
      <w:kern w:val="0"/>
      <w:sz w:val="12"/>
      <w:szCs w:val="12"/>
    </w:rPr>
  </w:style>
  <w:style w:type="paragraph" w:customStyle="1" w:styleId="1402">
    <w:name w:val="MG"/>
    <w:basedOn w:val="3"/>
    <w:autoRedefine/>
    <w:qFormat/>
    <w:uiPriority w:val="0"/>
    <w:pPr>
      <w:widowControl/>
      <w:tabs>
        <w:tab w:val="left" w:pos="425"/>
        <w:tab w:val="left" w:pos="2260"/>
        <w:tab w:val="left" w:pos="2820"/>
        <w:tab w:val="left" w:pos="3420"/>
      </w:tabs>
      <w:overflowPunct/>
      <w:adjustRightInd w:val="0"/>
      <w:spacing w:before="440" w:after="0" w:line="240" w:lineRule="auto"/>
      <w:ind w:left="851" w:right="-28" w:hanging="851"/>
    </w:pPr>
    <w:rPr>
      <w:rFonts w:ascii="Arial" w:hAnsi="Arial" w:eastAsia="宋体"/>
      <w:bCs w:val="0"/>
      <w:color w:val="auto"/>
      <w:kern w:val="0"/>
      <w:sz w:val="22"/>
      <w:szCs w:val="20"/>
      <w:lang w:val="en-GB"/>
    </w:rPr>
  </w:style>
  <w:style w:type="paragraph" w:customStyle="1" w:styleId="1403">
    <w:name w:val="图框文字"/>
    <w:basedOn w:val="1"/>
    <w:autoRedefine/>
    <w:qFormat/>
    <w:uiPriority w:val="0"/>
    <w:pPr>
      <w:jc w:val="center"/>
      <w:textAlignment w:val="center"/>
    </w:pPr>
  </w:style>
  <w:style w:type="paragraph" w:customStyle="1" w:styleId="1404">
    <w:name w:val="样式 标题 2节标题 1.11.1标题2 + 四号"/>
    <w:basedOn w:val="4"/>
    <w:autoRedefine/>
    <w:qFormat/>
    <w:uiPriority w:val="0"/>
    <w:pPr>
      <w:adjustRightInd w:val="0"/>
      <w:snapToGrid w:val="0"/>
      <w:spacing w:before="0" w:after="0" w:line="360" w:lineRule="auto"/>
      <w:ind w:firstLine="200"/>
    </w:pPr>
    <w:rPr>
      <w:rFonts w:ascii="宋体" w:hAnsi="宋体" w:cs="Arial"/>
      <w:sz w:val="28"/>
      <w:szCs w:val="24"/>
      <w:lang w:val="zh-CN"/>
    </w:rPr>
  </w:style>
  <w:style w:type="paragraph" w:customStyle="1" w:styleId="1405">
    <w:name w:val="样式 标题 1 + 加粗"/>
    <w:basedOn w:val="3"/>
    <w:autoRedefine/>
    <w:qFormat/>
    <w:uiPriority w:val="0"/>
    <w:pPr>
      <w:keepLines/>
      <w:widowControl/>
      <w:tabs>
        <w:tab w:val="left" w:pos="425"/>
        <w:tab w:val="left" w:pos="780"/>
      </w:tabs>
      <w:overflowPunct/>
      <w:snapToGrid/>
      <w:spacing w:before="0" w:after="0" w:line="360" w:lineRule="auto"/>
      <w:ind w:left="780" w:hanging="360"/>
      <w:jc w:val="center"/>
    </w:pPr>
    <w:rPr>
      <w:rFonts w:ascii="黑体" w:hAnsi="Arial Black" w:cs="宋体"/>
      <w:b w:val="0"/>
      <w:bCs w:val="0"/>
      <w:color w:val="auto"/>
      <w:sz w:val="32"/>
      <w:szCs w:val="24"/>
      <w:lang w:val="zh-CN"/>
    </w:rPr>
  </w:style>
  <w:style w:type="paragraph" w:customStyle="1" w:styleId="1406">
    <w:name w:val="Char16"/>
    <w:basedOn w:val="1"/>
    <w:autoRedefine/>
    <w:qFormat/>
    <w:uiPriority w:val="0"/>
    <w:rPr>
      <w:szCs w:val="21"/>
    </w:rPr>
  </w:style>
  <w:style w:type="paragraph" w:customStyle="1" w:styleId="1407">
    <w:name w:val="font5"/>
    <w:basedOn w:val="1"/>
    <w:autoRedefine/>
    <w:qFormat/>
    <w:uiPriority w:val="0"/>
    <w:pPr>
      <w:widowControl/>
      <w:spacing w:before="100" w:beforeAutospacing="1" w:after="100" w:afterAutospacing="1"/>
      <w:jc w:val="left"/>
    </w:pPr>
    <w:rPr>
      <w:rFonts w:hint="eastAsia" w:ascii="宋体" w:hAnsi="宋体" w:cs="Arial Unicode MS"/>
      <w:kern w:val="0"/>
      <w:szCs w:val="21"/>
    </w:rPr>
  </w:style>
  <w:style w:type="paragraph" w:customStyle="1" w:styleId="1408">
    <w:name w:val="xl143"/>
    <w:basedOn w:val="1"/>
    <w:autoRedefine/>
    <w:qFormat/>
    <w:uiPriority w:val="0"/>
    <w:pPr>
      <w:widowControl/>
      <w:pBdr>
        <w:top w:val="single" w:color="auto" w:sz="8" w:space="0"/>
        <w:left w:val="single" w:color="auto" w:sz="4" w:space="0"/>
        <w:bottom w:val="single" w:color="auto" w:sz="8" w:space="0"/>
      </w:pBdr>
      <w:spacing w:before="100" w:beforeAutospacing="1" w:after="100" w:afterAutospacing="1"/>
      <w:jc w:val="center"/>
    </w:pPr>
    <w:rPr>
      <w:rFonts w:ascii="Arial Unicode MS" w:hAnsi="Arial Unicode MS"/>
      <w:kern w:val="0"/>
      <w:sz w:val="16"/>
      <w:szCs w:val="16"/>
    </w:rPr>
  </w:style>
  <w:style w:type="paragraph" w:customStyle="1" w:styleId="1409">
    <w:name w:val="表题格式"/>
    <w:basedOn w:val="1"/>
    <w:autoRedefine/>
    <w:qFormat/>
    <w:uiPriority w:val="0"/>
    <w:pPr>
      <w:spacing w:line="400" w:lineRule="exact"/>
    </w:pPr>
    <w:rPr>
      <w:rFonts w:eastAsia="仿宋_GB2312"/>
      <w:kern w:val="0"/>
      <w:sz w:val="24"/>
      <w:szCs w:val="20"/>
    </w:rPr>
  </w:style>
  <w:style w:type="paragraph" w:customStyle="1" w:styleId="1410">
    <w:name w:val="Char Char1 Char Char Char Char Char Char Char Char Char Char Char Char Char Char Char Char Char Char Char Char1 Char1"/>
    <w:basedOn w:val="1"/>
    <w:autoRedefine/>
    <w:qFormat/>
    <w:uiPriority w:val="0"/>
    <w:pPr>
      <w:spacing w:line="360" w:lineRule="auto"/>
      <w:ind w:firstLine="200" w:firstLineChars="200"/>
    </w:pPr>
    <w:rPr>
      <w:sz w:val="24"/>
    </w:rPr>
  </w:style>
  <w:style w:type="paragraph" w:customStyle="1" w:styleId="1411">
    <w:name w:val="正文王"/>
    <w:basedOn w:val="42"/>
    <w:autoRedefine/>
    <w:qFormat/>
    <w:uiPriority w:val="0"/>
    <w:pPr>
      <w:spacing w:line="500" w:lineRule="exact"/>
    </w:pPr>
    <w:rPr>
      <w:rFonts w:ascii="Arial" w:hAnsi="Arial"/>
      <w:sz w:val="24"/>
      <w:szCs w:val="20"/>
    </w:rPr>
  </w:style>
  <w:style w:type="paragraph" w:customStyle="1" w:styleId="1412">
    <w:name w:val="目录 211"/>
    <w:basedOn w:val="1"/>
    <w:next w:val="1"/>
    <w:autoRedefine/>
    <w:qFormat/>
    <w:uiPriority w:val="39"/>
    <w:pPr>
      <w:tabs>
        <w:tab w:val="right" w:leader="dot" w:pos="9344"/>
      </w:tabs>
      <w:spacing w:before="120" w:line="380" w:lineRule="exact"/>
      <w:jc w:val="left"/>
    </w:pPr>
    <w:rPr>
      <w:bCs/>
      <w:sz w:val="24"/>
    </w:rPr>
  </w:style>
  <w:style w:type="paragraph" w:customStyle="1" w:styleId="1413">
    <w:name w:val="表格内容1"/>
    <w:basedOn w:val="1"/>
    <w:autoRedefine/>
    <w:qFormat/>
    <w:uiPriority w:val="0"/>
    <w:pPr>
      <w:jc w:val="center"/>
    </w:pPr>
    <w:rPr>
      <w:rFonts w:cs="宋体"/>
      <w:szCs w:val="20"/>
    </w:rPr>
  </w:style>
  <w:style w:type="paragraph" w:customStyle="1" w:styleId="1414">
    <w:name w:val="hb4"/>
    <w:basedOn w:val="6"/>
    <w:autoRedefine/>
    <w:qFormat/>
    <w:uiPriority w:val="0"/>
    <w:pPr>
      <w:keepLines/>
      <w:tabs>
        <w:tab w:val="left" w:pos="1984"/>
      </w:tabs>
      <w:topLinePunct/>
      <w:spacing w:beforeLines="50" w:afterLines="50" w:line="300" w:lineRule="exact"/>
      <w:ind w:right="0"/>
      <w:jc w:val="both"/>
    </w:pPr>
    <w:rPr>
      <w:rFonts w:ascii="宋体" w:hAnsi="宋体" w:eastAsia="宋体"/>
      <w:color w:val="auto"/>
      <w:kern w:val="0"/>
      <w:sz w:val="24"/>
      <w:szCs w:val="24"/>
      <w:lang w:val="zh-CN"/>
    </w:rPr>
  </w:style>
  <w:style w:type="paragraph" w:customStyle="1" w:styleId="1415">
    <w:name w:val="Char111"/>
    <w:basedOn w:val="1"/>
    <w:autoRedefine/>
    <w:qFormat/>
    <w:uiPriority w:val="0"/>
    <w:rPr>
      <w:szCs w:val="21"/>
    </w:rPr>
  </w:style>
  <w:style w:type="paragraph" w:customStyle="1" w:styleId="1416">
    <w:name w:val="条5"/>
    <w:basedOn w:val="1"/>
    <w:next w:val="1"/>
    <w:autoRedefine/>
    <w:qFormat/>
    <w:uiPriority w:val="0"/>
    <w:pPr>
      <w:tabs>
        <w:tab w:val="left" w:pos="1134"/>
      </w:tabs>
      <w:ind w:left="1134" w:hanging="1134"/>
      <w:outlineLvl w:val="1"/>
    </w:pPr>
    <w:rPr>
      <w:rFonts w:hint="eastAsia" w:ascii="黑体" w:eastAsia="黑体"/>
      <w:kern w:val="21"/>
      <w:szCs w:val="20"/>
    </w:rPr>
  </w:style>
  <w:style w:type="paragraph" w:customStyle="1" w:styleId="1417">
    <w:name w:val="Char Char Char Char Char Char Char Char Char1 Char Char Char Char4"/>
    <w:basedOn w:val="1"/>
    <w:autoRedefine/>
    <w:qFormat/>
    <w:uiPriority w:val="0"/>
    <w:rPr>
      <w:szCs w:val="21"/>
    </w:rPr>
  </w:style>
  <w:style w:type="paragraph" w:customStyle="1" w:styleId="1418">
    <w:name w:val="样式15"/>
    <w:basedOn w:val="1"/>
    <w:autoRedefine/>
    <w:qFormat/>
    <w:uiPriority w:val="0"/>
  </w:style>
  <w:style w:type="paragraph" w:customStyle="1" w:styleId="1419">
    <w:name w:val="三级条标题"/>
    <w:basedOn w:val="905"/>
    <w:next w:val="1"/>
    <w:autoRedefine/>
    <w:qFormat/>
    <w:uiPriority w:val="0"/>
    <w:pPr>
      <w:outlineLvl w:val="4"/>
    </w:pPr>
  </w:style>
  <w:style w:type="paragraph" w:customStyle="1" w:styleId="1420">
    <w:name w:val="目录 7 Char Char"/>
    <w:basedOn w:val="1"/>
    <w:next w:val="1"/>
    <w:autoRedefine/>
    <w:qFormat/>
    <w:uiPriority w:val="0"/>
    <w:pPr>
      <w:spacing w:line="351" w:lineRule="atLeast"/>
      <w:ind w:left="1258" w:firstLine="419"/>
      <w:jc w:val="left"/>
    </w:pPr>
    <w:rPr>
      <w:rFonts w:hint="eastAsia"/>
      <w:szCs w:val="20"/>
    </w:rPr>
  </w:style>
  <w:style w:type="paragraph" w:customStyle="1" w:styleId="1421">
    <w:name w:val="xl204"/>
    <w:basedOn w:val="1"/>
    <w:autoRedefine/>
    <w:qFormat/>
    <w:uiPriority w:val="0"/>
    <w:pPr>
      <w:widowControl/>
      <w:pBdr>
        <w:left w:val="single" w:color="auto" w:sz="8" w:space="0"/>
      </w:pBdr>
      <w:spacing w:before="100" w:beforeAutospacing="1" w:after="100" w:afterAutospacing="1"/>
      <w:jc w:val="center"/>
    </w:pPr>
    <w:rPr>
      <w:kern w:val="0"/>
      <w:sz w:val="18"/>
      <w:szCs w:val="18"/>
    </w:rPr>
  </w:style>
  <w:style w:type="paragraph" w:customStyle="1" w:styleId="1422">
    <w:name w:val="样式 样式 标题 3H3标题 3 Char Char标题 3 Char条标题1.1.1标题 3zym + 仿宋_GB23121 ..."/>
    <w:basedOn w:val="1127"/>
    <w:autoRedefine/>
    <w:qFormat/>
    <w:uiPriority w:val="0"/>
    <w:pPr>
      <w:ind w:right="240"/>
    </w:pPr>
    <w:rPr>
      <w:rFonts w:cs="宋体"/>
      <w:szCs w:val="20"/>
    </w:rPr>
  </w:style>
  <w:style w:type="paragraph" w:customStyle="1" w:styleId="1423">
    <w:name w:val="Char Char Char Char Char Char Char Char Char1 Char Char Char Char5"/>
    <w:basedOn w:val="1"/>
    <w:autoRedefine/>
    <w:qFormat/>
    <w:uiPriority w:val="0"/>
    <w:rPr>
      <w:szCs w:val="21"/>
    </w:rPr>
  </w:style>
  <w:style w:type="paragraph" w:customStyle="1" w:styleId="1424">
    <w:name w:val="新标题2"/>
    <w:basedOn w:val="1"/>
    <w:autoRedefine/>
    <w:qFormat/>
    <w:uiPriority w:val="0"/>
    <w:pPr>
      <w:keepNext/>
      <w:autoSpaceDE w:val="0"/>
      <w:autoSpaceDN w:val="0"/>
      <w:adjustRightInd w:val="0"/>
      <w:spacing w:before="120" w:after="120" w:line="460" w:lineRule="exact"/>
      <w:outlineLvl w:val="1"/>
    </w:pPr>
    <w:rPr>
      <w:rFonts w:ascii="黑体" w:eastAsia="黑体" w:cs="宋体"/>
      <w:b/>
      <w:bCs/>
      <w:color w:val="000000"/>
      <w:sz w:val="24"/>
      <w:lang w:val="zh-CN"/>
    </w:rPr>
  </w:style>
  <w:style w:type="paragraph" w:customStyle="1" w:styleId="1425">
    <w:name w:val="Char41"/>
    <w:basedOn w:val="1"/>
    <w:autoRedefine/>
    <w:qFormat/>
    <w:uiPriority w:val="0"/>
    <w:rPr>
      <w:sz w:val="24"/>
    </w:rPr>
  </w:style>
  <w:style w:type="paragraph" w:customStyle="1" w:styleId="1426">
    <w:name w:val="CM15"/>
    <w:basedOn w:val="143"/>
    <w:next w:val="143"/>
    <w:autoRedefine/>
    <w:qFormat/>
    <w:uiPriority w:val="0"/>
    <w:pPr>
      <w:spacing w:line="440" w:lineRule="atLeast"/>
    </w:pPr>
    <w:rPr>
      <w:rFonts w:ascii="楷体_GB2312" w:hAnsi="Times New Roman" w:eastAsia="楷体_GB2312" w:cs="Times New Roman"/>
      <w:color w:val="auto"/>
    </w:rPr>
  </w:style>
  <w:style w:type="paragraph" w:customStyle="1" w:styleId="1427">
    <w:name w:val="b"/>
    <w:basedOn w:val="1"/>
    <w:autoRedefine/>
    <w:qFormat/>
    <w:uiPriority w:val="0"/>
    <w:pPr>
      <w:widowControl/>
      <w:spacing w:before="100" w:beforeAutospacing="1" w:after="100" w:afterAutospacing="1"/>
      <w:jc w:val="left"/>
    </w:pPr>
    <w:rPr>
      <w:rFonts w:ascii="宋体" w:hAnsi="宋体"/>
      <w:b/>
      <w:bCs/>
      <w:kern w:val="0"/>
      <w:sz w:val="27"/>
      <w:szCs w:val="27"/>
    </w:rPr>
  </w:style>
  <w:style w:type="paragraph" w:customStyle="1" w:styleId="1428">
    <w:name w:val="xl28"/>
    <w:basedOn w:val="1"/>
    <w:autoRedefine/>
    <w:qFormat/>
    <w:uiPriority w:val="0"/>
    <w:pPr>
      <w:widowControl/>
      <w:pBdr>
        <w:left w:val="single" w:color="auto" w:sz="4" w:space="0"/>
        <w:right w:val="single" w:color="auto" w:sz="4" w:space="0"/>
      </w:pBdr>
      <w:spacing w:before="100" w:beforeAutospacing="1" w:after="100" w:afterAutospacing="1"/>
      <w:jc w:val="center"/>
    </w:pPr>
    <w:rPr>
      <w:kern w:val="0"/>
      <w:sz w:val="24"/>
    </w:rPr>
  </w:style>
  <w:style w:type="paragraph" w:customStyle="1" w:styleId="1429">
    <w:name w:val="Char Char2 Char Char Char Char Char Char3"/>
    <w:basedOn w:val="1"/>
    <w:autoRedefine/>
    <w:qFormat/>
    <w:uiPriority w:val="0"/>
    <w:pPr>
      <w:spacing w:line="480" w:lineRule="exact"/>
    </w:pPr>
    <w:rPr>
      <w:sz w:val="22"/>
    </w:rPr>
  </w:style>
  <w:style w:type="paragraph" w:customStyle="1" w:styleId="1430">
    <w:name w:val="报告标题1"/>
    <w:basedOn w:val="3"/>
    <w:autoRedefine/>
    <w:qFormat/>
    <w:uiPriority w:val="0"/>
    <w:pPr>
      <w:keepLines/>
      <w:tabs>
        <w:tab w:val="left" w:pos="425"/>
      </w:tabs>
      <w:overflowPunct/>
      <w:snapToGrid/>
      <w:spacing w:before="200" w:after="200" w:line="360" w:lineRule="auto"/>
      <w:ind w:left="0" w:firstLine="0"/>
    </w:pPr>
    <w:rPr>
      <w:rFonts w:eastAsia="宋体"/>
      <w:color w:val="auto"/>
      <w:sz w:val="44"/>
      <w:szCs w:val="44"/>
      <w:lang w:val="zh-CN"/>
    </w:rPr>
  </w:style>
  <w:style w:type="paragraph" w:customStyle="1" w:styleId="1431">
    <w:name w:val="description"/>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1432">
    <w:name w:val="表格正文1"/>
    <w:basedOn w:val="1"/>
    <w:autoRedefine/>
    <w:qFormat/>
    <w:uiPriority w:val="0"/>
    <w:pPr>
      <w:jc w:val="center"/>
    </w:pPr>
    <w:rPr>
      <w:szCs w:val="21"/>
    </w:rPr>
  </w:style>
  <w:style w:type="paragraph" w:customStyle="1" w:styleId="1433">
    <w:name w:val="jcss"/>
    <w:basedOn w:val="1"/>
    <w:autoRedefine/>
    <w:qFormat/>
    <w:uiPriority w:val="0"/>
    <w:pPr>
      <w:widowControl/>
      <w:spacing w:before="100" w:beforeAutospacing="1" w:after="100" w:afterAutospacing="1" w:line="375" w:lineRule="atLeast"/>
      <w:jc w:val="left"/>
    </w:pPr>
    <w:rPr>
      <w:rFonts w:ascii="宋体" w:hAnsi="宋体" w:cs="宋体"/>
      <w:color w:val="000000"/>
      <w:kern w:val="0"/>
      <w:sz w:val="18"/>
      <w:szCs w:val="18"/>
    </w:rPr>
  </w:style>
  <w:style w:type="paragraph" w:customStyle="1" w:styleId="1434">
    <w:name w:val="五号字表格"/>
    <w:basedOn w:val="134"/>
    <w:autoRedefine/>
    <w:qFormat/>
    <w:uiPriority w:val="0"/>
    <w:pPr>
      <w:widowControl w:val="0"/>
      <w:adjustRightInd w:val="0"/>
      <w:spacing w:before="0" w:beforeLines="0" w:after="0" w:afterLines="0"/>
      <w:textAlignment w:val="baseline"/>
    </w:pPr>
    <w:rPr>
      <w:rFonts w:ascii="宋体"/>
      <w:szCs w:val="20"/>
    </w:rPr>
  </w:style>
  <w:style w:type="paragraph" w:customStyle="1" w:styleId="1435">
    <w:name w:val="报告标题2"/>
    <w:basedOn w:val="4"/>
    <w:autoRedefine/>
    <w:qFormat/>
    <w:uiPriority w:val="0"/>
    <w:pPr>
      <w:tabs>
        <w:tab w:val="left" w:pos="1419"/>
      </w:tabs>
      <w:spacing w:line="360" w:lineRule="auto"/>
    </w:pPr>
    <w:rPr>
      <w:rFonts w:ascii="Times New Roman" w:hAnsi="Times New Roman"/>
      <w:lang w:val="zh-CN"/>
    </w:rPr>
  </w:style>
  <w:style w:type="paragraph" w:customStyle="1" w:styleId="1436">
    <w:name w:val="xl113"/>
    <w:basedOn w:val="1"/>
    <w:autoRedefine/>
    <w:qFormat/>
    <w:uiPriority w:val="0"/>
    <w:pPr>
      <w:widowControl/>
      <w:pBdr>
        <w:top w:val="single" w:color="auto" w:sz="8" w:space="0"/>
        <w:bottom w:val="single" w:color="auto" w:sz="12" w:space="0"/>
      </w:pBdr>
      <w:spacing w:before="100" w:beforeAutospacing="1" w:after="100" w:afterAutospacing="1"/>
      <w:jc w:val="left"/>
    </w:pPr>
    <w:rPr>
      <w:rFonts w:ascii="Arial Unicode MS" w:hAnsi="Arial Unicode MS"/>
      <w:kern w:val="0"/>
      <w:sz w:val="16"/>
      <w:szCs w:val="16"/>
    </w:rPr>
  </w:style>
  <w:style w:type="paragraph" w:customStyle="1" w:styleId="1437">
    <w:name w:val="1 Char Char Char Char"/>
    <w:basedOn w:val="1"/>
    <w:autoRedefine/>
    <w:qFormat/>
    <w:uiPriority w:val="0"/>
    <w:rPr>
      <w:sz w:val="24"/>
    </w:rPr>
  </w:style>
  <w:style w:type="paragraph" w:customStyle="1" w:styleId="1438">
    <w:name w:val="目录 611"/>
    <w:basedOn w:val="1"/>
    <w:next w:val="1"/>
    <w:autoRedefine/>
    <w:qFormat/>
    <w:uiPriority w:val="0"/>
    <w:pPr>
      <w:ind w:left="840"/>
      <w:jc w:val="left"/>
    </w:pPr>
    <w:rPr>
      <w:sz w:val="20"/>
      <w:szCs w:val="20"/>
    </w:rPr>
  </w:style>
  <w:style w:type="paragraph" w:customStyle="1" w:styleId="1439">
    <w:name w:val="5"/>
    <w:basedOn w:val="1"/>
    <w:next w:val="42"/>
    <w:autoRedefine/>
    <w:qFormat/>
    <w:uiPriority w:val="0"/>
    <w:pPr>
      <w:widowControl/>
      <w:jc w:val="left"/>
    </w:pPr>
    <w:rPr>
      <w:rFonts w:ascii="宋体" w:hAnsi="Courier New" w:cs="宋体"/>
      <w:kern w:val="0"/>
      <w:sz w:val="28"/>
    </w:rPr>
  </w:style>
  <w:style w:type="paragraph" w:customStyle="1" w:styleId="1440">
    <w:name w:val="默认段落字体 Para Char Char Char Char Char Char Char Char Char Char Char Char Char1"/>
    <w:basedOn w:val="1"/>
    <w:autoRedefine/>
    <w:qFormat/>
    <w:uiPriority w:val="0"/>
    <w:rPr>
      <w:sz w:val="24"/>
    </w:rPr>
  </w:style>
  <w:style w:type="paragraph" w:customStyle="1" w:styleId="1441">
    <w:name w:val="流程文字"/>
    <w:basedOn w:val="1"/>
    <w:autoRedefine/>
    <w:qFormat/>
    <w:uiPriority w:val="0"/>
    <w:pPr>
      <w:tabs>
        <w:tab w:val="left" w:pos="6480"/>
      </w:tabs>
      <w:topLinePunct/>
      <w:adjustRightInd w:val="0"/>
      <w:snapToGrid w:val="0"/>
      <w:spacing w:line="420" w:lineRule="exact"/>
      <w:jc w:val="center"/>
    </w:pPr>
    <w:rPr>
      <w:rFonts w:ascii="仿宋_GB2312" w:eastAsia="仿宋_GB2312" w:cs="宋体"/>
      <w:bCs/>
      <w:color w:val="000000"/>
      <w:sz w:val="30"/>
      <w:szCs w:val="20"/>
    </w:rPr>
  </w:style>
  <w:style w:type="paragraph" w:customStyle="1" w:styleId="1442">
    <w:name w:val="一级无标题条"/>
    <w:basedOn w:val="1"/>
    <w:autoRedefine/>
    <w:qFormat/>
    <w:uiPriority w:val="0"/>
    <w:pPr>
      <w:tabs>
        <w:tab w:val="left" w:pos="3500"/>
      </w:tabs>
      <w:ind w:left="3500" w:hanging="420"/>
    </w:pPr>
  </w:style>
  <w:style w:type="paragraph" w:customStyle="1" w:styleId="1443">
    <w:name w:val="xl39"/>
    <w:basedOn w:val="1"/>
    <w:autoRedefine/>
    <w:qFormat/>
    <w:uiPriority w:val="0"/>
    <w:pPr>
      <w:widowControl/>
      <w:pBdr>
        <w:bottom w:val="single" w:color="auto" w:sz="12" w:space="0"/>
      </w:pBdr>
      <w:spacing w:before="100" w:beforeAutospacing="1" w:after="100" w:afterAutospacing="1"/>
      <w:jc w:val="left"/>
    </w:pPr>
    <w:rPr>
      <w:kern w:val="0"/>
      <w:sz w:val="16"/>
      <w:szCs w:val="16"/>
    </w:rPr>
  </w:style>
  <w:style w:type="paragraph" w:customStyle="1" w:styleId="1444">
    <w:name w:val="表格下方正文"/>
    <w:basedOn w:val="1"/>
    <w:autoRedefine/>
    <w:qFormat/>
    <w:uiPriority w:val="0"/>
    <w:pPr>
      <w:spacing w:before="260" w:line="440" w:lineRule="exact"/>
      <w:ind w:firstLine="200" w:firstLineChars="200"/>
    </w:pPr>
    <w:rPr>
      <w:kern w:val="0"/>
      <w:sz w:val="24"/>
      <w:szCs w:val="20"/>
    </w:rPr>
  </w:style>
  <w:style w:type="paragraph" w:customStyle="1" w:styleId="1445">
    <w:name w:val="xl132"/>
    <w:basedOn w:val="1"/>
    <w:autoRedefine/>
    <w:qFormat/>
    <w:uiPriority w:val="0"/>
    <w:pPr>
      <w:widowControl/>
      <w:pBdr>
        <w:top w:val="single" w:color="auto" w:sz="12" w:space="0"/>
        <w:left w:val="single" w:color="auto" w:sz="4" w:space="0"/>
      </w:pBdr>
      <w:spacing w:before="100" w:beforeAutospacing="1" w:after="100" w:afterAutospacing="1"/>
      <w:jc w:val="left"/>
    </w:pPr>
    <w:rPr>
      <w:rFonts w:ascii="Arial Unicode MS" w:hAnsi="Arial Unicode MS"/>
      <w:kern w:val="0"/>
      <w:sz w:val="16"/>
      <w:szCs w:val="16"/>
    </w:rPr>
  </w:style>
  <w:style w:type="paragraph" w:customStyle="1" w:styleId="1446">
    <w:name w:val="xl114"/>
    <w:basedOn w:val="1"/>
    <w:autoRedefine/>
    <w:qFormat/>
    <w:uiPriority w:val="0"/>
    <w:pPr>
      <w:widowControl/>
      <w:pBdr>
        <w:left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1447">
    <w:name w:val="xl191"/>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kern w:val="0"/>
      <w:sz w:val="16"/>
      <w:szCs w:val="16"/>
    </w:rPr>
  </w:style>
  <w:style w:type="paragraph" w:customStyle="1" w:styleId="1448">
    <w:name w:val="样式 样式 首行缩进 + 四号 首行缩进:  2 字符 + 首行缩进:  2 字符"/>
    <w:basedOn w:val="1449"/>
    <w:autoRedefine/>
    <w:qFormat/>
    <w:uiPriority w:val="0"/>
    <w:pPr>
      <w:jc w:val="left"/>
    </w:pPr>
    <w:rPr>
      <w:rFonts w:ascii="仿宋_GB2312" w:eastAsia="仿宋_GB2312" w:cs="宋体"/>
    </w:rPr>
  </w:style>
  <w:style w:type="paragraph" w:customStyle="1" w:styleId="1449">
    <w:name w:val="样式 首行缩进 + 四号 首行缩进:  2 字符"/>
    <w:basedOn w:val="366"/>
    <w:autoRedefine/>
    <w:qFormat/>
    <w:uiPriority w:val="0"/>
    <w:pPr>
      <w:snapToGrid w:val="0"/>
      <w:ind w:firstLine="560"/>
    </w:pPr>
    <w:rPr>
      <w:sz w:val="28"/>
      <w:szCs w:val="20"/>
      <w:lang w:val="en-GB"/>
    </w:rPr>
  </w:style>
  <w:style w:type="paragraph" w:customStyle="1" w:styleId="1450">
    <w:name w:val="正文 New"/>
    <w:autoRedefine/>
    <w:qFormat/>
    <w:uiPriority w:val="0"/>
    <w:pPr>
      <w:widowControl w:val="0"/>
      <w:ind w:firstLine="720" w:firstLineChars="200"/>
      <w:jc w:val="both"/>
    </w:pPr>
    <w:rPr>
      <w:rFonts w:ascii="Times New Roman" w:hAnsi="Times New Roman" w:eastAsia="仿宋_GB2312" w:cs="Times New Roman"/>
      <w:kern w:val="2"/>
      <w:sz w:val="28"/>
      <w:szCs w:val="28"/>
      <w:lang w:val="en-US" w:eastAsia="zh-CN" w:bidi="ar-SA"/>
    </w:rPr>
  </w:style>
  <w:style w:type="paragraph" w:customStyle="1" w:styleId="1451">
    <w:name w:val="xl50"/>
    <w:basedOn w:val="1"/>
    <w:autoRedefine/>
    <w:qFormat/>
    <w:uiPriority w:val="0"/>
    <w:pPr>
      <w:widowControl/>
      <w:pBdr>
        <w:right w:val="single" w:color="auto" w:sz="4" w:space="0"/>
      </w:pBdr>
      <w:spacing w:before="100" w:beforeAutospacing="1" w:after="100" w:afterAutospacing="1"/>
      <w:jc w:val="center"/>
    </w:pPr>
    <w:rPr>
      <w:rFonts w:ascii="Arial Unicode MS" w:hAnsi="Arial Unicode MS"/>
      <w:kern w:val="0"/>
      <w:sz w:val="16"/>
      <w:szCs w:val="16"/>
    </w:rPr>
  </w:style>
  <w:style w:type="paragraph" w:customStyle="1" w:styleId="1452">
    <w:name w:val="条(三级)"/>
    <w:basedOn w:val="1"/>
    <w:next w:val="1"/>
    <w:autoRedefine/>
    <w:qFormat/>
    <w:uiPriority w:val="0"/>
    <w:pPr>
      <w:keepNext/>
      <w:keepLines/>
      <w:adjustRightInd w:val="0"/>
      <w:snapToGrid w:val="0"/>
      <w:spacing w:beforeLines="20" w:line="460" w:lineRule="exact"/>
      <w:jc w:val="center"/>
      <w:textAlignment w:val="baseline"/>
    </w:pPr>
    <w:rPr>
      <w:rFonts w:hAnsi="宋体"/>
      <w:spacing w:val="3"/>
      <w:kern w:val="24"/>
      <w:sz w:val="24"/>
      <w:szCs w:val="20"/>
    </w:rPr>
  </w:style>
  <w:style w:type="paragraph" w:customStyle="1" w:styleId="1453">
    <w:name w:val="Char Char Char Char Char Char Char Char Char Char Char Char"/>
    <w:basedOn w:val="1"/>
    <w:autoRedefine/>
    <w:qFormat/>
    <w:uiPriority w:val="0"/>
    <w:rPr>
      <w:sz w:val="24"/>
    </w:rPr>
  </w:style>
  <w:style w:type="paragraph" w:customStyle="1" w:styleId="1454">
    <w:name w:val="font6"/>
    <w:basedOn w:val="1"/>
    <w:autoRedefine/>
    <w:qFormat/>
    <w:uiPriority w:val="0"/>
    <w:pPr>
      <w:widowControl/>
      <w:spacing w:before="100" w:beforeAutospacing="1" w:after="100" w:afterAutospacing="1"/>
      <w:jc w:val="left"/>
    </w:pPr>
    <w:rPr>
      <w:rFonts w:hint="eastAsia" w:ascii="宋体" w:hAnsi="宋体" w:cs="Arial Unicode MS"/>
      <w:kern w:val="0"/>
      <w:sz w:val="18"/>
      <w:szCs w:val="18"/>
    </w:rPr>
  </w:style>
  <w:style w:type="paragraph" w:customStyle="1" w:styleId="1455">
    <w:name w:val="五级无标题条"/>
    <w:basedOn w:val="1"/>
    <w:autoRedefine/>
    <w:qFormat/>
    <w:uiPriority w:val="0"/>
  </w:style>
  <w:style w:type="paragraph" w:customStyle="1" w:styleId="1456">
    <w:name w:val="T表头"/>
    <w:basedOn w:val="143"/>
    <w:next w:val="143"/>
    <w:autoRedefine/>
    <w:qFormat/>
    <w:uiPriority w:val="0"/>
    <w:rPr>
      <w:rFonts w:hAnsi="Times New Roman" w:cs="Times New Roman"/>
      <w:color w:val="auto"/>
    </w:rPr>
  </w:style>
  <w:style w:type="paragraph" w:customStyle="1" w:styleId="1457">
    <w:name w:val="xl131"/>
    <w:basedOn w:val="1"/>
    <w:autoRedefine/>
    <w:qFormat/>
    <w:uiPriority w:val="0"/>
    <w:pPr>
      <w:widowControl/>
      <w:pBdr>
        <w:left w:val="single" w:color="auto" w:sz="4" w:space="0"/>
        <w:right w:val="single" w:color="auto" w:sz="8" w:space="0"/>
      </w:pBdr>
      <w:spacing w:before="100" w:beforeAutospacing="1" w:after="100" w:afterAutospacing="1"/>
      <w:jc w:val="left"/>
    </w:pPr>
    <w:rPr>
      <w:rFonts w:ascii="Arial Unicode MS" w:hAnsi="Arial Unicode MS"/>
      <w:kern w:val="0"/>
    </w:rPr>
  </w:style>
  <w:style w:type="paragraph" w:customStyle="1" w:styleId="1458">
    <w:name w:val="正文文本缩进 22"/>
    <w:basedOn w:val="1"/>
    <w:autoRedefine/>
    <w:qFormat/>
    <w:uiPriority w:val="0"/>
    <w:pPr>
      <w:overflowPunct w:val="0"/>
      <w:autoSpaceDE w:val="0"/>
      <w:autoSpaceDN w:val="0"/>
      <w:adjustRightInd w:val="0"/>
      <w:ind w:left="810"/>
      <w:jc w:val="left"/>
    </w:pPr>
    <w:rPr>
      <w:kern w:val="0"/>
      <w:sz w:val="20"/>
      <w:szCs w:val="20"/>
    </w:rPr>
  </w:style>
  <w:style w:type="paragraph" w:customStyle="1" w:styleId="1459">
    <w:name w:val="纯文本3"/>
    <w:basedOn w:val="1"/>
    <w:autoRedefine/>
    <w:qFormat/>
    <w:uiPriority w:val="0"/>
    <w:pPr>
      <w:adjustRightInd w:val="0"/>
    </w:pPr>
    <w:rPr>
      <w:rFonts w:ascii="宋体" w:hAnsi="Courier New"/>
      <w:szCs w:val="20"/>
    </w:rPr>
  </w:style>
  <w:style w:type="paragraph" w:customStyle="1" w:styleId="1460">
    <w:name w:val="11"/>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461">
    <w:name w:val="样式 标题 2 + 宋体 小四 非加粗 段前: 1 行 段后: 1 行"/>
    <w:basedOn w:val="4"/>
    <w:autoRedefine/>
    <w:qFormat/>
    <w:uiPriority w:val="0"/>
    <w:pPr>
      <w:tabs>
        <w:tab w:val="left" w:pos="1419"/>
      </w:tabs>
      <w:adjustRightInd w:val="0"/>
      <w:snapToGrid w:val="0"/>
      <w:spacing w:before="0" w:after="0" w:line="336" w:lineRule="auto"/>
      <w:ind w:left="446"/>
    </w:pPr>
    <w:rPr>
      <w:rFonts w:ascii="宋体" w:hAnsi="宋体" w:cs="宋体"/>
      <w:b w:val="0"/>
      <w:bCs w:val="0"/>
      <w:sz w:val="24"/>
      <w:szCs w:val="24"/>
      <w:lang w:val="zh-CN"/>
    </w:rPr>
  </w:style>
  <w:style w:type="paragraph" w:customStyle="1" w:styleId="1462">
    <w:name w:val="Char Char Char Char Char Char Char Char Char Char Char Char Char Char Char Char Char1 Char"/>
    <w:basedOn w:val="1"/>
    <w:autoRedefine/>
    <w:qFormat/>
    <w:uiPriority w:val="0"/>
    <w:rPr>
      <w:sz w:val="24"/>
    </w:rPr>
  </w:style>
  <w:style w:type="paragraph" w:customStyle="1" w:styleId="1463">
    <w:name w:val="Char2 Char Char Char6"/>
    <w:basedOn w:val="1"/>
    <w:autoRedefine/>
    <w:qFormat/>
    <w:uiPriority w:val="0"/>
    <w:rPr>
      <w:sz w:val="24"/>
    </w:rPr>
  </w:style>
  <w:style w:type="paragraph" w:customStyle="1" w:styleId="1464">
    <w:name w:val="Char Char Char Char Char Char Char Char Char Char Char Char Char Char Char Char Char Char Char Char Char Char Char Char Char Char Char Char Char Char Char Char Char Char Char Char Char Char"/>
    <w:basedOn w:val="1"/>
    <w:autoRedefine/>
    <w:qFormat/>
    <w:uiPriority w:val="0"/>
    <w:rPr>
      <w:sz w:val="24"/>
    </w:rPr>
  </w:style>
  <w:style w:type="paragraph" w:customStyle="1" w:styleId="1465">
    <w:name w:val="宋体"/>
    <w:basedOn w:val="1"/>
    <w:autoRedefine/>
    <w:qFormat/>
    <w:uiPriority w:val="0"/>
    <w:rPr>
      <w:rFonts w:ascii="宋体" w:hAnsi="宋体"/>
      <w:szCs w:val="21"/>
    </w:rPr>
  </w:style>
  <w:style w:type="paragraph" w:customStyle="1" w:styleId="1466">
    <w:name w:val="样式 标题 3H3标题 3 Char Char标题 3 Char条标题1.1.1标题 3zym + 仿宋_GB2312"/>
    <w:basedOn w:val="5"/>
    <w:autoRedefine/>
    <w:qFormat/>
    <w:uiPriority w:val="0"/>
    <w:pPr>
      <w:keepLines w:val="0"/>
      <w:tabs>
        <w:tab w:val="left" w:pos="1418"/>
        <w:tab w:val="left" w:pos="2520"/>
      </w:tabs>
      <w:snapToGrid w:val="0"/>
      <w:spacing w:before="0" w:afterLines="50" w:line="360" w:lineRule="auto"/>
      <w:ind w:left="720" w:hanging="720"/>
    </w:pPr>
    <w:rPr>
      <w:rFonts w:ascii="仿宋_GB2312" w:hAnsi="仿宋_GB2312" w:eastAsia="仿宋_GB2312"/>
      <w:bCs w:val="0"/>
      <w:sz w:val="28"/>
      <w:szCs w:val="28"/>
      <w:lang w:val="zh-CN"/>
    </w:rPr>
  </w:style>
  <w:style w:type="paragraph" w:customStyle="1" w:styleId="1467">
    <w:name w:val="Char Char6 Char Char1"/>
    <w:basedOn w:val="1"/>
    <w:autoRedefine/>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1468">
    <w:name w:val="xl197"/>
    <w:basedOn w:val="1"/>
    <w:autoRedefine/>
    <w:qFormat/>
    <w:uiPriority w:val="0"/>
    <w:pPr>
      <w:widowControl/>
      <w:pBdr>
        <w:left w:val="single" w:color="auto" w:sz="4" w:space="0"/>
        <w:bottom w:val="single" w:color="auto" w:sz="8" w:space="0"/>
        <w:right w:val="single" w:color="auto" w:sz="4" w:space="0"/>
      </w:pBdr>
      <w:spacing w:before="100" w:beforeAutospacing="1" w:after="100" w:afterAutospacing="1"/>
      <w:jc w:val="center"/>
    </w:pPr>
    <w:rPr>
      <w:rFonts w:ascii="Arial Unicode MS" w:hAnsi="Arial Unicode MS"/>
      <w:kern w:val="0"/>
    </w:rPr>
  </w:style>
  <w:style w:type="paragraph" w:customStyle="1" w:styleId="1469">
    <w:name w:val="样式 首行缩进:  0.77 厘米 行距: 1.5 倍行距"/>
    <w:basedOn w:val="1"/>
    <w:autoRedefine/>
    <w:qFormat/>
    <w:uiPriority w:val="0"/>
    <w:pPr>
      <w:spacing w:line="360" w:lineRule="auto"/>
      <w:ind w:firstLine="435"/>
    </w:pPr>
    <w:rPr>
      <w:rFonts w:ascii="宋体" w:hAnsi="宋体" w:cs="宋体"/>
      <w:kern w:val="0"/>
      <w:sz w:val="24"/>
    </w:rPr>
  </w:style>
  <w:style w:type="paragraph" w:customStyle="1" w:styleId="1470">
    <w:name w:val="批注框文本3"/>
    <w:basedOn w:val="1"/>
    <w:autoRedefine/>
    <w:qFormat/>
    <w:uiPriority w:val="0"/>
    <w:rPr>
      <w:sz w:val="18"/>
      <w:szCs w:val="20"/>
    </w:rPr>
  </w:style>
  <w:style w:type="paragraph" w:customStyle="1" w:styleId="1471">
    <w:name w:val="Char Char9 Char Char Char Char Char Char"/>
    <w:basedOn w:val="1"/>
    <w:autoRedefine/>
    <w:qFormat/>
    <w:uiPriority w:val="0"/>
    <w:pPr>
      <w:spacing w:beforeLines="100" w:afterLines="50" w:line="600" w:lineRule="exact"/>
      <w:ind w:firstLine="200" w:firstLineChars="200"/>
    </w:pPr>
    <w:rPr>
      <w:rFonts w:eastAsia="黑体"/>
      <w:sz w:val="28"/>
    </w:rPr>
  </w:style>
  <w:style w:type="paragraph" w:customStyle="1" w:styleId="1472">
    <w:name w:val="副标题4"/>
    <w:basedOn w:val="1356"/>
    <w:autoRedefine/>
    <w:qFormat/>
    <w:uiPriority w:val="0"/>
    <w:pPr>
      <w:tabs>
        <w:tab w:val="left" w:pos="1080"/>
        <w:tab w:val="clear" w:pos="672"/>
      </w:tabs>
      <w:ind w:left="1080" w:hanging="1080"/>
      <w:outlineLvl w:val="4"/>
    </w:pPr>
  </w:style>
  <w:style w:type="paragraph" w:customStyle="1" w:styleId="1473">
    <w:name w:val="样式 标题 3Char1 Char1Char1 Char CharChar1 Char条标题1.1.1h3H3l...2"/>
    <w:basedOn w:val="5"/>
    <w:autoRedefine/>
    <w:qFormat/>
    <w:uiPriority w:val="0"/>
    <w:pPr>
      <w:keepLines w:val="0"/>
      <w:spacing w:before="0" w:after="0" w:line="500" w:lineRule="exact"/>
      <w:ind w:left="3420"/>
    </w:pPr>
    <w:rPr>
      <w:b w:val="0"/>
      <w:bCs w:val="0"/>
      <w:kern w:val="0"/>
      <w:sz w:val="28"/>
      <w:szCs w:val="20"/>
      <w:lang w:val="zh-CN"/>
    </w:rPr>
  </w:style>
  <w:style w:type="paragraph" w:customStyle="1" w:styleId="1474">
    <w:name w:val="正文首行缩进2"/>
    <w:basedOn w:val="1"/>
    <w:autoRedefine/>
    <w:qFormat/>
    <w:uiPriority w:val="0"/>
    <w:pPr>
      <w:spacing w:line="500" w:lineRule="atLeast"/>
      <w:ind w:firstLine="560"/>
    </w:pPr>
    <w:rPr>
      <w:sz w:val="28"/>
      <w:szCs w:val="20"/>
    </w:rPr>
  </w:style>
  <w:style w:type="paragraph" w:customStyle="1" w:styleId="1475">
    <w:name w:val="文本框文字格式"/>
    <w:basedOn w:val="1"/>
    <w:autoRedefine/>
    <w:qFormat/>
    <w:uiPriority w:val="0"/>
    <w:pPr>
      <w:jc w:val="center"/>
    </w:pPr>
    <w:rPr>
      <w:sz w:val="24"/>
    </w:rPr>
  </w:style>
  <w:style w:type="paragraph" w:customStyle="1" w:styleId="1476">
    <w:name w:val="InstÀÀll9"/>
    <w:autoRedefine/>
    <w:qFormat/>
    <w:uiPriority w:val="0"/>
    <w:pPr>
      <w:tabs>
        <w:tab w:val="left" w:pos="-720"/>
      </w:tabs>
      <w:suppressAutoHyphens/>
      <w:jc w:val="both"/>
    </w:pPr>
    <w:rPr>
      <w:rFonts w:ascii="Courier" w:hAnsi="Courier" w:eastAsia="宋体" w:cs="Times New Roman"/>
      <w:spacing w:val="-3"/>
      <w:sz w:val="24"/>
      <w:lang w:val="en-US" w:eastAsia="sv-SE" w:bidi="ar-SA"/>
    </w:rPr>
  </w:style>
  <w:style w:type="paragraph" w:customStyle="1" w:styleId="1477">
    <w:name w:val="zhengwen"/>
    <w:basedOn w:val="1"/>
    <w:autoRedefine/>
    <w:qFormat/>
    <w:uiPriority w:val="0"/>
    <w:pPr>
      <w:spacing w:before="60" w:line="460" w:lineRule="exact"/>
      <w:ind w:firstLine="480" w:firstLineChars="200"/>
    </w:pPr>
    <w:rPr>
      <w:color w:val="0000FF"/>
      <w:sz w:val="24"/>
    </w:rPr>
  </w:style>
  <w:style w:type="character" w:customStyle="1" w:styleId="1478">
    <w:name w:val="表格2 Char Char"/>
    <w:link w:val="321"/>
    <w:autoRedefine/>
    <w:qFormat/>
    <w:locked/>
    <w:uiPriority w:val="0"/>
    <w:rPr>
      <w:kern w:val="10"/>
      <w:sz w:val="24"/>
      <w:lang w:val="zh-CN"/>
    </w:rPr>
  </w:style>
  <w:style w:type="paragraph" w:customStyle="1" w:styleId="1479">
    <w:name w:val="font29"/>
    <w:basedOn w:val="1"/>
    <w:autoRedefine/>
    <w:qFormat/>
    <w:uiPriority w:val="0"/>
    <w:pPr>
      <w:widowControl/>
      <w:spacing w:before="100" w:beforeAutospacing="1" w:after="100" w:afterAutospacing="1"/>
      <w:jc w:val="left"/>
    </w:pPr>
    <w:rPr>
      <w:kern w:val="0"/>
      <w:sz w:val="15"/>
      <w:szCs w:val="15"/>
    </w:rPr>
  </w:style>
  <w:style w:type="paragraph" w:customStyle="1" w:styleId="1480">
    <w:name w:val="药标2"/>
    <w:basedOn w:val="4"/>
    <w:autoRedefine/>
    <w:qFormat/>
    <w:uiPriority w:val="0"/>
    <w:pPr>
      <w:tabs>
        <w:tab w:val="left" w:pos="1419"/>
      </w:tabs>
      <w:adjustRightInd w:val="0"/>
      <w:spacing w:before="480" w:after="480" w:line="312" w:lineRule="atLeast"/>
      <w:jc w:val="left"/>
      <w:textAlignment w:val="baseline"/>
    </w:pPr>
    <w:rPr>
      <w:rFonts w:ascii="黑体" w:hAnsi="Arial" w:eastAsia="黑体"/>
      <w:b w:val="0"/>
      <w:bCs w:val="0"/>
      <w:kern w:val="0"/>
      <w:szCs w:val="20"/>
      <w:lang w:val="zh-CN"/>
    </w:rPr>
  </w:style>
  <w:style w:type="paragraph" w:customStyle="1" w:styleId="1481">
    <w:name w:val="Char4 Char Char Char2"/>
    <w:basedOn w:val="1"/>
    <w:autoRedefine/>
    <w:qFormat/>
    <w:uiPriority w:val="0"/>
    <w:rPr>
      <w:rFonts w:eastAsia="仿宋_GB2312"/>
      <w:sz w:val="28"/>
    </w:rPr>
  </w:style>
  <w:style w:type="paragraph" w:customStyle="1" w:styleId="1482">
    <w:name w:val="Char Char Char Char Char Char Char Char Char1 Char Char Char Char3"/>
    <w:basedOn w:val="1"/>
    <w:autoRedefine/>
    <w:qFormat/>
    <w:uiPriority w:val="0"/>
    <w:rPr>
      <w:szCs w:val="21"/>
    </w:rPr>
  </w:style>
  <w:style w:type="paragraph" w:customStyle="1" w:styleId="1483">
    <w:name w:val="xl190"/>
    <w:basedOn w:val="1"/>
    <w:autoRedefine/>
    <w:qFormat/>
    <w:uiPriority w:val="0"/>
    <w:pPr>
      <w:widowControl/>
      <w:pBdr>
        <w:top w:val="single" w:color="auto" w:sz="12" w:space="0"/>
      </w:pBdr>
      <w:spacing w:before="100" w:beforeAutospacing="1" w:after="100" w:afterAutospacing="1"/>
      <w:jc w:val="left"/>
    </w:pPr>
    <w:rPr>
      <w:rFonts w:ascii="Arial Unicode MS" w:hAnsi="Arial Unicode MS"/>
      <w:kern w:val="0"/>
      <w:sz w:val="12"/>
      <w:szCs w:val="12"/>
    </w:rPr>
  </w:style>
  <w:style w:type="paragraph" w:customStyle="1" w:styleId="1484">
    <w:name w:val="样式 样式 标题 3 + 首行缩进:  2 字符 + 首行缩进:  2 字符1"/>
    <w:basedOn w:val="1"/>
    <w:autoRedefine/>
    <w:qFormat/>
    <w:uiPriority w:val="0"/>
    <w:pPr>
      <w:keepNext/>
      <w:keepLines/>
      <w:spacing w:before="80" w:after="60" w:line="440" w:lineRule="exact"/>
      <w:ind w:firstLine="584" w:firstLineChars="200"/>
      <w:jc w:val="left"/>
      <w:outlineLvl w:val="2"/>
    </w:pPr>
    <w:rPr>
      <w:rFonts w:eastAsia="黑体"/>
      <w:spacing w:val="6"/>
      <w:sz w:val="28"/>
      <w:szCs w:val="20"/>
    </w:rPr>
  </w:style>
  <w:style w:type="paragraph" w:customStyle="1" w:styleId="1485">
    <w:name w:val="font24"/>
    <w:basedOn w:val="1"/>
    <w:autoRedefine/>
    <w:qFormat/>
    <w:uiPriority w:val="0"/>
    <w:pPr>
      <w:widowControl/>
      <w:spacing w:before="100" w:beforeAutospacing="1" w:after="100" w:afterAutospacing="1"/>
      <w:jc w:val="left"/>
    </w:pPr>
    <w:rPr>
      <w:color w:val="339966"/>
      <w:kern w:val="0"/>
      <w:sz w:val="18"/>
      <w:szCs w:val="18"/>
    </w:rPr>
  </w:style>
  <w:style w:type="paragraph" w:customStyle="1" w:styleId="1486">
    <w:name w:val="Char Char Char1 Char11"/>
    <w:basedOn w:val="4"/>
    <w:autoRedefine/>
    <w:qFormat/>
    <w:uiPriority w:val="0"/>
    <w:pPr>
      <w:spacing w:line="520" w:lineRule="exact"/>
    </w:pPr>
    <w:rPr>
      <w:rFonts w:ascii="Times New Roman" w:hAnsi="Arial"/>
      <w:sz w:val="28"/>
      <w:lang w:val="zh-CN"/>
    </w:rPr>
  </w:style>
  <w:style w:type="paragraph" w:customStyle="1" w:styleId="1487">
    <w:name w:val="条目"/>
    <w:basedOn w:val="42"/>
    <w:next w:val="33"/>
    <w:autoRedefine/>
    <w:qFormat/>
    <w:uiPriority w:val="0"/>
    <w:pPr>
      <w:ind w:firstLine="567"/>
      <w:outlineLvl w:val="4"/>
    </w:pPr>
    <w:rPr>
      <w:sz w:val="24"/>
      <w:szCs w:val="20"/>
    </w:rPr>
  </w:style>
  <w:style w:type="paragraph" w:customStyle="1" w:styleId="1488">
    <w:name w:val="样式1.....表格"/>
    <w:basedOn w:val="1"/>
    <w:next w:val="1"/>
    <w:autoRedefine/>
    <w:qFormat/>
    <w:uiPriority w:val="0"/>
    <w:pPr>
      <w:widowControl/>
      <w:jc w:val="center"/>
    </w:pPr>
    <w:rPr>
      <w:rFonts w:ascii="宋体" w:hAnsi="宋体" w:cs="宋体"/>
      <w:kern w:val="0"/>
      <w:sz w:val="24"/>
    </w:rPr>
  </w:style>
  <w:style w:type="paragraph" w:customStyle="1" w:styleId="1489">
    <w:name w:val="表头样式1"/>
    <w:basedOn w:val="1"/>
    <w:autoRedefine/>
    <w:qFormat/>
    <w:uiPriority w:val="0"/>
    <w:pPr>
      <w:autoSpaceDE w:val="0"/>
      <w:autoSpaceDN w:val="0"/>
      <w:adjustRightInd w:val="0"/>
      <w:snapToGrid w:val="0"/>
      <w:spacing w:beforeLines="20" w:afterLines="20" w:line="360" w:lineRule="auto"/>
      <w:ind w:firstLine="480" w:firstLineChars="200"/>
      <w:jc w:val="center"/>
    </w:pPr>
    <w:rPr>
      <w:rFonts w:ascii="黑体" w:hAnsi="宋体" w:eastAsia="黑体"/>
      <w:kern w:val="0"/>
      <w:sz w:val="24"/>
      <w:szCs w:val="20"/>
    </w:rPr>
  </w:style>
  <w:style w:type="paragraph" w:customStyle="1" w:styleId="1490">
    <w:name w:val="项目编号"/>
    <w:basedOn w:val="1"/>
    <w:next w:val="1"/>
    <w:autoRedefine/>
    <w:qFormat/>
    <w:uiPriority w:val="0"/>
    <w:pPr>
      <w:tabs>
        <w:tab w:val="left" w:pos="360"/>
      </w:tabs>
      <w:spacing w:before="120" w:after="120" w:line="360" w:lineRule="auto"/>
      <w:ind w:hanging="200" w:hangingChars="200"/>
    </w:pPr>
    <w:rPr>
      <w:sz w:val="24"/>
      <w:szCs w:val="20"/>
    </w:rPr>
  </w:style>
  <w:style w:type="paragraph" w:customStyle="1" w:styleId="1491">
    <w:name w:val="xl104"/>
    <w:basedOn w:val="1"/>
    <w:autoRedefine/>
    <w:qFormat/>
    <w:uiPriority w:val="0"/>
    <w:pPr>
      <w:widowControl/>
      <w:spacing w:before="100" w:beforeAutospacing="1" w:after="100" w:afterAutospacing="1"/>
      <w:jc w:val="center"/>
    </w:pPr>
    <w:rPr>
      <w:rFonts w:ascii="Arial Unicode MS" w:hAnsi="Arial Unicode MS"/>
      <w:kern w:val="0"/>
      <w:sz w:val="12"/>
      <w:szCs w:val="12"/>
    </w:rPr>
  </w:style>
  <w:style w:type="paragraph" w:customStyle="1" w:styleId="1492">
    <w:name w:val="Char2 Char Char Char3"/>
    <w:basedOn w:val="1"/>
    <w:autoRedefine/>
    <w:qFormat/>
    <w:uiPriority w:val="0"/>
    <w:rPr>
      <w:sz w:val="24"/>
    </w:rPr>
  </w:style>
  <w:style w:type="paragraph" w:customStyle="1" w:styleId="1493">
    <w:name w:val="样式 标题 2标题 2 Char标题 2 Char Char Char节节标题 1.1H2（一）Underrubr..."/>
    <w:basedOn w:val="4"/>
    <w:autoRedefine/>
    <w:qFormat/>
    <w:uiPriority w:val="0"/>
    <w:pPr>
      <w:tabs>
        <w:tab w:val="left" w:pos="932"/>
        <w:tab w:val="left" w:pos="1419"/>
      </w:tabs>
      <w:spacing w:before="0" w:after="0" w:line="460" w:lineRule="exact"/>
      <w:ind w:left="932" w:hanging="567"/>
    </w:pPr>
    <w:rPr>
      <w:rFonts w:ascii="黑体" w:hAnsi="黑体" w:cs="宋体"/>
      <w:color w:val="000000"/>
      <w:sz w:val="28"/>
      <w:szCs w:val="20"/>
      <w:lang w:val="zh-CN"/>
    </w:rPr>
  </w:style>
  <w:style w:type="paragraph" w:customStyle="1" w:styleId="1494">
    <w:name w:val="Char21"/>
    <w:basedOn w:val="1"/>
    <w:autoRedefine/>
    <w:qFormat/>
    <w:uiPriority w:val="0"/>
    <w:rPr>
      <w:sz w:val="24"/>
    </w:rPr>
  </w:style>
  <w:style w:type="paragraph" w:customStyle="1" w:styleId="1495">
    <w:name w:val="表格标题2"/>
    <w:basedOn w:val="325"/>
    <w:autoRedefine/>
    <w:qFormat/>
    <w:uiPriority w:val="0"/>
    <w:rPr>
      <w:rFonts w:ascii="Times New Roman" w:hAnsi="Times New Roman" w:eastAsia="宋体"/>
      <w:color w:val="000000"/>
      <w:spacing w:val="-10"/>
      <w:kern w:val="0"/>
      <w:szCs w:val="21"/>
      <w:lang w:val="zh-CN"/>
    </w:rPr>
  </w:style>
  <w:style w:type="paragraph" w:customStyle="1" w:styleId="1496">
    <w:name w:val="style12"/>
    <w:basedOn w:val="1"/>
    <w:autoRedefine/>
    <w:qFormat/>
    <w:uiPriority w:val="0"/>
    <w:pPr>
      <w:widowControl/>
      <w:spacing w:before="100" w:beforeAutospacing="1" w:after="100" w:afterAutospacing="1"/>
      <w:jc w:val="left"/>
    </w:pPr>
    <w:rPr>
      <w:rFonts w:ascii="Arial" w:hAnsi="Arial" w:cs="Arial"/>
      <w:color w:val="666666"/>
      <w:kern w:val="0"/>
      <w:sz w:val="18"/>
      <w:szCs w:val="18"/>
    </w:rPr>
  </w:style>
  <w:style w:type="paragraph" w:customStyle="1" w:styleId="1497">
    <w:name w:val="Char Char Char Char Char Char Char Char Char Char Char Char Char Char"/>
    <w:basedOn w:val="1"/>
    <w:autoRedefine/>
    <w:qFormat/>
    <w:uiPriority w:val="0"/>
    <w:rPr>
      <w:sz w:val="24"/>
    </w:rPr>
  </w:style>
  <w:style w:type="paragraph" w:customStyle="1" w:styleId="1498">
    <w:name w:val="目录 41"/>
    <w:basedOn w:val="1"/>
    <w:next w:val="1"/>
    <w:autoRedefine/>
    <w:qFormat/>
    <w:uiPriority w:val="0"/>
    <w:pPr>
      <w:ind w:left="420"/>
      <w:jc w:val="left"/>
    </w:pPr>
    <w:rPr>
      <w:sz w:val="20"/>
      <w:szCs w:val="20"/>
    </w:rPr>
  </w:style>
  <w:style w:type="paragraph" w:customStyle="1" w:styleId="1499">
    <w:name w:val="文件册号"/>
    <w:basedOn w:val="1"/>
    <w:next w:val="1"/>
    <w:autoRedefine/>
    <w:qFormat/>
    <w:uiPriority w:val="0"/>
    <w:pPr>
      <w:spacing w:line="800" w:lineRule="atLeast"/>
      <w:jc w:val="center"/>
    </w:pPr>
    <w:rPr>
      <w:sz w:val="52"/>
      <w:szCs w:val="52"/>
    </w:rPr>
  </w:style>
  <w:style w:type="paragraph" w:customStyle="1" w:styleId="1500">
    <w:name w:val="xl123"/>
    <w:basedOn w:val="1"/>
    <w:autoRedefine/>
    <w:qFormat/>
    <w:uiPriority w:val="0"/>
    <w:pPr>
      <w:widowControl/>
      <w:pBdr>
        <w:top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1501">
    <w:name w:val="样式 首行缩进:  1.71 字符"/>
    <w:basedOn w:val="1"/>
    <w:autoRedefine/>
    <w:qFormat/>
    <w:uiPriority w:val="0"/>
    <w:pPr>
      <w:spacing w:line="360" w:lineRule="auto"/>
      <w:jc w:val="center"/>
    </w:pPr>
    <w:rPr>
      <w:rFonts w:ascii="宋体" w:hAnsi="宋体"/>
      <w:color w:val="000000"/>
      <w:kern w:val="0"/>
      <w:szCs w:val="21"/>
    </w:rPr>
  </w:style>
  <w:style w:type="paragraph" w:customStyle="1" w:styleId="1502">
    <w:name w:val="样式 标题 4 + 宋体"/>
    <w:basedOn w:val="6"/>
    <w:autoRedefine/>
    <w:qFormat/>
    <w:uiPriority w:val="0"/>
    <w:pPr>
      <w:keepNext w:val="0"/>
      <w:spacing w:before="280" w:after="290" w:line="500" w:lineRule="exact"/>
      <w:ind w:right="0"/>
      <w:jc w:val="left"/>
    </w:pPr>
    <w:rPr>
      <w:rFonts w:ascii="宋体" w:hAnsi="宋体" w:eastAsia="宋体"/>
      <w:b/>
      <w:bCs/>
      <w:color w:val="auto"/>
      <w:kern w:val="0"/>
      <w:lang w:val="zh-CN"/>
    </w:rPr>
  </w:style>
  <w:style w:type="paragraph" w:customStyle="1" w:styleId="1503">
    <w:name w:val="xl88"/>
    <w:basedOn w:val="1"/>
    <w:autoRedefine/>
    <w:qFormat/>
    <w:uiPriority w:val="0"/>
    <w:pPr>
      <w:widowControl/>
      <w:pBdr>
        <w:bottom w:val="single" w:color="auto" w:sz="12" w:space="0"/>
      </w:pBdr>
      <w:spacing w:before="100" w:beforeAutospacing="1" w:after="100" w:afterAutospacing="1"/>
      <w:jc w:val="center"/>
    </w:pPr>
    <w:rPr>
      <w:rFonts w:ascii="Arial Unicode MS" w:hAnsi="Arial Unicode MS"/>
      <w:kern w:val="0"/>
      <w:sz w:val="12"/>
      <w:szCs w:val="12"/>
    </w:rPr>
  </w:style>
  <w:style w:type="paragraph" w:customStyle="1" w:styleId="1504">
    <w:name w:val="小圈序列2"/>
    <w:basedOn w:val="1"/>
    <w:autoRedefine/>
    <w:qFormat/>
    <w:uiPriority w:val="0"/>
    <w:pPr>
      <w:tabs>
        <w:tab w:val="left" w:pos="556"/>
        <w:tab w:val="left" w:pos="1260"/>
        <w:tab w:val="left" w:pos="1440"/>
      </w:tabs>
      <w:spacing w:line="500" w:lineRule="exact"/>
      <w:ind w:left="-425" w:firstLine="425"/>
    </w:pPr>
    <w:rPr>
      <w:rFonts w:ascii="宋体" w:hAnsi="宋体"/>
      <w:kern w:val="0"/>
      <w:sz w:val="28"/>
      <w:szCs w:val="28"/>
    </w:rPr>
  </w:style>
  <w:style w:type="paragraph" w:customStyle="1" w:styleId="1505">
    <w:name w:val="附录三级条标题"/>
    <w:basedOn w:val="577"/>
    <w:next w:val="257"/>
    <w:autoRedefine/>
    <w:qFormat/>
    <w:uiPriority w:val="0"/>
    <w:pPr>
      <w:tabs>
        <w:tab w:val="left" w:pos="1068"/>
      </w:tabs>
      <w:ind w:left="1068"/>
      <w:outlineLvl w:val="4"/>
    </w:pPr>
  </w:style>
  <w:style w:type="paragraph" w:customStyle="1" w:styleId="1506">
    <w:name w:val="Char Char Char Char4"/>
    <w:basedOn w:val="1"/>
    <w:autoRedefine/>
    <w:qFormat/>
    <w:uiPriority w:val="0"/>
    <w:rPr>
      <w:sz w:val="24"/>
    </w:rPr>
  </w:style>
  <w:style w:type="paragraph" w:customStyle="1" w:styleId="1507">
    <w:name w:val="xl153"/>
    <w:basedOn w:val="1"/>
    <w:autoRedefine/>
    <w:qFormat/>
    <w:uiPriority w:val="0"/>
    <w:pPr>
      <w:widowControl/>
      <w:spacing w:before="100" w:beforeAutospacing="1" w:after="100" w:afterAutospacing="1"/>
      <w:jc w:val="center"/>
    </w:pPr>
    <w:rPr>
      <w:rFonts w:ascii="Arial Unicode MS" w:hAnsi="Arial Unicode MS"/>
      <w:kern w:val="0"/>
      <w:sz w:val="16"/>
      <w:szCs w:val="16"/>
    </w:rPr>
  </w:style>
  <w:style w:type="paragraph" w:customStyle="1" w:styleId="1508">
    <w:name w:val="图编号"/>
    <w:basedOn w:val="124"/>
    <w:autoRedefine/>
    <w:qFormat/>
    <w:uiPriority w:val="0"/>
    <w:pPr>
      <w:widowControl w:val="0"/>
      <w:suppressLineNumbers w:val="0"/>
      <w:tabs>
        <w:tab w:val="left" w:pos="763"/>
        <w:tab w:val="left" w:pos="1440"/>
      </w:tabs>
      <w:suppressAutoHyphens w:val="0"/>
      <w:adjustRightInd/>
      <w:snapToGrid/>
      <w:spacing w:before="300" w:beforeLines="0" w:after="300" w:afterLines="0" w:line="360" w:lineRule="auto"/>
      <w:ind w:left="400" w:leftChars="400" w:hanging="200" w:hangingChars="200"/>
      <w:jc w:val="center"/>
    </w:pPr>
    <w:rPr>
      <w:rFonts w:ascii="Times New Roman" w:hAnsi="Times New Roman"/>
      <w:bCs w:val="0"/>
      <w:kern w:val="2"/>
      <w:sz w:val="24"/>
      <w:szCs w:val="20"/>
    </w:rPr>
  </w:style>
  <w:style w:type="paragraph" w:customStyle="1" w:styleId="1509">
    <w:name w:val="样式 样式 样式 标题 2H2标题 2 Char Char节标题 1.1（一）Underrubrik1prop2Heading....1"/>
    <w:basedOn w:val="1510"/>
    <w:autoRedefine/>
    <w:qFormat/>
    <w:uiPriority w:val="0"/>
    <w:pPr>
      <w:tabs>
        <w:tab w:val="left" w:pos="1419"/>
      </w:tabs>
      <w:spacing w:before="166" w:after="166"/>
    </w:pPr>
    <w:rPr>
      <w:szCs w:val="20"/>
    </w:rPr>
  </w:style>
  <w:style w:type="paragraph" w:customStyle="1" w:styleId="1510">
    <w:name w:val="样式 样式 标题 2H2标题 2 Char Char节标题 1.1（一）Underrubrik1prop2Heading... ..."/>
    <w:basedOn w:val="1511"/>
    <w:autoRedefine/>
    <w:qFormat/>
    <w:uiPriority w:val="0"/>
    <w:pPr>
      <w:tabs>
        <w:tab w:val="left" w:pos="1419"/>
      </w:tabs>
    </w:pPr>
    <w:rPr>
      <w:rFonts w:ascii="仿宋_GB2312" w:eastAsia="仿宋_GB2312" w:cs="宋体"/>
    </w:rPr>
  </w:style>
  <w:style w:type="paragraph" w:customStyle="1" w:styleId="1511">
    <w:name w:val="样式 标题 2H2标题 2 Char Char节标题 1.1（一）Underrubrik1prop2Heading..."/>
    <w:basedOn w:val="4"/>
    <w:autoRedefine/>
    <w:qFormat/>
    <w:uiPriority w:val="0"/>
    <w:pPr>
      <w:tabs>
        <w:tab w:val="left" w:pos="1419"/>
      </w:tabs>
      <w:spacing w:before="0" w:after="0" w:line="240" w:lineRule="auto"/>
      <w:ind w:left="576" w:hanging="576"/>
      <w:jc w:val="left"/>
    </w:pPr>
    <w:rPr>
      <w:rFonts w:ascii="Times New Roman" w:hAnsi="Times New Roman" w:eastAsia="黑体"/>
      <w:szCs w:val="30"/>
      <w:lang w:val="zh-CN"/>
    </w:rPr>
  </w:style>
  <w:style w:type="paragraph" w:customStyle="1" w:styleId="1512">
    <w:name w:val="表体宋旭峰"/>
    <w:basedOn w:val="1"/>
    <w:autoRedefine/>
    <w:qFormat/>
    <w:uiPriority w:val="0"/>
    <w:pPr>
      <w:overflowPunct w:val="0"/>
      <w:spacing w:line="320" w:lineRule="exact"/>
      <w:jc w:val="center"/>
      <w:textAlignment w:val="baseline"/>
    </w:pPr>
    <w:rPr>
      <w:sz w:val="24"/>
      <w:szCs w:val="21"/>
    </w:rPr>
  </w:style>
  <w:style w:type="paragraph" w:customStyle="1" w:styleId="1513">
    <w:name w:val="2级标题"/>
    <w:basedOn w:val="4"/>
    <w:autoRedefine/>
    <w:qFormat/>
    <w:uiPriority w:val="0"/>
    <w:pPr>
      <w:keepNext w:val="0"/>
      <w:keepLines w:val="0"/>
      <w:tabs>
        <w:tab w:val="left" w:pos="1419"/>
        <w:tab w:val="left" w:pos="3564"/>
      </w:tabs>
      <w:adjustRightInd w:val="0"/>
      <w:snapToGrid w:val="0"/>
      <w:spacing w:before="50" w:after="0" w:line="360" w:lineRule="auto"/>
    </w:pPr>
    <w:rPr>
      <w:rFonts w:ascii="黑体" w:hAnsi="Arial" w:eastAsia="黑体"/>
      <w:b w:val="0"/>
      <w:bCs w:val="0"/>
      <w:kern w:val="0"/>
      <w:sz w:val="30"/>
      <w:szCs w:val="28"/>
      <w:lang w:val="zh-CN"/>
    </w:rPr>
  </w:style>
  <w:style w:type="paragraph" w:customStyle="1" w:styleId="1514">
    <w:name w:val="TOC 标题111"/>
    <w:basedOn w:val="3"/>
    <w:next w:val="1"/>
    <w:autoRedefine/>
    <w:qFormat/>
    <w:uiPriority w:val="0"/>
    <w:pPr>
      <w:widowControl/>
      <w:overflowPunct/>
      <w:snapToGrid/>
      <w:spacing w:before="240" w:after="60" w:line="240" w:lineRule="auto"/>
      <w:ind w:left="0" w:firstLine="0"/>
      <w:jc w:val="left"/>
      <w:outlineLvl w:val="9"/>
    </w:pPr>
    <w:rPr>
      <w:rFonts w:ascii="Cambria" w:hAnsi="Cambria" w:eastAsia="宋体"/>
      <w:color w:val="auto"/>
      <w:kern w:val="32"/>
      <w:sz w:val="32"/>
      <w:szCs w:val="32"/>
      <w:lang w:val="zh-CN"/>
    </w:rPr>
  </w:style>
  <w:style w:type="paragraph" w:customStyle="1" w:styleId="1515">
    <w:name w:val="普通文字"/>
    <w:basedOn w:val="1"/>
    <w:autoRedefine/>
    <w:qFormat/>
    <w:uiPriority w:val="0"/>
    <w:pPr>
      <w:adjustRightInd w:val="0"/>
    </w:pPr>
    <w:rPr>
      <w:rFonts w:ascii="宋体" w:hAnsi="Courier New"/>
      <w:szCs w:val="20"/>
    </w:rPr>
  </w:style>
  <w:style w:type="paragraph" w:customStyle="1" w:styleId="1516">
    <w:name w:val="正文图小四"/>
    <w:basedOn w:val="1"/>
    <w:autoRedefine/>
    <w:qFormat/>
    <w:uiPriority w:val="0"/>
    <w:pPr>
      <w:adjustRightInd w:val="0"/>
      <w:snapToGrid w:val="0"/>
      <w:jc w:val="center"/>
      <w:textAlignment w:val="baseline"/>
    </w:pPr>
    <w:rPr>
      <w:rFonts w:ascii="宋体"/>
      <w:kern w:val="0"/>
      <w:sz w:val="24"/>
    </w:rPr>
  </w:style>
  <w:style w:type="paragraph" w:customStyle="1" w:styleId="1517">
    <w:name w:val="样式 标题 3 + 四号"/>
    <w:basedOn w:val="5"/>
    <w:autoRedefine/>
    <w:qFormat/>
    <w:uiPriority w:val="0"/>
    <w:pPr>
      <w:keepNext w:val="0"/>
      <w:keepLines w:val="0"/>
      <w:tabs>
        <w:tab w:val="left" w:pos="1418"/>
      </w:tabs>
      <w:spacing w:before="0" w:after="0" w:line="360" w:lineRule="auto"/>
      <w:outlineLvl w:val="9"/>
    </w:pPr>
    <w:rPr>
      <w:b w:val="0"/>
      <w:bCs w:val="0"/>
      <w:sz w:val="21"/>
      <w:szCs w:val="21"/>
      <w:lang w:val="zh-CN"/>
    </w:rPr>
  </w:style>
  <w:style w:type="paragraph" w:customStyle="1" w:styleId="1518">
    <w:name w:val="文本框"/>
    <w:basedOn w:val="1"/>
    <w:autoRedefine/>
    <w:qFormat/>
    <w:uiPriority w:val="0"/>
    <w:pPr>
      <w:adjustRightInd w:val="0"/>
      <w:snapToGrid w:val="0"/>
      <w:spacing w:line="300" w:lineRule="exact"/>
      <w:jc w:val="center"/>
    </w:pPr>
    <w:rPr>
      <w:sz w:val="24"/>
    </w:rPr>
  </w:style>
  <w:style w:type="paragraph" w:customStyle="1" w:styleId="1519">
    <w:name w:val="Char Char Char6"/>
    <w:basedOn w:val="1"/>
    <w:autoRedefine/>
    <w:qFormat/>
    <w:uiPriority w:val="0"/>
    <w:rPr>
      <w:sz w:val="24"/>
    </w:rPr>
  </w:style>
  <w:style w:type="paragraph" w:customStyle="1" w:styleId="1520">
    <w:name w:val="y表格"/>
    <w:basedOn w:val="33"/>
    <w:autoRedefine/>
    <w:qFormat/>
    <w:uiPriority w:val="0"/>
    <w:pPr>
      <w:adjustRightInd w:val="0"/>
      <w:spacing w:before="0" w:after="0" w:line="240" w:lineRule="auto"/>
      <w:ind w:right="0"/>
      <w:jc w:val="center"/>
      <w:textAlignment w:val="baseline"/>
    </w:pPr>
    <w:rPr>
      <w:rFonts w:hint="eastAsia" w:ascii="宋体" w:hAnsi="宋体"/>
      <w:sz w:val="24"/>
      <w:lang w:val="zh-CN"/>
    </w:rPr>
  </w:style>
  <w:style w:type="paragraph" w:customStyle="1" w:styleId="1521">
    <w:name w:val="表内序号"/>
    <w:basedOn w:val="1"/>
    <w:autoRedefine/>
    <w:qFormat/>
    <w:uiPriority w:val="0"/>
    <w:pPr>
      <w:ind w:left="-109" w:leftChars="-52" w:right="-115" w:rightChars="-55"/>
      <w:jc w:val="center"/>
    </w:pPr>
    <w:rPr>
      <w:rFonts w:hAnsi="宋体"/>
      <w:szCs w:val="21"/>
    </w:rPr>
  </w:style>
  <w:style w:type="paragraph" w:customStyle="1" w:styleId="1522">
    <w:name w:val="框图-1"/>
    <w:basedOn w:val="1"/>
    <w:autoRedefine/>
    <w:qFormat/>
    <w:uiPriority w:val="0"/>
    <w:pPr>
      <w:jc w:val="center"/>
    </w:pPr>
    <w:rPr>
      <w:rFonts w:eastAsia="仿宋_GB2312" w:cs="宋体"/>
      <w:kern w:val="0"/>
      <w:szCs w:val="20"/>
    </w:rPr>
  </w:style>
  <w:style w:type="paragraph" w:customStyle="1" w:styleId="1523">
    <w:name w:val="样式 标题 3标题 3 Char标题 3 Char Char Char Char Char Char Char Char C...1"/>
    <w:basedOn w:val="5"/>
    <w:autoRedefine/>
    <w:qFormat/>
    <w:uiPriority w:val="0"/>
    <w:pPr>
      <w:tabs>
        <w:tab w:val="left" w:pos="720"/>
        <w:tab w:val="left" w:pos="1418"/>
      </w:tabs>
      <w:spacing w:before="0" w:after="0" w:line="360" w:lineRule="auto"/>
      <w:ind w:left="720" w:hanging="720"/>
    </w:pPr>
    <w:rPr>
      <w:rFonts w:ascii="宋体" w:hAnsi="宋体" w:cs="宋体"/>
      <w:sz w:val="28"/>
      <w:szCs w:val="20"/>
      <w:lang w:val="zh-CN"/>
    </w:rPr>
  </w:style>
  <w:style w:type="paragraph" w:customStyle="1" w:styleId="1524">
    <w:name w:val="正文-1"/>
    <w:basedOn w:val="1"/>
    <w:autoRedefine/>
    <w:qFormat/>
    <w:uiPriority w:val="0"/>
    <w:pPr>
      <w:adjustRightInd w:val="0"/>
      <w:spacing w:line="440" w:lineRule="exact"/>
      <w:ind w:firstLine="200" w:firstLineChars="200"/>
    </w:pPr>
    <w:rPr>
      <w:sz w:val="24"/>
      <w:szCs w:val="20"/>
    </w:rPr>
  </w:style>
  <w:style w:type="paragraph" w:customStyle="1" w:styleId="1525">
    <w:name w:val="xl139"/>
    <w:basedOn w:val="1"/>
    <w:autoRedefine/>
    <w:qFormat/>
    <w:uiPriority w:val="0"/>
    <w:pPr>
      <w:widowControl/>
      <w:spacing w:before="100" w:beforeAutospacing="1" w:after="100" w:afterAutospacing="1"/>
      <w:jc w:val="center"/>
    </w:pPr>
    <w:rPr>
      <w:rFonts w:ascii="Arial Unicode MS" w:hAnsi="Arial Unicode MS"/>
      <w:kern w:val="0"/>
      <w:sz w:val="16"/>
      <w:szCs w:val="16"/>
    </w:rPr>
  </w:style>
  <w:style w:type="paragraph" w:customStyle="1" w:styleId="1526">
    <w:name w:val="目录fuxi"/>
    <w:basedOn w:val="1"/>
    <w:autoRedefine/>
    <w:qFormat/>
    <w:uiPriority w:val="0"/>
    <w:pPr>
      <w:snapToGrid w:val="0"/>
      <w:spacing w:before="60" w:after="60"/>
      <w:jc w:val="center"/>
    </w:pPr>
    <w:rPr>
      <w:rFonts w:hint="eastAsia" w:ascii="宋体"/>
      <w:outline/>
      <w:color w:val="000000"/>
      <w:szCs w:val="20"/>
      <w14:textOutline w14:w="9525" w14:cap="flat" w14:cmpd="sng" w14:algn="ctr">
        <w14:solidFill>
          <w14:srgbClr w14:val="000000"/>
        </w14:solidFill>
        <w14:prstDash w14:val="solid"/>
        <w14:round/>
      </w14:textOutline>
      <w14:textFill>
        <w14:noFill/>
      </w14:textFill>
    </w:rPr>
  </w:style>
  <w:style w:type="paragraph" w:customStyle="1" w:styleId="1527">
    <w:name w:val="陈3"/>
    <w:basedOn w:val="1"/>
    <w:autoRedefine/>
    <w:qFormat/>
    <w:uiPriority w:val="0"/>
    <w:pPr>
      <w:widowControl/>
      <w:tabs>
        <w:tab w:val="left" w:pos="1127"/>
      </w:tabs>
      <w:ind w:firstLine="560" w:firstLineChars="200"/>
      <w:jc w:val="left"/>
      <w:outlineLvl w:val="2"/>
    </w:pPr>
    <w:rPr>
      <w:rFonts w:ascii="宋体" w:hAnsi="宋体" w:eastAsia="黑体" w:cs="宋体"/>
      <w:kern w:val="0"/>
      <w:sz w:val="28"/>
    </w:rPr>
  </w:style>
  <w:style w:type="paragraph" w:customStyle="1" w:styleId="1528">
    <w:name w:val="xl157"/>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kern w:val="0"/>
      <w:sz w:val="20"/>
      <w:szCs w:val="20"/>
    </w:rPr>
  </w:style>
  <w:style w:type="paragraph" w:customStyle="1" w:styleId="1529">
    <w:name w:val="Char Char Char Char Char Char7"/>
    <w:basedOn w:val="1"/>
    <w:link w:val="1530"/>
    <w:autoRedefine/>
    <w:qFormat/>
    <w:uiPriority w:val="0"/>
    <w:rPr>
      <w:sz w:val="24"/>
      <w:lang w:val="zh-CN"/>
    </w:rPr>
  </w:style>
  <w:style w:type="character" w:customStyle="1" w:styleId="1530">
    <w:name w:val="Char Char Char Char Char Char Char Char Char Char Char2"/>
    <w:link w:val="1529"/>
    <w:autoRedefine/>
    <w:qFormat/>
    <w:locked/>
    <w:uiPriority w:val="0"/>
    <w:rPr>
      <w:kern w:val="2"/>
      <w:sz w:val="24"/>
      <w:szCs w:val="24"/>
      <w:lang w:val="zh-CN"/>
    </w:rPr>
  </w:style>
  <w:style w:type="paragraph" w:customStyle="1" w:styleId="1531">
    <w:name w:val="样式 四号 首行缩进:  2 字符 行距: 单倍行距"/>
    <w:basedOn w:val="1"/>
    <w:autoRedefine/>
    <w:qFormat/>
    <w:uiPriority w:val="0"/>
    <w:pPr>
      <w:snapToGrid w:val="0"/>
      <w:spacing w:line="360" w:lineRule="auto"/>
      <w:ind w:firstLine="200" w:firstLineChars="200"/>
    </w:pPr>
    <w:rPr>
      <w:sz w:val="28"/>
      <w:szCs w:val="28"/>
    </w:rPr>
  </w:style>
  <w:style w:type="paragraph" w:customStyle="1" w:styleId="1532">
    <w:name w:val="样式 标题 1 + 段前: 1 行 段后: 1.5 行"/>
    <w:basedOn w:val="3"/>
    <w:autoRedefine/>
    <w:qFormat/>
    <w:uiPriority w:val="0"/>
    <w:pPr>
      <w:keepLines/>
      <w:tabs>
        <w:tab w:val="left" w:pos="425"/>
        <w:tab w:val="left" w:pos="432"/>
      </w:tabs>
      <w:overflowPunct/>
      <w:adjustRightInd w:val="0"/>
      <w:spacing w:before="0" w:after="0" w:afterLines="150" w:line="360" w:lineRule="auto"/>
    </w:pPr>
    <w:rPr>
      <w:rFonts w:ascii="仿宋_GB2312" w:hAnsi="宋体" w:eastAsia="仿宋_GB2312" w:cs="宋体"/>
      <w:color w:val="auto"/>
      <w:sz w:val="32"/>
      <w:szCs w:val="32"/>
      <w:lang w:val="zh-CN"/>
    </w:rPr>
  </w:style>
  <w:style w:type="paragraph" w:customStyle="1" w:styleId="1533">
    <w:name w:val="8"/>
    <w:basedOn w:val="1"/>
    <w:next w:val="62"/>
    <w:autoRedefine/>
    <w:qFormat/>
    <w:uiPriority w:val="0"/>
    <w:pPr>
      <w:ind w:firstLine="556"/>
      <w:jc w:val="left"/>
    </w:pPr>
    <w:rPr>
      <w:rFonts w:ascii="仿宋_GB2312" w:hAnsi="宋体" w:eastAsia="仿宋_GB2312"/>
      <w:sz w:val="28"/>
    </w:rPr>
  </w:style>
  <w:style w:type="paragraph" w:customStyle="1" w:styleId="1534">
    <w:name w:val="首2页环科所名称日期"/>
    <w:basedOn w:val="1499"/>
    <w:autoRedefine/>
    <w:qFormat/>
    <w:uiPriority w:val="0"/>
    <w:pPr>
      <w:spacing w:line="360" w:lineRule="auto"/>
    </w:pPr>
    <w:rPr>
      <w:rFonts w:ascii="楷体" w:hAnsi="楷体" w:eastAsia="楷体"/>
      <w:b/>
      <w:sz w:val="36"/>
      <w:szCs w:val="36"/>
    </w:rPr>
  </w:style>
  <w:style w:type="paragraph" w:customStyle="1" w:styleId="1535">
    <w:name w:val="book1_1_1"/>
    <w:basedOn w:val="5"/>
    <w:autoRedefine/>
    <w:qFormat/>
    <w:uiPriority w:val="0"/>
    <w:pPr>
      <w:keepNext w:val="0"/>
      <w:tabs>
        <w:tab w:val="left" w:pos="1050"/>
        <w:tab w:val="left" w:pos="1418"/>
        <w:tab w:val="left" w:pos="1770"/>
      </w:tabs>
      <w:spacing w:beforeLines="50" w:afterLines="50" w:line="400" w:lineRule="exact"/>
      <w:ind w:left="330"/>
    </w:pPr>
    <w:rPr>
      <w:b w:val="0"/>
      <w:sz w:val="24"/>
      <w:lang w:val="zh-CN"/>
    </w:rPr>
  </w:style>
  <w:style w:type="paragraph" w:customStyle="1" w:styleId="1536">
    <w:name w:val="样式 标题 3 + 首行缩进:  2 字符1"/>
    <w:basedOn w:val="5"/>
    <w:autoRedefine/>
    <w:qFormat/>
    <w:uiPriority w:val="0"/>
    <w:pPr>
      <w:tabs>
        <w:tab w:val="left" w:pos="1418"/>
      </w:tabs>
      <w:spacing w:before="240" w:after="240"/>
    </w:pPr>
    <w:rPr>
      <w:bCs w:val="0"/>
      <w:sz w:val="28"/>
      <w:szCs w:val="20"/>
      <w:lang w:val="zh-CN"/>
    </w:rPr>
  </w:style>
  <w:style w:type="paragraph" w:customStyle="1" w:styleId="1537">
    <w:name w:val="前言"/>
    <w:basedOn w:val="1102"/>
    <w:autoRedefine/>
    <w:qFormat/>
    <w:uiPriority w:val="0"/>
    <w:pPr>
      <w:widowControl w:val="0"/>
      <w:tabs>
        <w:tab w:val="clear" w:pos="315"/>
        <w:tab w:val="clear" w:pos="360"/>
      </w:tabs>
      <w:adjustRightInd/>
      <w:snapToGrid/>
      <w:ind w:left="0" w:firstLine="0" w:firstLineChars="0"/>
      <w:jc w:val="center"/>
    </w:pPr>
    <w:rPr>
      <w:rFonts w:ascii="Times New Roman" w:hAnsi="Times New Roman" w:eastAsia="华文中宋"/>
      <w:kern w:val="2"/>
      <w:sz w:val="32"/>
    </w:rPr>
  </w:style>
  <w:style w:type="paragraph" w:customStyle="1" w:styleId="1538">
    <w:name w:val="样式 c1 + Times New Roman 四号 黑色 两端对齐 段前: 0.5 行 段后: 0.5 行"/>
    <w:basedOn w:val="4"/>
    <w:autoRedefine/>
    <w:qFormat/>
    <w:uiPriority w:val="0"/>
    <w:pPr>
      <w:tabs>
        <w:tab w:val="left" w:pos="985"/>
      </w:tabs>
      <w:spacing w:before="240" w:after="60" w:line="412" w:lineRule="auto"/>
      <w:ind w:left="985"/>
    </w:pPr>
    <w:rPr>
      <w:rFonts w:ascii="Times New Roman" w:hAnsi="Times New Roman" w:eastAsia="黑体" w:cs="宋体"/>
      <w:color w:val="000000"/>
      <w:sz w:val="28"/>
      <w:szCs w:val="20"/>
      <w:lang w:val="zh-CN"/>
    </w:rPr>
  </w:style>
  <w:style w:type="paragraph" w:customStyle="1" w:styleId="1539">
    <w:name w:val="表居中（中文）"/>
    <w:basedOn w:val="1"/>
    <w:autoRedefine/>
    <w:qFormat/>
    <w:uiPriority w:val="0"/>
    <w:pPr>
      <w:adjustRightInd w:val="0"/>
      <w:spacing w:line="380" w:lineRule="atLeast"/>
      <w:jc w:val="center"/>
      <w:textAlignment w:val="baseline"/>
    </w:pPr>
    <w:rPr>
      <w:rFonts w:eastAsia="楷体_GB2312"/>
      <w:kern w:val="0"/>
      <w:sz w:val="24"/>
    </w:rPr>
  </w:style>
  <w:style w:type="paragraph" w:customStyle="1" w:styleId="1540">
    <w:name w:val="CM16"/>
    <w:basedOn w:val="143"/>
    <w:next w:val="143"/>
    <w:autoRedefine/>
    <w:qFormat/>
    <w:uiPriority w:val="0"/>
    <w:pPr>
      <w:spacing w:line="440" w:lineRule="atLeast"/>
    </w:pPr>
    <w:rPr>
      <w:rFonts w:ascii="楷体_GB2312" w:hAnsi="Times New Roman" w:eastAsia="楷体_GB2312" w:cs="Times New Roman"/>
      <w:color w:val="auto"/>
    </w:rPr>
  </w:style>
  <w:style w:type="paragraph" w:customStyle="1" w:styleId="1541">
    <w:name w:val="样式 标题 11.标题 1一、标题 1 Char标1章节标题-*+章标题 1文章标题h11st level..."/>
    <w:basedOn w:val="3"/>
    <w:autoRedefine/>
    <w:qFormat/>
    <w:uiPriority w:val="0"/>
    <w:pPr>
      <w:keepLines/>
      <w:pageBreakBefore/>
      <w:tabs>
        <w:tab w:val="left" w:pos="425"/>
        <w:tab w:val="left" w:pos="780"/>
        <w:tab w:val="left" w:pos="1467"/>
      </w:tabs>
      <w:overflowPunct/>
      <w:snapToGrid/>
      <w:spacing w:before="0" w:after="0" w:line="480" w:lineRule="auto"/>
      <w:ind w:left="1467" w:hanging="720"/>
      <w:jc w:val="left"/>
    </w:pPr>
    <w:rPr>
      <w:rFonts w:eastAsia="宋体"/>
      <w:kern w:val="0"/>
      <w:sz w:val="28"/>
      <w:szCs w:val="28"/>
      <w:lang w:val="zh-CN"/>
    </w:rPr>
  </w:style>
  <w:style w:type="paragraph" w:customStyle="1" w:styleId="1542">
    <w:name w:val="列出段落2"/>
    <w:basedOn w:val="1"/>
    <w:autoRedefine/>
    <w:qFormat/>
    <w:uiPriority w:val="0"/>
    <w:pPr>
      <w:widowControl/>
      <w:ind w:left="720"/>
      <w:contextualSpacing/>
      <w:jc w:val="left"/>
    </w:pPr>
    <w:rPr>
      <w:kern w:val="0"/>
      <w:sz w:val="24"/>
      <w:szCs w:val="20"/>
    </w:rPr>
  </w:style>
  <w:style w:type="paragraph" w:customStyle="1" w:styleId="1543">
    <w:name w:val="xl65"/>
    <w:basedOn w:val="1"/>
    <w:autoRedefine/>
    <w:qFormat/>
    <w:uiPriority w:val="0"/>
    <w:pPr>
      <w:widowControl/>
      <w:pBdr>
        <w:left w:val="single" w:color="auto" w:sz="4" w:space="0"/>
      </w:pBdr>
      <w:spacing w:before="100" w:beforeAutospacing="1" w:after="100" w:afterAutospacing="1"/>
      <w:jc w:val="center"/>
    </w:pPr>
    <w:rPr>
      <w:rFonts w:ascii="Arial Unicode MS" w:hAnsi="Arial Unicode MS"/>
      <w:kern w:val="0"/>
      <w:sz w:val="12"/>
      <w:szCs w:val="12"/>
    </w:rPr>
  </w:style>
  <w:style w:type="paragraph" w:customStyle="1" w:styleId="1544">
    <w:name w:val="Char Char Char1 Char Char Char Char Char Char1 Char Char Char Char Char Char Char Char Char Char"/>
    <w:basedOn w:val="1"/>
    <w:autoRedefine/>
    <w:qFormat/>
    <w:uiPriority w:val="0"/>
    <w:rPr>
      <w:rFonts w:ascii="宋体" w:hAnsi="宋体"/>
      <w:sz w:val="24"/>
    </w:rPr>
  </w:style>
  <w:style w:type="paragraph" w:customStyle="1" w:styleId="1545">
    <w:name w:val="正文首行缩进 21"/>
    <w:basedOn w:val="34"/>
    <w:autoRedefine/>
    <w:qFormat/>
    <w:uiPriority w:val="0"/>
    <w:pPr>
      <w:widowControl/>
      <w:ind w:firstLine="420" w:firstLineChars="200"/>
      <w:jc w:val="left"/>
    </w:pPr>
    <w:rPr>
      <w:sz w:val="20"/>
      <w:lang w:val="zh-CN"/>
    </w:rPr>
  </w:style>
  <w:style w:type="paragraph" w:customStyle="1" w:styleId="1546">
    <w:name w:val="Char3 Char Char Char"/>
    <w:basedOn w:val="1"/>
    <w:autoRedefine/>
    <w:qFormat/>
    <w:uiPriority w:val="0"/>
    <w:rPr>
      <w:sz w:val="28"/>
    </w:rPr>
  </w:style>
  <w:style w:type="paragraph" w:customStyle="1" w:styleId="1547">
    <w:name w:val="xl140"/>
    <w:basedOn w:val="1"/>
    <w:autoRedefine/>
    <w:qFormat/>
    <w:uiPriority w:val="0"/>
    <w:pPr>
      <w:widowControl/>
      <w:spacing w:before="100" w:beforeAutospacing="1" w:after="100" w:afterAutospacing="1"/>
      <w:jc w:val="center"/>
    </w:pPr>
    <w:rPr>
      <w:rFonts w:ascii="Arial Unicode MS" w:hAnsi="Arial Unicode MS"/>
      <w:kern w:val="0"/>
      <w:sz w:val="16"/>
      <w:szCs w:val="16"/>
    </w:rPr>
  </w:style>
  <w:style w:type="paragraph" w:customStyle="1" w:styleId="1548">
    <w:name w:val="样式 首行缩进 + 四号 首行缩进:  2 字符 行距: 单倍行距"/>
    <w:basedOn w:val="1"/>
    <w:autoRedefine/>
    <w:qFormat/>
    <w:uiPriority w:val="0"/>
    <w:pPr>
      <w:snapToGrid w:val="0"/>
      <w:spacing w:line="360" w:lineRule="auto"/>
    </w:pPr>
    <w:rPr>
      <w:rFonts w:hAnsi="宋体"/>
      <w:sz w:val="28"/>
      <w:szCs w:val="20"/>
    </w:rPr>
  </w:style>
  <w:style w:type="paragraph" w:customStyle="1" w:styleId="1549">
    <w:name w:val="样式 标题 2标题 2 Char标题 2 Char Char Char节节标题 1.1H2（一）Underrubr...3"/>
    <w:basedOn w:val="4"/>
    <w:autoRedefine/>
    <w:qFormat/>
    <w:uiPriority w:val="0"/>
    <w:pPr>
      <w:tabs>
        <w:tab w:val="left" w:pos="932"/>
        <w:tab w:val="left" w:pos="1419"/>
      </w:tabs>
      <w:spacing w:before="0" w:after="0" w:line="360" w:lineRule="auto"/>
      <w:ind w:left="932" w:hanging="567"/>
    </w:pPr>
    <w:rPr>
      <w:rFonts w:ascii="Times New Roman" w:hAnsi="Times New Roman"/>
      <w:b w:val="0"/>
      <w:bCs w:val="0"/>
      <w:color w:val="000000"/>
      <w:sz w:val="30"/>
      <w:szCs w:val="20"/>
      <w:lang w:val="zh-CN"/>
    </w:rPr>
  </w:style>
  <w:style w:type="paragraph" w:customStyle="1" w:styleId="1550">
    <w:name w:val="xl156"/>
    <w:basedOn w:val="1"/>
    <w:autoRedefine/>
    <w:qFormat/>
    <w:uiPriority w:val="0"/>
    <w:pPr>
      <w:widowControl/>
      <w:pBdr>
        <w:left w:val="single" w:color="auto" w:sz="4" w:space="0"/>
        <w:right w:val="single" w:color="auto" w:sz="4" w:space="0"/>
      </w:pBdr>
      <w:spacing w:before="100" w:beforeAutospacing="1" w:after="100" w:afterAutospacing="1"/>
      <w:jc w:val="left"/>
    </w:pPr>
    <w:rPr>
      <w:rFonts w:ascii="Arial Unicode MS" w:hAnsi="Arial Unicode MS"/>
      <w:kern w:val="0"/>
      <w:sz w:val="20"/>
      <w:szCs w:val="20"/>
    </w:rPr>
  </w:style>
  <w:style w:type="paragraph" w:customStyle="1" w:styleId="1551">
    <w:name w:val="xl75"/>
    <w:basedOn w:val="1"/>
    <w:autoRedefine/>
    <w:qFormat/>
    <w:uiPriority w:val="0"/>
    <w:pPr>
      <w:widowControl/>
      <w:spacing w:before="100" w:beforeAutospacing="1" w:after="100" w:afterAutospacing="1"/>
      <w:jc w:val="left"/>
    </w:pPr>
    <w:rPr>
      <w:kern w:val="0"/>
      <w:sz w:val="12"/>
      <w:szCs w:val="12"/>
    </w:rPr>
  </w:style>
  <w:style w:type="paragraph" w:customStyle="1" w:styleId="1552">
    <w:name w:val="样式 标题 4 + (西文) Times New Roman (中文) 宋体 小四"/>
    <w:basedOn w:val="6"/>
    <w:autoRedefine/>
    <w:qFormat/>
    <w:uiPriority w:val="0"/>
    <w:pPr>
      <w:keepLines/>
      <w:tabs>
        <w:tab w:val="left" w:pos="1247"/>
        <w:tab w:val="left" w:pos="1984"/>
      </w:tabs>
      <w:snapToGrid w:val="0"/>
      <w:spacing w:beforeLines="25" w:afterLines="25" w:line="360" w:lineRule="auto"/>
      <w:ind w:left="964" w:right="0" w:hanging="964"/>
      <w:jc w:val="both"/>
    </w:pPr>
    <w:rPr>
      <w:rFonts w:ascii="楷体_GB2312" w:eastAsia="楷体_GB2312"/>
      <w:color w:val="auto"/>
      <w:sz w:val="24"/>
      <w:szCs w:val="24"/>
      <w:lang w:val="zh-CN"/>
    </w:rPr>
  </w:style>
  <w:style w:type="paragraph" w:customStyle="1" w:styleId="1553">
    <w:name w:val="- 页码 -"/>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554">
    <w:name w:val="表格的文字"/>
    <w:basedOn w:val="1"/>
    <w:autoRedefine/>
    <w:qFormat/>
    <w:uiPriority w:val="0"/>
    <w:pPr>
      <w:spacing w:line="300" w:lineRule="exact"/>
      <w:jc w:val="center"/>
    </w:pPr>
    <w:rPr>
      <w:rFonts w:ascii="仿宋_GB2312" w:eastAsia="仿宋_GB2312"/>
      <w:bCs/>
      <w:szCs w:val="20"/>
    </w:rPr>
  </w:style>
  <w:style w:type="paragraph" w:customStyle="1" w:styleId="1555">
    <w:name w:val="Char Char Char Char18"/>
    <w:basedOn w:val="1"/>
    <w:autoRedefine/>
    <w:qFormat/>
    <w:uiPriority w:val="0"/>
    <w:pPr>
      <w:widowControl/>
      <w:jc w:val="left"/>
    </w:pPr>
    <w:rPr>
      <w:kern w:val="0"/>
      <w:sz w:val="24"/>
      <w:szCs w:val="20"/>
    </w:rPr>
  </w:style>
  <w:style w:type="paragraph" w:customStyle="1" w:styleId="1556">
    <w:name w:val="样式 表头样式1 + 首行缩进:  2 字符 段前: 0.5 行"/>
    <w:basedOn w:val="1489"/>
    <w:autoRedefine/>
    <w:qFormat/>
    <w:uiPriority w:val="0"/>
    <w:pPr>
      <w:snapToGrid/>
      <w:spacing w:afterLines="0" w:afterAutospacing="1"/>
    </w:pPr>
    <w:rPr>
      <w:rFonts w:ascii="Times New Roman" w:hAnsi="Times New Roman" w:cs="宋体"/>
      <w:bCs/>
      <w:color w:val="000000"/>
      <w:lang w:eastAsia="zh-TW"/>
    </w:rPr>
  </w:style>
  <w:style w:type="paragraph" w:customStyle="1" w:styleId="1557">
    <w:name w:val="InstÀÀll3"/>
    <w:autoRedefine/>
    <w:qFormat/>
    <w:uiPriority w:val="0"/>
    <w:pPr>
      <w:tabs>
        <w:tab w:val="left" w:pos="-720"/>
      </w:tabs>
      <w:suppressAutoHyphens/>
      <w:jc w:val="both"/>
    </w:pPr>
    <w:rPr>
      <w:rFonts w:ascii="Courier" w:hAnsi="Courier" w:eastAsia="宋体" w:cs="Times New Roman"/>
      <w:spacing w:val="-3"/>
      <w:sz w:val="24"/>
      <w:lang w:val="en-US" w:eastAsia="sv-SE" w:bidi="ar-SA"/>
    </w:rPr>
  </w:style>
  <w:style w:type="paragraph" w:customStyle="1" w:styleId="1558">
    <w:name w:val="正文21"/>
    <w:autoRedefine/>
    <w:qFormat/>
    <w:uiPriority w:val="0"/>
    <w:pPr>
      <w:widowControl w:val="0"/>
      <w:adjustRightInd w:val="0"/>
      <w:spacing w:line="312" w:lineRule="atLeast"/>
      <w:jc w:val="both"/>
      <w:textAlignment w:val="baseline"/>
    </w:pPr>
    <w:rPr>
      <w:rFonts w:ascii="Arial" w:hAnsi="Times New Roman" w:eastAsia="楷体_GB2312" w:cs="Times New Roman"/>
      <w:spacing w:val="-6"/>
      <w:sz w:val="28"/>
      <w:lang w:val="en-US" w:eastAsia="zh-CN" w:bidi="ar-SA"/>
    </w:rPr>
  </w:style>
  <w:style w:type="paragraph" w:customStyle="1" w:styleId="1559">
    <w:name w:val="reader-word-layer"/>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1560">
    <w:name w:val="red14"/>
    <w:basedOn w:val="1"/>
    <w:autoRedefine/>
    <w:qFormat/>
    <w:uiPriority w:val="0"/>
    <w:pPr>
      <w:widowControl/>
      <w:spacing w:before="100" w:beforeAutospacing="1" w:after="100" w:afterAutospacing="1"/>
      <w:jc w:val="left"/>
    </w:pPr>
    <w:rPr>
      <w:rFonts w:ascii="宋体" w:hAnsi="宋体" w:cs="宋体"/>
      <w:b/>
      <w:bCs/>
      <w:color w:val="FF0000"/>
      <w:kern w:val="0"/>
      <w:szCs w:val="21"/>
    </w:rPr>
  </w:style>
  <w:style w:type="paragraph" w:customStyle="1" w:styleId="1561">
    <w:name w:val="Char Char Char Char Char Char Char Char Char1 Char Char Char"/>
    <w:basedOn w:val="1"/>
    <w:autoRedefine/>
    <w:qFormat/>
    <w:uiPriority w:val="0"/>
    <w:rPr>
      <w:sz w:val="24"/>
    </w:rPr>
  </w:style>
  <w:style w:type="paragraph" w:customStyle="1" w:styleId="1562">
    <w:name w:val="样式 样式 左侧:  2 字符 + 首行缩进:  2 字符 Char"/>
    <w:basedOn w:val="1"/>
    <w:autoRedefine/>
    <w:qFormat/>
    <w:uiPriority w:val="0"/>
    <w:pPr>
      <w:tabs>
        <w:tab w:val="left" w:pos="540"/>
      </w:tabs>
      <w:spacing w:line="360" w:lineRule="auto"/>
      <w:ind w:firstLine="478" w:firstLineChars="199"/>
    </w:pPr>
    <w:rPr>
      <w:rFonts w:ascii="宋体" w:hAnsi="宋体"/>
      <w:bCs/>
      <w:sz w:val="24"/>
    </w:rPr>
  </w:style>
  <w:style w:type="paragraph" w:customStyle="1" w:styleId="1563">
    <w:name w:val="Char Char1 Char Char Char Char Char Char"/>
    <w:basedOn w:val="1"/>
    <w:autoRedefine/>
    <w:qFormat/>
    <w:uiPriority w:val="0"/>
  </w:style>
  <w:style w:type="paragraph" w:customStyle="1" w:styleId="1564">
    <w:name w:val="aa正文"/>
    <w:basedOn w:val="1"/>
    <w:autoRedefine/>
    <w:qFormat/>
    <w:uiPriority w:val="0"/>
    <w:pPr>
      <w:spacing w:line="360" w:lineRule="auto"/>
      <w:ind w:firstLine="200" w:firstLineChars="200"/>
    </w:pPr>
    <w:rPr>
      <w:rFonts w:ascii="Calibri" w:hAnsi="Calibri"/>
      <w:kern w:val="0"/>
      <w:sz w:val="24"/>
    </w:rPr>
  </w:style>
  <w:style w:type="paragraph" w:customStyle="1" w:styleId="1565">
    <w:name w:val="样式 标题 3标题 3 Char Char条标题1.1.13h33rd levelH3l3CT + 黑色 行距..."/>
    <w:basedOn w:val="5"/>
    <w:autoRedefine/>
    <w:qFormat/>
    <w:uiPriority w:val="0"/>
    <w:pPr>
      <w:tabs>
        <w:tab w:val="left" w:pos="780"/>
        <w:tab w:val="left" w:pos="1418"/>
      </w:tabs>
      <w:snapToGrid w:val="0"/>
      <w:spacing w:before="0" w:after="0" w:line="500" w:lineRule="exact"/>
      <w:ind w:left="627" w:hanging="567"/>
    </w:pPr>
    <w:rPr>
      <w:rFonts w:cs="宋体"/>
      <w:color w:val="000000"/>
      <w:sz w:val="24"/>
      <w:szCs w:val="20"/>
      <w:lang w:val="zh-CN"/>
    </w:rPr>
  </w:style>
  <w:style w:type="paragraph" w:customStyle="1" w:styleId="1566">
    <w:name w:val="Char Char Char1 Char Char Char Char Char Char Char Char Char Char Char Char Char Char Char1 Char Char Char Char Char Char Char Char Char Char Char Char"/>
    <w:basedOn w:val="1"/>
    <w:autoRedefine/>
    <w:qFormat/>
    <w:uiPriority w:val="0"/>
    <w:rPr>
      <w:szCs w:val="21"/>
    </w:rPr>
  </w:style>
  <w:style w:type="paragraph" w:customStyle="1" w:styleId="1567">
    <w:name w:val="Char Char Char7"/>
    <w:basedOn w:val="1"/>
    <w:autoRedefine/>
    <w:qFormat/>
    <w:uiPriority w:val="0"/>
    <w:rPr>
      <w:sz w:val="24"/>
    </w:rPr>
  </w:style>
  <w:style w:type="paragraph" w:customStyle="1" w:styleId="1568">
    <w:name w:val="目录标题"/>
    <w:basedOn w:val="1"/>
    <w:autoRedefine/>
    <w:qFormat/>
    <w:uiPriority w:val="0"/>
    <w:pPr>
      <w:tabs>
        <w:tab w:val="right" w:leader="dot" w:pos="8296"/>
      </w:tabs>
      <w:spacing w:line="440" w:lineRule="exact"/>
      <w:ind w:firstLine="482" w:firstLineChars="200"/>
      <w:jc w:val="center"/>
    </w:pPr>
    <w:rPr>
      <w:rFonts w:ascii="宋体" w:hAnsi="宋体"/>
      <w:b/>
      <w:sz w:val="32"/>
      <w:szCs w:val="20"/>
    </w:rPr>
  </w:style>
  <w:style w:type="paragraph" w:customStyle="1" w:styleId="1569">
    <w:name w:val="样式 四号 首行缩进:  2 字符 行距: 2 倍行距"/>
    <w:basedOn w:val="1"/>
    <w:autoRedefine/>
    <w:qFormat/>
    <w:uiPriority w:val="0"/>
    <w:pPr>
      <w:snapToGrid w:val="0"/>
      <w:spacing w:line="360" w:lineRule="auto"/>
      <w:ind w:firstLine="200" w:firstLineChars="200"/>
    </w:pPr>
    <w:rPr>
      <w:rFonts w:cs="宋体"/>
      <w:sz w:val="28"/>
      <w:szCs w:val="20"/>
    </w:rPr>
  </w:style>
  <w:style w:type="paragraph" w:customStyle="1" w:styleId="1570">
    <w:name w:val="课题申报正文"/>
    <w:basedOn w:val="1"/>
    <w:autoRedefine/>
    <w:qFormat/>
    <w:uiPriority w:val="0"/>
    <w:pPr>
      <w:spacing w:line="400" w:lineRule="exact"/>
      <w:ind w:right="57" w:firstLine="200" w:firstLineChars="200"/>
    </w:pPr>
    <w:rPr>
      <w:sz w:val="24"/>
      <w:szCs w:val="20"/>
    </w:rPr>
  </w:style>
  <w:style w:type="paragraph" w:customStyle="1" w:styleId="1571">
    <w:name w:val="目录 9 Char Char"/>
    <w:basedOn w:val="1"/>
    <w:next w:val="1"/>
    <w:autoRedefine/>
    <w:qFormat/>
    <w:uiPriority w:val="0"/>
    <w:pPr>
      <w:spacing w:line="351" w:lineRule="atLeast"/>
      <w:ind w:left="1678" w:firstLine="419"/>
      <w:jc w:val="left"/>
    </w:pPr>
    <w:rPr>
      <w:rFonts w:hint="eastAsia"/>
      <w:szCs w:val="20"/>
    </w:rPr>
  </w:style>
  <w:style w:type="paragraph" w:customStyle="1" w:styleId="1572">
    <w:name w:val="表字"/>
    <w:basedOn w:val="1"/>
    <w:autoRedefine/>
    <w:qFormat/>
    <w:uiPriority w:val="0"/>
    <w:pPr>
      <w:jc w:val="center"/>
    </w:pPr>
    <w:rPr>
      <w:rFonts w:ascii="宋体"/>
      <w:szCs w:val="20"/>
    </w:rPr>
  </w:style>
  <w:style w:type="paragraph" w:customStyle="1" w:styleId="1573">
    <w:name w:val="样式 表格内容 + 小五 加粗 行距: 固定值 14 磅"/>
    <w:basedOn w:val="320"/>
    <w:autoRedefine/>
    <w:qFormat/>
    <w:uiPriority w:val="0"/>
    <w:pPr>
      <w:spacing w:line="280" w:lineRule="exact"/>
    </w:pPr>
    <w:rPr>
      <w:bCs/>
      <w:sz w:val="18"/>
    </w:rPr>
  </w:style>
  <w:style w:type="paragraph" w:customStyle="1" w:styleId="1574">
    <w:name w:val="Char Char Char1 Char Char Char Char Char Char Char Char Char Char Char Char Char Char Char1 Char Char Char Char Char Char Char Char Char Char Char Char Char Char Char Char Char Char Char Char Char Char Char Char Char Char Char Char Char Char"/>
    <w:basedOn w:val="1"/>
    <w:autoRedefine/>
    <w:qFormat/>
    <w:uiPriority w:val="0"/>
    <w:pPr>
      <w:spacing w:line="240" w:lineRule="exact"/>
      <w:ind w:firstLine="200" w:firstLineChars="200"/>
    </w:pPr>
    <w:rPr>
      <w:sz w:val="28"/>
      <w:szCs w:val="28"/>
    </w:rPr>
  </w:style>
  <w:style w:type="paragraph" w:customStyle="1" w:styleId="1575">
    <w:name w:val="Char Char Char Char Char Char Char Char Char1 Char Char Char Char6"/>
    <w:basedOn w:val="1"/>
    <w:autoRedefine/>
    <w:qFormat/>
    <w:uiPriority w:val="0"/>
    <w:rPr>
      <w:szCs w:val="21"/>
    </w:rPr>
  </w:style>
  <w:style w:type="paragraph" w:customStyle="1" w:styleId="1576">
    <w:name w:val="注："/>
    <w:next w:val="257"/>
    <w:autoRedefine/>
    <w:qFormat/>
    <w:uiPriority w:val="0"/>
    <w:pPr>
      <w:widowControl w:val="0"/>
      <w:autoSpaceDE w:val="0"/>
      <w:autoSpaceDN w:val="0"/>
      <w:ind w:left="840" w:hanging="420"/>
      <w:jc w:val="both"/>
    </w:pPr>
    <w:rPr>
      <w:rFonts w:ascii="宋体" w:hAnsi="Times New Roman" w:eastAsia="宋体" w:cs="Times New Roman"/>
      <w:sz w:val="18"/>
      <w:lang w:val="en-US" w:eastAsia="zh-CN" w:bidi="ar-SA"/>
    </w:rPr>
  </w:style>
  <w:style w:type="paragraph" w:customStyle="1" w:styleId="1577">
    <w:name w:val="修订1"/>
    <w:autoRedefine/>
    <w:qFormat/>
    <w:uiPriority w:val="0"/>
    <w:rPr>
      <w:rFonts w:ascii="宋体" w:hAnsi="宋体" w:eastAsia="宋体" w:cs="Times New Roman"/>
      <w:kern w:val="2"/>
      <w:sz w:val="24"/>
      <w:lang w:val="en-US" w:eastAsia="zh-CN" w:bidi="ar-SA"/>
    </w:rPr>
  </w:style>
  <w:style w:type="paragraph" w:customStyle="1" w:styleId="1578">
    <w:name w:val="样式 表文字 + 首行缩进:  0.74 厘米"/>
    <w:basedOn w:val="1079"/>
    <w:autoRedefine/>
    <w:qFormat/>
    <w:uiPriority w:val="0"/>
    <w:pPr>
      <w:widowControl w:val="0"/>
      <w:jc w:val="both"/>
    </w:pPr>
    <w:rPr>
      <w:rFonts w:ascii="Times New Roman" w:hAnsi="Times New Roman"/>
      <w:szCs w:val="20"/>
    </w:rPr>
  </w:style>
  <w:style w:type="paragraph" w:customStyle="1" w:styleId="1579">
    <w:name w:val="xl198"/>
    <w:basedOn w:val="1"/>
    <w:autoRedefine/>
    <w:qFormat/>
    <w:uiPriority w:val="0"/>
    <w:pPr>
      <w:widowControl/>
      <w:pBdr>
        <w:bottom w:val="single" w:color="auto" w:sz="8" w:space="0"/>
      </w:pBdr>
      <w:spacing w:before="100" w:beforeAutospacing="1" w:after="100" w:afterAutospacing="1"/>
      <w:jc w:val="center"/>
    </w:pPr>
    <w:rPr>
      <w:rFonts w:ascii="Arial Unicode MS" w:hAnsi="Arial Unicode MS"/>
      <w:kern w:val="0"/>
      <w:sz w:val="16"/>
      <w:szCs w:val="16"/>
    </w:rPr>
  </w:style>
  <w:style w:type="paragraph" w:customStyle="1" w:styleId="1580">
    <w:name w:val="表后"/>
    <w:basedOn w:val="1"/>
    <w:next w:val="1"/>
    <w:autoRedefine/>
    <w:qFormat/>
    <w:uiPriority w:val="0"/>
    <w:pPr>
      <w:adjustRightInd w:val="0"/>
      <w:spacing w:before="120" w:line="360" w:lineRule="auto"/>
      <w:ind w:firstLine="493"/>
      <w:textAlignment w:val="baseline"/>
    </w:pPr>
    <w:rPr>
      <w:rFonts w:ascii="宋体" w:hAnsi="宋体"/>
      <w:spacing w:val="-2"/>
      <w:kern w:val="0"/>
      <w:sz w:val="24"/>
    </w:rPr>
  </w:style>
  <w:style w:type="paragraph" w:customStyle="1" w:styleId="1581">
    <w:name w:val="小四表文居中"/>
    <w:autoRedefine/>
    <w:qFormat/>
    <w:uiPriority w:val="0"/>
    <w:pPr>
      <w:widowControl w:val="0"/>
      <w:spacing w:line="320" w:lineRule="exact"/>
      <w:jc w:val="center"/>
    </w:pPr>
    <w:rPr>
      <w:rFonts w:ascii="仿宋_GB2312" w:hAnsi="Times New Roman" w:eastAsia="仿宋_GB2312" w:cs="Times New Roman"/>
      <w:kern w:val="2"/>
      <w:sz w:val="24"/>
      <w:szCs w:val="24"/>
      <w:lang w:val="en-US" w:eastAsia="zh-CN" w:bidi="ar-SA"/>
    </w:rPr>
  </w:style>
  <w:style w:type="paragraph" w:customStyle="1" w:styleId="1582">
    <w:name w:val="font14"/>
    <w:basedOn w:val="1"/>
    <w:autoRedefine/>
    <w:qFormat/>
    <w:uiPriority w:val="0"/>
    <w:pPr>
      <w:widowControl/>
      <w:spacing w:before="100" w:beforeAutospacing="1" w:after="100" w:afterAutospacing="1"/>
      <w:jc w:val="left"/>
    </w:pPr>
    <w:rPr>
      <w:rFonts w:ascii="宋体" w:hAnsi="宋体" w:cs="宋体"/>
      <w:kern w:val="0"/>
      <w:szCs w:val="21"/>
    </w:rPr>
  </w:style>
  <w:style w:type="paragraph" w:customStyle="1" w:styleId="1583">
    <w:name w:val="Char Char Char Char2"/>
    <w:basedOn w:val="1"/>
    <w:autoRedefine/>
    <w:qFormat/>
    <w:uiPriority w:val="0"/>
    <w:pPr>
      <w:tabs>
        <w:tab w:val="left" w:pos="0"/>
      </w:tabs>
    </w:pPr>
    <w:rPr>
      <w:sz w:val="24"/>
    </w:rPr>
  </w:style>
  <w:style w:type="paragraph" w:customStyle="1" w:styleId="1584">
    <w:name w:val="xl74"/>
    <w:basedOn w:val="1"/>
    <w:autoRedefine/>
    <w:qFormat/>
    <w:uiPriority w:val="0"/>
    <w:pPr>
      <w:widowControl/>
      <w:pBdr>
        <w:bottom w:val="single" w:color="auto" w:sz="12" w:space="0"/>
      </w:pBdr>
      <w:spacing w:before="100" w:beforeAutospacing="1" w:after="100" w:afterAutospacing="1"/>
      <w:jc w:val="left"/>
    </w:pPr>
    <w:rPr>
      <w:rFonts w:ascii="Arial Unicode MS" w:hAnsi="Arial Unicode MS"/>
      <w:kern w:val="0"/>
      <w:sz w:val="12"/>
      <w:szCs w:val="12"/>
    </w:rPr>
  </w:style>
  <w:style w:type="paragraph" w:customStyle="1" w:styleId="1585">
    <w:name w:val="目录 81"/>
    <w:basedOn w:val="1"/>
    <w:next w:val="1"/>
    <w:autoRedefine/>
    <w:qFormat/>
    <w:uiPriority w:val="0"/>
    <w:pPr>
      <w:ind w:left="1260"/>
      <w:jc w:val="left"/>
    </w:pPr>
    <w:rPr>
      <w:sz w:val="20"/>
      <w:szCs w:val="20"/>
    </w:rPr>
  </w:style>
  <w:style w:type="paragraph" w:customStyle="1" w:styleId="1586">
    <w:name w:val="Char Char Char Char15"/>
    <w:basedOn w:val="1"/>
    <w:autoRedefine/>
    <w:qFormat/>
    <w:uiPriority w:val="0"/>
    <w:pPr>
      <w:widowControl/>
      <w:jc w:val="left"/>
    </w:pPr>
    <w:rPr>
      <w:kern w:val="0"/>
      <w:sz w:val="24"/>
      <w:szCs w:val="20"/>
    </w:rPr>
  </w:style>
  <w:style w:type="paragraph" w:customStyle="1" w:styleId="1587">
    <w:name w:val="图注"/>
    <w:basedOn w:val="1"/>
    <w:next w:val="1"/>
    <w:autoRedefine/>
    <w:qFormat/>
    <w:uiPriority w:val="0"/>
    <w:pPr>
      <w:spacing w:before="120" w:line="320" w:lineRule="atLeast"/>
      <w:ind w:left="7" w:leftChars="-27" w:hanging="72" w:hangingChars="30"/>
      <w:jc w:val="center"/>
    </w:pPr>
    <w:rPr>
      <w:rFonts w:ascii="宋体" w:hAnsi="宋体"/>
      <w:bCs/>
      <w:color w:val="000000"/>
      <w:kern w:val="0"/>
      <w:sz w:val="24"/>
    </w:rPr>
  </w:style>
  <w:style w:type="paragraph" w:customStyle="1" w:styleId="1588">
    <w:name w:val="标题正1"/>
    <w:basedOn w:val="1"/>
    <w:autoRedefine/>
    <w:qFormat/>
    <w:uiPriority w:val="0"/>
    <w:pPr>
      <w:spacing w:before="60" w:after="60" w:line="500" w:lineRule="exact"/>
    </w:pPr>
    <w:rPr>
      <w:rFonts w:ascii="黑体" w:eastAsia="黑体"/>
      <w:sz w:val="32"/>
      <w:szCs w:val="28"/>
    </w:rPr>
  </w:style>
  <w:style w:type="paragraph" w:customStyle="1" w:styleId="1589">
    <w:name w:val="Char Char Char1 Char Char Char Char Char Char Char9"/>
    <w:basedOn w:val="1"/>
    <w:autoRedefine/>
    <w:qFormat/>
    <w:uiPriority w:val="0"/>
    <w:rPr>
      <w:rFonts w:ascii="Tahoma" w:hAnsi="Tahoma"/>
      <w:sz w:val="24"/>
      <w:szCs w:val="20"/>
    </w:rPr>
  </w:style>
  <w:style w:type="paragraph" w:customStyle="1" w:styleId="1590">
    <w:name w:val="Char Char Char Char Char Char Char Char Char Char Char1 Char Char Char Char"/>
    <w:basedOn w:val="1"/>
    <w:autoRedefine/>
    <w:qFormat/>
    <w:uiPriority w:val="0"/>
    <w:rPr>
      <w:sz w:val="24"/>
    </w:rPr>
  </w:style>
  <w:style w:type="paragraph" w:customStyle="1" w:styleId="1591">
    <w:name w:val="封面正文"/>
    <w:autoRedefine/>
    <w:qFormat/>
    <w:uiPriority w:val="0"/>
    <w:pPr>
      <w:jc w:val="both"/>
    </w:pPr>
    <w:rPr>
      <w:rFonts w:ascii="Times New Roman" w:hAnsi="Times New Roman" w:eastAsia="宋体" w:cs="Times New Roman"/>
      <w:lang w:val="en-US" w:eastAsia="zh-CN" w:bidi="ar-SA"/>
    </w:rPr>
  </w:style>
  <w:style w:type="paragraph" w:customStyle="1" w:styleId="1592">
    <w:name w:val="样式 标题 4 + 加粗"/>
    <w:basedOn w:val="6"/>
    <w:autoRedefine/>
    <w:qFormat/>
    <w:uiPriority w:val="0"/>
    <w:pPr>
      <w:keepLines/>
      <w:tabs>
        <w:tab w:val="left" w:pos="864"/>
        <w:tab w:val="left" w:pos="1984"/>
      </w:tabs>
      <w:spacing w:line="360" w:lineRule="auto"/>
      <w:ind w:left="864" w:right="0" w:hanging="864"/>
      <w:jc w:val="both"/>
    </w:pPr>
    <w:rPr>
      <w:rFonts w:eastAsia="宋体"/>
      <w:bCs/>
      <w:color w:val="auto"/>
      <w:sz w:val="24"/>
      <w:lang w:val="zh-CN"/>
    </w:rPr>
  </w:style>
  <w:style w:type="paragraph" w:customStyle="1" w:styleId="1593">
    <w:name w:val="13"/>
    <w:autoRedefine/>
    <w:qFormat/>
    <w:uiPriority w:val="99"/>
    <w:pPr>
      <w:widowControl w:val="0"/>
      <w:jc w:val="both"/>
    </w:pPr>
    <w:rPr>
      <w:rFonts w:ascii="Times New Roman" w:hAnsi="Times New Roman" w:eastAsia="宋体" w:cs="Times New Roman"/>
      <w:kern w:val="2"/>
      <w:sz w:val="21"/>
      <w:szCs w:val="24"/>
      <w:lang w:val="en-US" w:eastAsia="zh-CN" w:bidi="ar-SA"/>
    </w:rPr>
  </w:style>
  <w:style w:type="paragraph" w:customStyle="1" w:styleId="1594">
    <w:name w:val="样式 表格内容+小五（lulu）"/>
    <w:basedOn w:val="320"/>
    <w:autoRedefine/>
    <w:qFormat/>
    <w:uiPriority w:val="0"/>
    <w:rPr>
      <w:b/>
      <w:bCs/>
      <w:sz w:val="20"/>
    </w:rPr>
  </w:style>
  <w:style w:type="paragraph" w:customStyle="1" w:styleId="1595">
    <w:name w:val="正文文本缩进 212"/>
    <w:basedOn w:val="1"/>
    <w:autoRedefine/>
    <w:qFormat/>
    <w:uiPriority w:val="0"/>
    <w:pPr>
      <w:adjustRightInd w:val="0"/>
      <w:spacing w:line="480" w:lineRule="atLeast"/>
      <w:ind w:firstLine="630"/>
      <w:textAlignment w:val="baseline"/>
    </w:pPr>
    <w:rPr>
      <w:rFonts w:ascii="宋体"/>
      <w:sz w:val="28"/>
      <w:szCs w:val="20"/>
    </w:rPr>
  </w:style>
  <w:style w:type="paragraph" w:customStyle="1" w:styleId="1596">
    <w:name w:val="Char Char Char Char Char Char Char Char Char Char Char"/>
    <w:basedOn w:val="1"/>
    <w:autoRedefine/>
    <w:qFormat/>
    <w:uiPriority w:val="0"/>
    <w:rPr>
      <w:sz w:val="24"/>
    </w:rPr>
  </w:style>
  <w:style w:type="paragraph" w:customStyle="1" w:styleId="1597">
    <w:name w:val="Char42"/>
    <w:basedOn w:val="1"/>
    <w:autoRedefine/>
    <w:qFormat/>
    <w:uiPriority w:val="0"/>
    <w:rPr>
      <w:sz w:val="24"/>
    </w:rPr>
  </w:style>
  <w:style w:type="paragraph" w:customStyle="1" w:styleId="1598">
    <w:name w:val="首2页正文"/>
    <w:basedOn w:val="1"/>
    <w:autoRedefine/>
    <w:qFormat/>
    <w:uiPriority w:val="0"/>
    <w:pPr>
      <w:spacing w:line="360" w:lineRule="exact"/>
      <w:ind w:firstLine="199" w:firstLineChars="55"/>
      <w:jc w:val="center"/>
    </w:pPr>
    <w:rPr>
      <w:rFonts w:ascii="楷体" w:hAnsi="楷体" w:eastAsia="楷体"/>
      <w:b/>
      <w:bCs/>
      <w:sz w:val="36"/>
      <w:szCs w:val="36"/>
    </w:rPr>
  </w:style>
  <w:style w:type="paragraph" w:customStyle="1" w:styleId="1599">
    <w:name w:val="p18"/>
    <w:basedOn w:val="1"/>
    <w:autoRedefine/>
    <w:qFormat/>
    <w:uiPriority w:val="0"/>
    <w:pPr>
      <w:widowControl/>
      <w:spacing w:line="500" w:lineRule="atLeast"/>
      <w:ind w:firstLine="420"/>
    </w:pPr>
    <w:rPr>
      <w:rFonts w:ascii="宋体" w:hAnsi="宋体" w:cs="宋体"/>
      <w:kern w:val="0"/>
      <w:sz w:val="28"/>
      <w:szCs w:val="28"/>
    </w:rPr>
  </w:style>
  <w:style w:type="paragraph" w:customStyle="1" w:styleId="1600">
    <w:name w:val="Char1 Char Char Char Char Char Char"/>
    <w:basedOn w:val="1"/>
    <w:autoRedefine/>
    <w:qFormat/>
    <w:uiPriority w:val="0"/>
    <w:pPr>
      <w:spacing w:line="360" w:lineRule="auto"/>
      <w:ind w:firstLine="200" w:firstLineChars="200"/>
    </w:pPr>
    <w:rPr>
      <w:rFonts w:ascii="宋体" w:hAnsi="宋体" w:cs="宋体"/>
      <w:sz w:val="24"/>
    </w:rPr>
  </w:style>
  <w:style w:type="paragraph" w:customStyle="1" w:styleId="1601">
    <w:name w:val="Body Text 23"/>
    <w:basedOn w:val="1"/>
    <w:autoRedefine/>
    <w:qFormat/>
    <w:uiPriority w:val="0"/>
    <w:pPr>
      <w:adjustRightInd w:val="0"/>
      <w:spacing w:after="120"/>
      <w:ind w:left="420"/>
      <w:textAlignment w:val="baseline"/>
    </w:pPr>
    <w:rPr>
      <w:rFonts w:hint="eastAsia" w:ascii="宋体" w:hAnsi="宋体"/>
      <w:sz w:val="24"/>
      <w:szCs w:val="20"/>
    </w:rPr>
  </w:style>
  <w:style w:type="paragraph" w:customStyle="1" w:styleId="1602">
    <w:name w:val="目录 21"/>
    <w:basedOn w:val="1"/>
    <w:next w:val="1"/>
    <w:autoRedefine/>
    <w:qFormat/>
    <w:uiPriority w:val="0"/>
    <w:pPr>
      <w:tabs>
        <w:tab w:val="right" w:leader="dot" w:pos="9344"/>
      </w:tabs>
      <w:spacing w:before="120" w:line="380" w:lineRule="exact"/>
      <w:jc w:val="left"/>
    </w:pPr>
    <w:rPr>
      <w:bCs/>
      <w:sz w:val="24"/>
    </w:rPr>
  </w:style>
  <w:style w:type="paragraph" w:customStyle="1" w:styleId="1603">
    <w:name w:val="Char1 Char Char Char Char Char Char6"/>
    <w:basedOn w:val="1"/>
    <w:autoRedefine/>
    <w:qFormat/>
    <w:uiPriority w:val="0"/>
    <w:pPr>
      <w:spacing w:line="360" w:lineRule="auto"/>
      <w:ind w:firstLine="200" w:firstLineChars="200"/>
    </w:pPr>
    <w:rPr>
      <w:rFonts w:ascii="宋体" w:hAnsi="宋体" w:cs="宋体"/>
      <w:sz w:val="24"/>
    </w:rPr>
  </w:style>
  <w:style w:type="paragraph" w:customStyle="1" w:styleId="1604">
    <w:name w:val="1.1.1标题"/>
    <w:next w:val="33"/>
    <w:autoRedefine/>
    <w:qFormat/>
    <w:uiPriority w:val="0"/>
    <w:pPr>
      <w:spacing w:line="500" w:lineRule="exact"/>
      <w:outlineLvl w:val="2"/>
    </w:pPr>
    <w:rPr>
      <w:rFonts w:ascii="Times New Roman" w:hAnsi="Times New Roman" w:eastAsia="黑体" w:cs="Times New Roman"/>
      <w:kern w:val="2"/>
      <w:sz w:val="28"/>
      <w:szCs w:val="28"/>
      <w:lang w:val="en-US" w:eastAsia="zh-CN" w:bidi="ar-SA"/>
    </w:rPr>
  </w:style>
  <w:style w:type="paragraph" w:customStyle="1" w:styleId="1605">
    <w:name w:val="xl105"/>
    <w:basedOn w:val="1"/>
    <w:autoRedefine/>
    <w:qFormat/>
    <w:uiPriority w:val="0"/>
    <w:pPr>
      <w:widowControl/>
      <w:spacing w:before="100" w:beforeAutospacing="1" w:after="100" w:afterAutospacing="1"/>
      <w:jc w:val="center"/>
    </w:pPr>
    <w:rPr>
      <w:rFonts w:ascii="Arial Unicode MS" w:hAnsi="Arial Unicode MS"/>
      <w:kern w:val="0"/>
    </w:rPr>
  </w:style>
  <w:style w:type="paragraph" w:customStyle="1" w:styleId="1606">
    <w:name w:val="无间隔2"/>
    <w:autoRedefine/>
    <w:qFormat/>
    <w:uiPriority w:val="0"/>
    <w:pPr>
      <w:widowControl w:val="0"/>
      <w:jc w:val="both"/>
    </w:pPr>
    <w:rPr>
      <w:rFonts w:ascii="Arial" w:hAnsi="Arial" w:eastAsia="仿宋" w:cs="Times New Roman"/>
      <w:w w:val="90"/>
      <w:kern w:val="2"/>
      <w:sz w:val="24"/>
      <w:szCs w:val="24"/>
      <w:lang w:val="en-US" w:eastAsia="zh-CN" w:bidi="ar-SA"/>
    </w:rPr>
  </w:style>
  <w:style w:type="paragraph" w:customStyle="1" w:styleId="1607">
    <w:name w:val="Char Char Char Char Char Char Char Char Char1 Char9"/>
    <w:basedOn w:val="1"/>
    <w:autoRedefine/>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1608">
    <w:name w:val="Char Char3 Char"/>
    <w:basedOn w:val="1"/>
    <w:autoRedefine/>
    <w:qFormat/>
    <w:uiPriority w:val="0"/>
    <w:rPr>
      <w:rFonts w:ascii="Tahoma" w:hAnsi="Tahoma"/>
      <w:sz w:val="24"/>
      <w:szCs w:val="20"/>
    </w:rPr>
  </w:style>
  <w:style w:type="paragraph" w:customStyle="1" w:styleId="1609">
    <w:name w:val="xl96"/>
    <w:basedOn w:val="1"/>
    <w:autoRedefine/>
    <w:qFormat/>
    <w:uiPriority w:val="0"/>
    <w:pPr>
      <w:widowControl/>
      <w:pBdr>
        <w:left w:val="single" w:color="auto" w:sz="12" w:space="0"/>
        <w:bottom w:val="single" w:color="auto" w:sz="12" w:space="0"/>
        <w:right w:val="single" w:color="auto" w:sz="4" w:space="0"/>
      </w:pBdr>
      <w:spacing w:before="100" w:beforeAutospacing="1" w:after="100" w:afterAutospacing="1"/>
      <w:jc w:val="center"/>
    </w:pPr>
    <w:rPr>
      <w:rFonts w:ascii="Arial Unicode MS" w:hAnsi="Arial Unicode MS"/>
      <w:kern w:val="0"/>
      <w:sz w:val="12"/>
      <w:szCs w:val="12"/>
    </w:rPr>
  </w:style>
  <w:style w:type="paragraph" w:customStyle="1" w:styleId="1610">
    <w:name w:val="xl159"/>
    <w:basedOn w:val="1"/>
    <w:autoRedefine/>
    <w:qFormat/>
    <w:uiPriority w:val="0"/>
    <w:pPr>
      <w:widowControl/>
      <w:pBdr>
        <w:right w:val="single" w:color="auto" w:sz="4" w:space="0"/>
      </w:pBdr>
      <w:spacing w:before="100" w:beforeAutospacing="1" w:after="100" w:afterAutospacing="1"/>
      <w:jc w:val="left"/>
    </w:pPr>
    <w:rPr>
      <w:rFonts w:ascii="Arial Unicode MS" w:hAnsi="Arial Unicode MS"/>
      <w:kern w:val="0"/>
    </w:rPr>
  </w:style>
  <w:style w:type="paragraph" w:customStyle="1" w:styleId="1611">
    <w:name w:val="章标题单学凯"/>
    <w:basedOn w:val="3"/>
    <w:autoRedefine/>
    <w:qFormat/>
    <w:uiPriority w:val="0"/>
    <w:pPr>
      <w:keepLines/>
      <w:tabs>
        <w:tab w:val="left" w:pos="425"/>
      </w:tabs>
      <w:overflowPunct/>
      <w:adjustRightInd w:val="0"/>
      <w:spacing w:before="0" w:after="0" w:afterLines="50" w:line="360" w:lineRule="auto"/>
      <w:ind w:left="0" w:firstLine="0"/>
    </w:pPr>
    <w:rPr>
      <w:rFonts w:ascii="黑体" w:hAnsi="黑体" w:eastAsia="宋体"/>
      <w:bCs w:val="0"/>
      <w:color w:val="auto"/>
      <w:kern w:val="0"/>
      <w:sz w:val="32"/>
      <w:szCs w:val="28"/>
      <w:lang w:val="zh-CN"/>
    </w:rPr>
  </w:style>
  <w:style w:type="paragraph" w:customStyle="1" w:styleId="1612">
    <w:name w:val="图例"/>
    <w:next w:val="1"/>
    <w:autoRedefine/>
    <w:qFormat/>
    <w:uiPriority w:val="0"/>
    <w:pPr>
      <w:jc w:val="center"/>
    </w:pPr>
    <w:rPr>
      <w:rFonts w:ascii="Arial" w:hAnsi="Arial" w:eastAsia="宋体" w:cs="Arial"/>
      <w:kern w:val="2"/>
      <w:sz w:val="28"/>
      <w:szCs w:val="28"/>
      <w:lang w:val="en-US" w:eastAsia="zh-CN" w:bidi="ar-SA"/>
    </w:rPr>
  </w:style>
  <w:style w:type="paragraph" w:customStyle="1" w:styleId="1613">
    <w:name w:val="项目符号"/>
    <w:basedOn w:val="1"/>
    <w:autoRedefine/>
    <w:qFormat/>
    <w:uiPriority w:val="0"/>
    <w:pPr>
      <w:tabs>
        <w:tab w:val="left" w:pos="170"/>
        <w:tab w:val="left" w:pos="2040"/>
      </w:tabs>
      <w:overflowPunct w:val="0"/>
      <w:snapToGrid w:val="0"/>
      <w:spacing w:before="120" w:line="480" w:lineRule="exact"/>
      <w:ind w:firstLine="454" w:firstLineChars="200"/>
    </w:pPr>
    <w:rPr>
      <w:rFonts w:ascii="Arial" w:hAnsi="Arial" w:eastAsia="仿宋_GB2312"/>
      <w:sz w:val="28"/>
      <w:szCs w:val="20"/>
    </w:rPr>
  </w:style>
  <w:style w:type="paragraph" w:customStyle="1" w:styleId="1614">
    <w:name w:val="样式 样式 标题 3 + 段前: 0.5 行 段后: 0.5 行 + 段前: 0.5 行 段后: 0.5 行"/>
    <w:basedOn w:val="1"/>
    <w:autoRedefine/>
    <w:qFormat/>
    <w:uiPriority w:val="0"/>
    <w:pPr>
      <w:keepNext/>
      <w:keepLines/>
      <w:adjustRightInd w:val="0"/>
      <w:snapToGrid w:val="0"/>
      <w:spacing w:beforeLines="50" w:afterLines="50" w:line="300" w:lineRule="auto"/>
      <w:ind w:left="180"/>
      <w:jc w:val="left"/>
      <w:outlineLvl w:val="2"/>
    </w:pPr>
    <w:rPr>
      <w:rFonts w:ascii="仿宋_GB2312" w:hAnsi="宋体" w:eastAsia="仿宋_GB2312" w:cs="宋体"/>
      <w:b/>
      <w:sz w:val="30"/>
      <w:szCs w:val="30"/>
    </w:rPr>
  </w:style>
  <w:style w:type="paragraph" w:customStyle="1" w:styleId="1615">
    <w:name w:val="sss"/>
    <w:basedOn w:val="1"/>
    <w:autoRedefine/>
    <w:qFormat/>
    <w:uiPriority w:val="0"/>
    <w:pPr>
      <w:widowControl/>
      <w:tabs>
        <w:tab w:val="left" w:pos="480"/>
        <w:tab w:val="left" w:pos="1128"/>
      </w:tabs>
      <w:autoSpaceDE w:val="0"/>
      <w:autoSpaceDN w:val="0"/>
      <w:adjustRightInd w:val="0"/>
      <w:ind w:left="1128" w:hanging="1128"/>
      <w:jc w:val="left"/>
    </w:pPr>
    <w:rPr>
      <w:rFonts w:ascii="Bookman Old Style" w:hAnsi="Bookman Old Style" w:cs="宋体"/>
      <w:kern w:val="0"/>
      <w:sz w:val="22"/>
    </w:rPr>
  </w:style>
  <w:style w:type="paragraph" w:customStyle="1" w:styleId="1616">
    <w:name w:val="样式 标题 3 + 字距调整二号 行距: 最小值 25 磅"/>
    <w:basedOn w:val="5"/>
    <w:autoRedefine/>
    <w:qFormat/>
    <w:uiPriority w:val="0"/>
    <w:pPr>
      <w:keepLines w:val="0"/>
      <w:tabs>
        <w:tab w:val="left" w:pos="0"/>
        <w:tab w:val="left" w:pos="1418"/>
      </w:tabs>
      <w:spacing w:before="0" w:after="0" w:line="500" w:lineRule="atLeast"/>
    </w:pPr>
    <w:rPr>
      <w:rFonts w:cs="宋体"/>
      <w:b w:val="0"/>
      <w:bCs w:val="0"/>
      <w:kern w:val="44"/>
      <w:sz w:val="28"/>
      <w:szCs w:val="20"/>
      <w:lang w:val="zh-CN"/>
    </w:rPr>
  </w:style>
  <w:style w:type="paragraph" w:customStyle="1" w:styleId="1617">
    <w:name w:val="样式 正文文字 + 楷体_GB2312 四号 首行缩进:  0.93 厘米"/>
    <w:basedOn w:val="33"/>
    <w:autoRedefine/>
    <w:qFormat/>
    <w:uiPriority w:val="0"/>
    <w:pPr>
      <w:tabs>
        <w:tab w:val="left" w:pos="3360"/>
      </w:tabs>
      <w:snapToGrid/>
      <w:spacing w:before="0" w:after="0" w:line="600" w:lineRule="exact"/>
      <w:ind w:right="0" w:firstLine="570"/>
    </w:pPr>
    <w:rPr>
      <w:rFonts w:ascii="宋体" w:hAnsi="宋体"/>
      <w:color w:val="000000"/>
      <w:spacing w:val="-2"/>
      <w:sz w:val="28"/>
      <w:lang w:val="zh-CN"/>
    </w:rPr>
  </w:style>
  <w:style w:type="paragraph" w:customStyle="1" w:styleId="1618">
    <w:name w:val="段落"/>
    <w:basedOn w:val="1"/>
    <w:autoRedefine/>
    <w:qFormat/>
    <w:uiPriority w:val="0"/>
    <w:pPr>
      <w:spacing w:line="360" w:lineRule="auto"/>
      <w:ind w:firstLine="200" w:firstLineChars="200"/>
    </w:pPr>
    <w:rPr>
      <w:sz w:val="24"/>
    </w:rPr>
  </w:style>
  <w:style w:type="paragraph" w:customStyle="1" w:styleId="1619">
    <w:name w:val="默认段落字体 Para Char Char Char1 Char Char Char Char Char Char Char Char Char Char Char Char1"/>
    <w:basedOn w:val="1"/>
    <w:autoRedefine/>
    <w:qFormat/>
    <w:uiPriority w:val="0"/>
    <w:rPr>
      <w:sz w:val="24"/>
    </w:rPr>
  </w:style>
  <w:style w:type="paragraph" w:customStyle="1" w:styleId="1620">
    <w:name w:val="Char12"/>
    <w:basedOn w:val="1"/>
    <w:autoRedefine/>
    <w:qFormat/>
    <w:uiPriority w:val="0"/>
    <w:rPr>
      <w:sz w:val="24"/>
    </w:rPr>
  </w:style>
  <w:style w:type="paragraph" w:customStyle="1" w:styleId="1621">
    <w:name w:val="样式 标题 4 + 黑色 行距: 1.5 倍行距"/>
    <w:basedOn w:val="6"/>
    <w:autoRedefine/>
    <w:qFormat/>
    <w:uiPriority w:val="0"/>
    <w:pPr>
      <w:keepLines/>
      <w:tabs>
        <w:tab w:val="left" w:pos="864"/>
        <w:tab w:val="left" w:pos="1984"/>
      </w:tabs>
      <w:adjustRightInd w:val="0"/>
      <w:snapToGrid w:val="0"/>
      <w:spacing w:line="360" w:lineRule="auto"/>
      <w:ind w:left="709" w:right="0" w:hanging="709"/>
      <w:jc w:val="both"/>
      <w:textAlignment w:val="baseline"/>
    </w:pPr>
    <w:rPr>
      <w:rFonts w:eastAsia="宋体" w:cs="宋体"/>
      <w:b/>
      <w:bCs/>
      <w:color w:val="000000"/>
      <w:kern w:val="0"/>
      <w:sz w:val="24"/>
      <w:szCs w:val="20"/>
      <w:lang w:val="zh-CN"/>
    </w:rPr>
  </w:style>
  <w:style w:type="paragraph" w:customStyle="1" w:styleId="1622">
    <w:name w:val="xl2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kern w:val="0"/>
      <w:szCs w:val="21"/>
    </w:rPr>
  </w:style>
  <w:style w:type="paragraph" w:customStyle="1" w:styleId="1623">
    <w:name w:val="Char Char Char1 Char Char Char1 Char Char Char1 Char Char Char 字元 字元 Char Char 字元 字元 字元 字元 字元"/>
    <w:basedOn w:val="1"/>
    <w:autoRedefine/>
    <w:qFormat/>
    <w:uiPriority w:val="0"/>
    <w:pPr>
      <w:spacing w:line="400" w:lineRule="exact"/>
      <w:ind w:firstLine="200" w:firstLineChars="200"/>
    </w:pPr>
    <w:rPr>
      <w:sz w:val="28"/>
      <w:szCs w:val="28"/>
    </w:rPr>
  </w:style>
  <w:style w:type="paragraph" w:customStyle="1" w:styleId="1624">
    <w:name w:val="Char Char Char1 Char Char Char Char Char Char Char4"/>
    <w:basedOn w:val="1"/>
    <w:autoRedefine/>
    <w:qFormat/>
    <w:uiPriority w:val="0"/>
    <w:rPr>
      <w:rFonts w:ascii="Tahoma" w:hAnsi="Tahoma"/>
      <w:sz w:val="24"/>
      <w:szCs w:val="20"/>
    </w:rPr>
  </w:style>
  <w:style w:type="paragraph" w:customStyle="1" w:styleId="1625">
    <w:name w:val="CM42"/>
    <w:basedOn w:val="143"/>
    <w:next w:val="143"/>
    <w:autoRedefine/>
    <w:qFormat/>
    <w:uiPriority w:val="0"/>
    <w:rPr>
      <w:rFonts w:ascii="楷体_GB2312" w:hAnsi="Times New Roman" w:eastAsia="楷体_GB2312" w:cs="Times New Roman"/>
      <w:color w:val="auto"/>
    </w:rPr>
  </w:style>
  <w:style w:type="paragraph" w:customStyle="1" w:styleId="1626">
    <w:name w:val="1级标题"/>
    <w:basedOn w:val="1"/>
    <w:autoRedefine/>
    <w:qFormat/>
    <w:uiPriority w:val="0"/>
    <w:pPr>
      <w:adjustRightInd w:val="0"/>
      <w:snapToGrid w:val="0"/>
      <w:spacing w:line="360" w:lineRule="auto"/>
      <w:jc w:val="center"/>
    </w:pPr>
    <w:rPr>
      <w:rFonts w:ascii="Arial" w:hAnsi="Arial" w:eastAsia="幼圆"/>
      <w:b/>
      <w:sz w:val="44"/>
      <w:szCs w:val="20"/>
    </w:rPr>
  </w:style>
  <w:style w:type="paragraph" w:customStyle="1" w:styleId="1627">
    <w:name w:val="Char Char Char1 Char Char Char Char Char Char Char8"/>
    <w:basedOn w:val="1"/>
    <w:autoRedefine/>
    <w:qFormat/>
    <w:uiPriority w:val="0"/>
    <w:rPr>
      <w:rFonts w:ascii="Tahoma" w:hAnsi="Tahoma"/>
      <w:sz w:val="24"/>
      <w:szCs w:val="20"/>
    </w:rPr>
  </w:style>
  <w:style w:type="paragraph" w:customStyle="1" w:styleId="1628">
    <w:name w:val="Char Char Char Char Char Char1 Char"/>
    <w:basedOn w:val="1"/>
    <w:autoRedefine/>
    <w:qFormat/>
    <w:uiPriority w:val="0"/>
  </w:style>
  <w:style w:type="paragraph" w:customStyle="1" w:styleId="1629">
    <w:name w:val="表格03"/>
    <w:basedOn w:val="1"/>
    <w:autoRedefine/>
    <w:qFormat/>
    <w:uiPriority w:val="0"/>
    <w:pPr>
      <w:spacing w:line="400" w:lineRule="exact"/>
      <w:jc w:val="center"/>
    </w:pPr>
    <w:rPr>
      <w:szCs w:val="20"/>
    </w:rPr>
  </w:style>
  <w:style w:type="paragraph" w:customStyle="1" w:styleId="1630">
    <w:name w:val="xl64"/>
    <w:basedOn w:val="1"/>
    <w:autoRedefine/>
    <w:qFormat/>
    <w:uiPriority w:val="0"/>
    <w:pPr>
      <w:widowControl/>
      <w:pBdr>
        <w:left w:val="single" w:color="auto" w:sz="4" w:space="0"/>
        <w:bottom w:val="single" w:color="auto" w:sz="12" w:space="0"/>
      </w:pBdr>
      <w:spacing w:before="100" w:beforeAutospacing="1" w:after="100" w:afterAutospacing="1"/>
      <w:jc w:val="center"/>
    </w:pPr>
    <w:rPr>
      <w:rFonts w:ascii="Arial Unicode MS" w:hAnsi="Arial Unicode MS"/>
      <w:kern w:val="0"/>
      <w:sz w:val="12"/>
      <w:szCs w:val="12"/>
    </w:rPr>
  </w:style>
  <w:style w:type="paragraph" w:customStyle="1" w:styleId="1631">
    <w:name w:val="公式样式1"/>
    <w:basedOn w:val="1"/>
    <w:autoRedefine/>
    <w:qFormat/>
    <w:uiPriority w:val="0"/>
    <w:pPr>
      <w:adjustRightInd w:val="0"/>
      <w:snapToGrid w:val="0"/>
      <w:spacing w:line="360" w:lineRule="auto"/>
    </w:pPr>
    <w:rPr>
      <w:rFonts w:ascii="仿宋_GB2312" w:eastAsia="仿宋_GB2312"/>
      <w:smallCaps/>
      <w:color w:val="000000"/>
      <w:szCs w:val="21"/>
    </w:rPr>
  </w:style>
  <w:style w:type="paragraph" w:customStyle="1" w:styleId="1632">
    <w:name w:val="InstÀÀll5"/>
    <w:autoRedefine/>
    <w:qFormat/>
    <w:uiPriority w:val="0"/>
    <w:pPr>
      <w:tabs>
        <w:tab w:val="left" w:pos="-720"/>
      </w:tabs>
      <w:suppressAutoHyphens/>
      <w:jc w:val="both"/>
    </w:pPr>
    <w:rPr>
      <w:rFonts w:ascii="Courier" w:hAnsi="Courier" w:eastAsia="宋体" w:cs="Times New Roman"/>
      <w:spacing w:val="-3"/>
      <w:sz w:val="24"/>
      <w:lang w:val="en-US" w:eastAsia="sv-SE" w:bidi="ar-SA"/>
    </w:rPr>
  </w:style>
  <w:style w:type="paragraph" w:customStyle="1" w:styleId="1633">
    <w:name w:val="Char Char Char Char Char Char Char Char Char Char Char Char Char Char Char Char Char Char Char Char Char Char Char Char Char Char Char Char Char Char Char Char Char Char Char Char"/>
    <w:basedOn w:val="1"/>
    <w:autoRedefine/>
    <w:qFormat/>
    <w:uiPriority w:val="0"/>
    <w:rPr>
      <w:sz w:val="24"/>
    </w:rPr>
  </w:style>
  <w:style w:type="paragraph" w:customStyle="1" w:styleId="1634">
    <w:name w:val="xl178"/>
    <w:basedOn w:val="1"/>
    <w:autoRedefine/>
    <w:qFormat/>
    <w:uiPriority w:val="0"/>
    <w:pPr>
      <w:widowControl/>
      <w:spacing w:before="100" w:beforeAutospacing="1" w:after="100" w:afterAutospacing="1"/>
      <w:jc w:val="center"/>
    </w:pPr>
    <w:rPr>
      <w:rFonts w:ascii="Arial Unicode MS" w:hAnsi="Arial Unicode MS"/>
      <w:kern w:val="0"/>
      <w:sz w:val="12"/>
      <w:szCs w:val="12"/>
    </w:rPr>
  </w:style>
  <w:style w:type="paragraph" w:customStyle="1" w:styleId="1635">
    <w:name w:val="Char Char Char Char5"/>
    <w:basedOn w:val="1"/>
    <w:autoRedefine/>
    <w:qFormat/>
    <w:uiPriority w:val="0"/>
    <w:pPr>
      <w:tabs>
        <w:tab w:val="left" w:pos="720"/>
        <w:tab w:val="left" w:pos="916"/>
      </w:tabs>
    </w:pPr>
    <w:rPr>
      <w:sz w:val="24"/>
    </w:rPr>
  </w:style>
  <w:style w:type="paragraph" w:customStyle="1" w:styleId="1636">
    <w:name w:val="Char Char Char Char8"/>
    <w:basedOn w:val="1"/>
    <w:autoRedefine/>
    <w:qFormat/>
    <w:uiPriority w:val="0"/>
    <w:rPr>
      <w:sz w:val="24"/>
    </w:rPr>
  </w:style>
  <w:style w:type="paragraph" w:customStyle="1" w:styleId="1637">
    <w:name w:val="表格正文"/>
    <w:link w:val="1638"/>
    <w:autoRedefine/>
    <w:qFormat/>
    <w:uiPriority w:val="0"/>
    <w:pPr>
      <w:widowControl w:val="0"/>
      <w:spacing w:line="320" w:lineRule="exact"/>
      <w:jc w:val="center"/>
    </w:pPr>
    <w:rPr>
      <w:rFonts w:ascii="宋体" w:hAnsi="宋体" w:eastAsia="宋体" w:cs="Times New Roman"/>
      <w:kern w:val="2"/>
      <w:sz w:val="21"/>
      <w:szCs w:val="24"/>
      <w:lang w:val="en-US" w:eastAsia="zh-CN" w:bidi="ar-SA"/>
    </w:rPr>
  </w:style>
  <w:style w:type="character" w:customStyle="1" w:styleId="1638">
    <w:name w:val="表格正文 Char Char"/>
    <w:link w:val="1637"/>
    <w:autoRedefine/>
    <w:qFormat/>
    <w:locked/>
    <w:uiPriority w:val="0"/>
    <w:rPr>
      <w:rFonts w:ascii="宋体" w:hAnsi="宋体"/>
      <w:kern w:val="2"/>
      <w:sz w:val="21"/>
      <w:szCs w:val="24"/>
    </w:rPr>
  </w:style>
  <w:style w:type="paragraph" w:customStyle="1" w:styleId="1639">
    <w:name w:val="五级条标题"/>
    <w:basedOn w:val="1640"/>
    <w:next w:val="1"/>
    <w:autoRedefine/>
    <w:qFormat/>
    <w:uiPriority w:val="0"/>
    <w:pPr>
      <w:tabs>
        <w:tab w:val="left" w:pos="360"/>
        <w:tab w:val="left" w:pos="780"/>
      </w:tabs>
      <w:outlineLvl w:val="6"/>
    </w:pPr>
  </w:style>
  <w:style w:type="paragraph" w:customStyle="1" w:styleId="1640">
    <w:name w:val="四级条标题"/>
    <w:basedOn w:val="1419"/>
    <w:next w:val="1"/>
    <w:autoRedefine/>
    <w:qFormat/>
    <w:uiPriority w:val="0"/>
    <w:pPr>
      <w:outlineLvl w:val="5"/>
    </w:pPr>
  </w:style>
  <w:style w:type="paragraph" w:customStyle="1" w:styleId="1641">
    <w:name w:val="Char Char6 Char Char"/>
    <w:basedOn w:val="1"/>
    <w:autoRedefine/>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1642">
    <w:name w:val="样式 正文缩进正文（首行缩进两字）正文（首行缩进两字） Char Char Char Char Char Char Char..."/>
    <w:basedOn w:val="12"/>
    <w:autoRedefine/>
    <w:qFormat/>
    <w:uiPriority w:val="0"/>
    <w:pPr>
      <w:tabs>
        <w:tab w:val="left" w:pos="3360"/>
      </w:tabs>
      <w:adjustRightInd w:val="0"/>
      <w:snapToGrid w:val="0"/>
      <w:spacing w:line="360" w:lineRule="auto"/>
      <w:ind w:firstLine="480"/>
      <w:textAlignment w:val="baseline"/>
    </w:pPr>
    <w:rPr>
      <w:rFonts w:ascii="楷体_GB2312" w:eastAsia="楷体_GB2312"/>
      <w:kern w:val="0"/>
      <w:sz w:val="24"/>
      <w:lang w:val="zh-CN"/>
    </w:rPr>
  </w:style>
  <w:style w:type="paragraph" w:customStyle="1" w:styleId="1643">
    <w:name w:val="样式 标题 31.1.1标题 3 + Times New Roman 自动设置 段前: 0.2 行 段后: 0.2 行"/>
    <w:basedOn w:val="5"/>
    <w:autoRedefine/>
    <w:qFormat/>
    <w:uiPriority w:val="0"/>
    <w:pPr>
      <w:tabs>
        <w:tab w:val="left" w:pos="1418"/>
      </w:tabs>
      <w:autoSpaceDE w:val="0"/>
      <w:autoSpaceDN w:val="0"/>
      <w:adjustRightInd w:val="0"/>
      <w:spacing w:beforeLines="20" w:afterLines="20" w:line="360" w:lineRule="auto"/>
      <w:jc w:val="left"/>
    </w:pPr>
    <w:rPr>
      <w:bCs w:val="0"/>
      <w:kern w:val="0"/>
      <w:sz w:val="24"/>
      <w:szCs w:val="20"/>
      <w:lang w:val="zh-CN"/>
    </w:rPr>
  </w:style>
  <w:style w:type="paragraph" w:customStyle="1" w:styleId="1644">
    <w:name w:val="列表段落3"/>
    <w:basedOn w:val="1"/>
    <w:autoRedefine/>
    <w:qFormat/>
    <w:uiPriority w:val="0"/>
    <w:pPr>
      <w:ind w:firstLine="420" w:firstLineChars="200"/>
    </w:pPr>
    <w:rPr>
      <w:rFonts w:ascii="Calibri" w:hAnsi="Calibri"/>
      <w:szCs w:val="22"/>
    </w:rPr>
  </w:style>
  <w:style w:type="paragraph" w:customStyle="1" w:styleId="1645">
    <w:name w:val="Body Text First Indent3"/>
    <w:basedOn w:val="33"/>
    <w:autoRedefine/>
    <w:qFormat/>
    <w:uiPriority w:val="0"/>
    <w:pPr>
      <w:widowControl w:val="0"/>
      <w:adjustRightInd w:val="0"/>
      <w:snapToGrid/>
      <w:spacing w:before="0" w:after="0" w:line="312" w:lineRule="auto"/>
      <w:ind w:right="0" w:firstLine="567"/>
      <w:textAlignment w:val="baseline"/>
    </w:pPr>
    <w:rPr>
      <w:sz w:val="28"/>
      <w:lang w:val="zh-CN"/>
    </w:rPr>
  </w:style>
  <w:style w:type="paragraph" w:customStyle="1" w:styleId="1646">
    <w:name w:val="Char Char Char Char25"/>
    <w:basedOn w:val="1"/>
    <w:autoRedefine/>
    <w:qFormat/>
    <w:uiPriority w:val="0"/>
    <w:rPr>
      <w:sz w:val="24"/>
    </w:rPr>
  </w:style>
  <w:style w:type="paragraph" w:customStyle="1" w:styleId="1647">
    <w:name w:val="xl158"/>
    <w:basedOn w:val="1"/>
    <w:autoRedefine/>
    <w:qFormat/>
    <w:uiPriority w:val="0"/>
    <w:pPr>
      <w:widowControl/>
      <w:pBdr>
        <w:bottom w:val="single" w:color="auto" w:sz="8" w:space="0"/>
        <w:right w:val="single" w:color="auto" w:sz="4" w:space="0"/>
      </w:pBdr>
      <w:spacing w:before="100" w:beforeAutospacing="1" w:after="100" w:afterAutospacing="1"/>
      <w:jc w:val="left"/>
    </w:pPr>
    <w:rPr>
      <w:rFonts w:ascii="Arial Unicode MS" w:hAnsi="Arial Unicode MS"/>
      <w:kern w:val="0"/>
      <w:sz w:val="16"/>
      <w:szCs w:val="16"/>
    </w:rPr>
  </w:style>
  <w:style w:type="paragraph" w:customStyle="1" w:styleId="1648">
    <w:name w:val="目录"/>
    <w:autoRedefine/>
    <w:qFormat/>
    <w:uiPriority w:val="0"/>
    <w:pPr>
      <w:jc w:val="center"/>
      <w:outlineLvl w:val="0"/>
    </w:pPr>
    <w:rPr>
      <w:rFonts w:ascii="宋体" w:hAnsi="Times New Roman" w:eastAsia="宋体" w:cs="Times New Roman"/>
      <w:color w:val="FF0000"/>
      <w:sz w:val="32"/>
      <w:lang w:val="en-US" w:eastAsia="zh-CN" w:bidi="ar-SA"/>
    </w:rPr>
  </w:style>
  <w:style w:type="paragraph" w:customStyle="1" w:styleId="1649">
    <w:name w:val="封面单位"/>
    <w:basedOn w:val="1"/>
    <w:autoRedefine/>
    <w:qFormat/>
    <w:uiPriority w:val="0"/>
    <w:pPr>
      <w:tabs>
        <w:tab w:val="right" w:leader="middleDot" w:pos="8222"/>
      </w:tabs>
      <w:spacing w:line="360" w:lineRule="auto"/>
      <w:jc w:val="center"/>
    </w:pPr>
    <w:rPr>
      <w:rFonts w:ascii="楷体_GB2312" w:eastAsia="楷体_GB2312"/>
      <w:b/>
      <w:sz w:val="36"/>
    </w:rPr>
  </w:style>
  <w:style w:type="paragraph" w:customStyle="1" w:styleId="1650">
    <w:name w:val="样式 标题 2"/>
    <w:basedOn w:val="5"/>
    <w:autoRedefine/>
    <w:qFormat/>
    <w:uiPriority w:val="0"/>
    <w:pPr>
      <w:spacing w:before="0" w:after="0" w:line="360" w:lineRule="auto"/>
      <w:ind w:left="140"/>
    </w:pPr>
    <w:rPr>
      <w:rFonts w:ascii="仿宋_GB2312" w:hAnsi="仿宋_GB2312" w:eastAsia="仿宋_GB2312"/>
      <w:b w:val="0"/>
      <w:bCs w:val="0"/>
      <w:kern w:val="21"/>
      <w:sz w:val="28"/>
      <w:szCs w:val="20"/>
      <w:lang w:val="zh-CN"/>
    </w:rPr>
  </w:style>
  <w:style w:type="paragraph" w:customStyle="1" w:styleId="1651">
    <w:name w:val="xl108"/>
    <w:basedOn w:val="1"/>
    <w:autoRedefine/>
    <w:qFormat/>
    <w:uiPriority w:val="0"/>
    <w:pPr>
      <w:widowControl/>
      <w:pBdr>
        <w:bottom w:val="single" w:color="auto" w:sz="8" w:space="0"/>
      </w:pBdr>
      <w:spacing w:before="100" w:beforeAutospacing="1" w:after="100" w:afterAutospacing="1"/>
      <w:jc w:val="center"/>
    </w:pPr>
    <w:rPr>
      <w:rFonts w:ascii="Arial Unicode MS" w:hAnsi="Arial Unicode MS"/>
      <w:kern w:val="0"/>
      <w:sz w:val="12"/>
      <w:szCs w:val="12"/>
    </w:rPr>
  </w:style>
  <w:style w:type="paragraph" w:customStyle="1" w:styleId="1652">
    <w:name w:val="font8"/>
    <w:basedOn w:val="1"/>
    <w:autoRedefine/>
    <w:qFormat/>
    <w:uiPriority w:val="0"/>
    <w:pPr>
      <w:widowControl/>
      <w:spacing w:before="100" w:beforeAutospacing="1" w:after="100" w:afterAutospacing="1"/>
      <w:jc w:val="left"/>
    </w:pPr>
    <w:rPr>
      <w:rFonts w:eastAsia="Arial Unicode MS"/>
      <w:kern w:val="0"/>
      <w:szCs w:val="21"/>
    </w:rPr>
  </w:style>
  <w:style w:type="paragraph" w:customStyle="1" w:styleId="1653">
    <w:name w:val="源程序"/>
    <w:autoRedefine/>
    <w:qFormat/>
    <w:uiPriority w:val="0"/>
    <w:pPr>
      <w:widowControl w:val="0"/>
      <w:kinsoku w:val="0"/>
      <w:wordWrap w:val="0"/>
      <w:overflowPunct w:val="0"/>
      <w:autoSpaceDE w:val="0"/>
      <w:autoSpaceDN w:val="0"/>
      <w:adjustRightInd w:val="0"/>
      <w:ind w:left="482"/>
    </w:pPr>
    <w:rPr>
      <w:rFonts w:ascii="Courier New" w:hAnsi="Courier New" w:eastAsia="仿宋_GB2312" w:cs="Times New Roman"/>
      <w:sz w:val="24"/>
      <w:lang w:val="en-US" w:eastAsia="zh-CN" w:bidi="ar-SA"/>
    </w:rPr>
  </w:style>
  <w:style w:type="paragraph" w:customStyle="1" w:styleId="1654">
    <w:name w:val="Char1 Char Char Char Char Char Char8"/>
    <w:basedOn w:val="1"/>
    <w:autoRedefine/>
    <w:qFormat/>
    <w:uiPriority w:val="0"/>
    <w:pPr>
      <w:spacing w:line="360" w:lineRule="auto"/>
      <w:ind w:firstLine="200" w:firstLineChars="200"/>
    </w:pPr>
    <w:rPr>
      <w:rFonts w:ascii="宋体" w:hAnsi="宋体" w:cs="宋体"/>
      <w:sz w:val="24"/>
    </w:rPr>
  </w:style>
  <w:style w:type="paragraph" w:customStyle="1" w:styleId="1655">
    <w:name w:val="xl145"/>
    <w:basedOn w:val="1"/>
    <w:autoRedefine/>
    <w:qFormat/>
    <w:uiPriority w:val="0"/>
    <w:pPr>
      <w:widowControl/>
      <w:spacing w:before="100" w:beforeAutospacing="1" w:after="100" w:afterAutospacing="1"/>
      <w:jc w:val="left"/>
    </w:pPr>
    <w:rPr>
      <w:rFonts w:ascii="Arial Unicode MS" w:hAnsi="Arial Unicode MS"/>
      <w:kern w:val="0"/>
      <w:sz w:val="16"/>
      <w:szCs w:val="16"/>
    </w:rPr>
  </w:style>
  <w:style w:type="paragraph" w:customStyle="1" w:styleId="1656">
    <w:name w:val="Char2"/>
    <w:basedOn w:val="1"/>
    <w:autoRedefine/>
    <w:qFormat/>
    <w:uiPriority w:val="0"/>
    <w:pPr>
      <w:spacing w:line="240" w:lineRule="exact"/>
      <w:ind w:firstLine="200" w:firstLineChars="200"/>
    </w:pPr>
    <w:rPr>
      <w:sz w:val="28"/>
      <w:szCs w:val="28"/>
    </w:rPr>
  </w:style>
  <w:style w:type="paragraph" w:customStyle="1" w:styleId="1657">
    <w:name w:val="head"/>
    <w:basedOn w:val="1"/>
    <w:next w:val="1"/>
    <w:autoRedefine/>
    <w:qFormat/>
    <w:uiPriority w:val="0"/>
    <w:pPr>
      <w:keepNext/>
      <w:keepLines/>
      <w:adjustRightInd w:val="0"/>
      <w:snapToGrid w:val="0"/>
      <w:spacing w:before="260" w:after="260" w:line="312" w:lineRule="auto"/>
      <w:jc w:val="left"/>
      <w:outlineLvl w:val="2"/>
    </w:pPr>
    <w:rPr>
      <w:rFonts w:ascii="仿宋_GB2312" w:eastAsia="仿宋_GB2312"/>
      <w:sz w:val="28"/>
      <w:szCs w:val="20"/>
    </w:rPr>
  </w:style>
  <w:style w:type="paragraph" w:customStyle="1" w:styleId="1658">
    <w:name w:val="样式 宋体 小四 行距: 固定值 25 磅"/>
    <w:basedOn w:val="1"/>
    <w:autoRedefine/>
    <w:qFormat/>
    <w:uiPriority w:val="0"/>
    <w:pPr>
      <w:spacing w:line="500" w:lineRule="exact"/>
      <w:ind w:firstLine="480" w:firstLineChars="200"/>
    </w:pPr>
    <w:rPr>
      <w:rFonts w:ascii="宋体" w:hAnsi="宋体" w:eastAsia="仿宋_GB2312"/>
      <w:bCs/>
      <w:sz w:val="24"/>
      <w:szCs w:val="20"/>
      <w:lang w:val="zh-CN"/>
    </w:rPr>
  </w:style>
  <w:style w:type="paragraph" w:customStyle="1" w:styleId="1659">
    <w:name w:val="宏福正文-2"/>
    <w:basedOn w:val="1181"/>
    <w:autoRedefine/>
    <w:qFormat/>
    <w:uiPriority w:val="0"/>
    <w:pPr>
      <w:snapToGrid w:val="0"/>
      <w:spacing w:before="240" w:after="0" w:line="400" w:lineRule="atLeast"/>
      <w:ind w:firstLine="567" w:firstLineChars="0"/>
    </w:pPr>
    <w:rPr>
      <w:rFonts w:ascii="仿宋_GB2312" w:cs="宋体"/>
      <w:kern w:val="2"/>
      <w:sz w:val="28"/>
      <w:szCs w:val="24"/>
    </w:rPr>
  </w:style>
  <w:style w:type="paragraph" w:customStyle="1" w:styleId="1660">
    <w:name w:val="Char26"/>
    <w:basedOn w:val="1"/>
    <w:autoRedefine/>
    <w:qFormat/>
    <w:uiPriority w:val="0"/>
    <w:rPr>
      <w:sz w:val="24"/>
    </w:rPr>
  </w:style>
  <w:style w:type="paragraph" w:customStyle="1" w:styleId="1661">
    <w:name w:val="xl2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textAlignment w:val="top"/>
    </w:pPr>
    <w:rPr>
      <w:kern w:val="0"/>
      <w:sz w:val="18"/>
      <w:szCs w:val="18"/>
    </w:rPr>
  </w:style>
  <w:style w:type="paragraph" w:customStyle="1" w:styleId="1662">
    <w:name w:val="xl95"/>
    <w:basedOn w:val="1"/>
    <w:autoRedefine/>
    <w:qFormat/>
    <w:uiPriority w:val="0"/>
    <w:pPr>
      <w:widowControl/>
      <w:spacing w:before="100" w:beforeAutospacing="1" w:after="100" w:afterAutospacing="1"/>
      <w:jc w:val="right"/>
    </w:pPr>
    <w:rPr>
      <w:rFonts w:ascii="Arial Unicode MS" w:hAnsi="Arial Unicode MS"/>
      <w:kern w:val="0"/>
      <w:sz w:val="12"/>
      <w:szCs w:val="12"/>
    </w:rPr>
  </w:style>
  <w:style w:type="paragraph" w:customStyle="1" w:styleId="1663">
    <w:name w:val="font0"/>
    <w:basedOn w:val="1"/>
    <w:autoRedefine/>
    <w:qFormat/>
    <w:uiPriority w:val="0"/>
    <w:pPr>
      <w:widowControl/>
      <w:spacing w:before="100" w:beforeAutospacing="1" w:after="100" w:afterAutospacing="1"/>
      <w:jc w:val="left"/>
    </w:pPr>
    <w:rPr>
      <w:rFonts w:ascii="宋体" w:hAnsi="宋体"/>
      <w:kern w:val="0"/>
    </w:rPr>
  </w:style>
  <w:style w:type="paragraph" w:customStyle="1" w:styleId="1664">
    <w:name w:val="xl165"/>
    <w:basedOn w:val="1"/>
    <w:autoRedefine/>
    <w:qFormat/>
    <w:uiPriority w:val="0"/>
    <w:pPr>
      <w:widowControl/>
      <w:pBdr>
        <w:top w:val="single" w:color="auto" w:sz="12" w:space="0"/>
        <w:right w:val="single" w:color="auto" w:sz="4" w:space="0"/>
      </w:pBdr>
      <w:spacing w:before="100" w:beforeAutospacing="1" w:after="100" w:afterAutospacing="1"/>
      <w:jc w:val="center"/>
    </w:pPr>
    <w:rPr>
      <w:rFonts w:ascii="Arial Unicode MS" w:hAnsi="Arial Unicode MS"/>
      <w:kern w:val="0"/>
    </w:rPr>
  </w:style>
  <w:style w:type="paragraph" w:customStyle="1" w:styleId="1665">
    <w:name w:val="Char Char Char1 Char"/>
    <w:basedOn w:val="4"/>
    <w:autoRedefine/>
    <w:qFormat/>
    <w:uiPriority w:val="0"/>
    <w:pPr>
      <w:keepNext w:val="0"/>
      <w:keepLines w:val="0"/>
      <w:widowControl/>
      <w:numPr>
        <w:ilvl w:val="3"/>
        <w:numId w:val="6"/>
      </w:numPr>
      <w:tabs>
        <w:tab w:val="clear" w:pos="1375"/>
      </w:tabs>
      <w:spacing w:before="0" w:after="0" w:line="520" w:lineRule="exact"/>
      <w:ind w:left="0"/>
    </w:pPr>
    <w:rPr>
      <w:rFonts w:ascii="Times New Roman" w:hAnsi="Times New Roman"/>
      <w:kern w:val="0"/>
      <w:sz w:val="28"/>
      <w:szCs w:val="28"/>
      <w:lang w:val="zh-CN"/>
    </w:rPr>
  </w:style>
  <w:style w:type="paragraph" w:customStyle="1" w:styleId="1666">
    <w:name w:val="列表4"/>
    <w:basedOn w:val="1"/>
    <w:next w:val="1"/>
    <w:autoRedefine/>
    <w:qFormat/>
    <w:uiPriority w:val="0"/>
    <w:pPr>
      <w:spacing w:line="360" w:lineRule="atLeast"/>
    </w:pPr>
    <w:rPr>
      <w:spacing w:val="5"/>
      <w:sz w:val="24"/>
      <w:szCs w:val="20"/>
    </w:rPr>
  </w:style>
  <w:style w:type="paragraph" w:customStyle="1" w:styleId="1667">
    <w:name w:val="xl102"/>
    <w:basedOn w:val="1"/>
    <w:autoRedefine/>
    <w:qFormat/>
    <w:uiPriority w:val="0"/>
    <w:pPr>
      <w:widowControl/>
      <w:pBdr>
        <w:left w:val="single" w:color="auto" w:sz="4" w:space="0"/>
        <w:bottom w:val="single" w:color="auto" w:sz="12" w:space="0"/>
        <w:right w:val="single" w:color="auto" w:sz="12" w:space="0"/>
      </w:pBdr>
      <w:spacing w:before="100" w:beforeAutospacing="1" w:after="100" w:afterAutospacing="1"/>
      <w:jc w:val="center"/>
    </w:pPr>
    <w:rPr>
      <w:kern w:val="0"/>
      <w:sz w:val="12"/>
      <w:szCs w:val="12"/>
    </w:rPr>
  </w:style>
  <w:style w:type="paragraph" w:customStyle="1" w:styleId="1668">
    <w:name w:val="Char Char Char Char Char Char Char Char Char Char Char Char Char Char Char Char1"/>
    <w:basedOn w:val="1"/>
    <w:autoRedefine/>
    <w:qFormat/>
    <w:uiPriority w:val="0"/>
    <w:rPr>
      <w:rFonts w:cs="宋体"/>
      <w:bCs/>
      <w:color w:val="000000"/>
      <w:szCs w:val="28"/>
    </w:rPr>
  </w:style>
  <w:style w:type="paragraph" w:customStyle="1" w:styleId="1669">
    <w:name w:val="三级标题"/>
    <w:autoRedefine/>
    <w:qFormat/>
    <w:uiPriority w:val="0"/>
    <w:pPr>
      <w:spacing w:line="360" w:lineRule="auto"/>
      <w:jc w:val="center"/>
    </w:pPr>
    <w:rPr>
      <w:rFonts w:ascii="Times New Roman" w:hAnsi="Times New Roman" w:eastAsia="黑体" w:cs="Times New Roman"/>
      <w:b/>
      <w:spacing w:val="60"/>
      <w:kern w:val="44"/>
      <w:sz w:val="44"/>
      <w:lang w:val="en-US" w:eastAsia="zh-CN" w:bidi="ar-SA"/>
    </w:rPr>
  </w:style>
  <w:style w:type="paragraph" w:customStyle="1" w:styleId="1670">
    <w:name w:val="样式 五号 居中"/>
    <w:basedOn w:val="1"/>
    <w:autoRedefine/>
    <w:qFormat/>
    <w:uiPriority w:val="0"/>
    <w:pPr>
      <w:jc w:val="center"/>
    </w:pPr>
    <w:rPr>
      <w:rFonts w:ascii="宋体" w:hAnsi="宋体" w:cs="宋体"/>
      <w:kern w:val="0"/>
      <w:szCs w:val="21"/>
    </w:rPr>
  </w:style>
  <w:style w:type="paragraph" w:customStyle="1" w:styleId="1671">
    <w:name w:val="标题002"/>
    <w:basedOn w:val="1"/>
    <w:autoRedefine/>
    <w:qFormat/>
    <w:uiPriority w:val="0"/>
    <w:pPr>
      <w:spacing w:before="160" w:line="480" w:lineRule="exact"/>
      <w:outlineLvl w:val="1"/>
    </w:pPr>
    <w:rPr>
      <w:b/>
      <w:sz w:val="28"/>
      <w:szCs w:val="20"/>
    </w:rPr>
  </w:style>
  <w:style w:type="paragraph" w:customStyle="1" w:styleId="1672">
    <w:name w:val="Char Char1 Char Char Char Char Char Char Char Char Char Char Char Char Char Char Char Char Char Char Char Char1 Char2"/>
    <w:basedOn w:val="1"/>
    <w:autoRedefine/>
    <w:qFormat/>
    <w:uiPriority w:val="0"/>
    <w:pPr>
      <w:spacing w:before="60" w:line="360" w:lineRule="auto"/>
      <w:ind w:firstLine="200" w:firstLineChars="200"/>
    </w:pPr>
    <w:rPr>
      <w:rFonts w:ascii="宋体" w:hAnsi="宋体" w:cs="宋体"/>
      <w:sz w:val="24"/>
    </w:rPr>
  </w:style>
  <w:style w:type="paragraph" w:customStyle="1" w:styleId="1673">
    <w:name w:val="char"/>
    <w:basedOn w:val="1"/>
    <w:autoRedefine/>
    <w:qFormat/>
    <w:uiPriority w:val="0"/>
    <w:pPr>
      <w:widowControl/>
      <w:spacing w:after="160" w:line="240" w:lineRule="exact"/>
      <w:jc w:val="left"/>
    </w:pPr>
    <w:rPr>
      <w:rFonts w:ascii="Verdana" w:hAnsi="Verdana" w:eastAsia="仿宋_GB2312" w:cs="”“Times New Roman”“"/>
      <w:kern w:val="0"/>
      <w:sz w:val="24"/>
      <w:szCs w:val="20"/>
      <w:lang w:eastAsia="en-US"/>
    </w:rPr>
  </w:style>
  <w:style w:type="paragraph" w:customStyle="1" w:styleId="1674">
    <w:name w:val="Char Char Char1 Char131"/>
    <w:basedOn w:val="4"/>
    <w:autoRedefine/>
    <w:qFormat/>
    <w:uiPriority w:val="0"/>
    <w:pPr>
      <w:keepNext w:val="0"/>
      <w:keepLines w:val="0"/>
      <w:widowControl/>
      <w:tabs>
        <w:tab w:val="left" w:pos="780"/>
        <w:tab w:val="left" w:pos="1419"/>
      </w:tabs>
      <w:spacing w:before="156" w:after="0" w:line="520" w:lineRule="exact"/>
      <w:ind w:left="780" w:hanging="360"/>
    </w:pPr>
    <w:rPr>
      <w:rFonts w:ascii="Times New Roman" w:hAnsi="Times New Roman" w:cs="Arial"/>
      <w:bCs w:val="0"/>
      <w:kern w:val="0"/>
      <w:sz w:val="28"/>
      <w:szCs w:val="28"/>
      <w:lang w:val="zh-CN"/>
    </w:rPr>
  </w:style>
  <w:style w:type="paragraph" w:customStyle="1" w:styleId="1675">
    <w:name w:val="xl129"/>
    <w:basedOn w:val="1"/>
    <w:autoRedefine/>
    <w:qFormat/>
    <w:uiPriority w:val="0"/>
    <w:pPr>
      <w:widowControl/>
      <w:pBdr>
        <w:right w:val="single" w:color="auto" w:sz="8" w:space="0"/>
      </w:pBdr>
      <w:spacing w:before="100" w:beforeAutospacing="1" w:after="100" w:afterAutospacing="1"/>
      <w:jc w:val="center"/>
    </w:pPr>
    <w:rPr>
      <w:rFonts w:ascii="Arial Unicode MS" w:hAnsi="Arial Unicode MS"/>
      <w:kern w:val="0"/>
      <w:sz w:val="16"/>
      <w:szCs w:val="16"/>
    </w:rPr>
  </w:style>
  <w:style w:type="paragraph" w:customStyle="1" w:styleId="1676">
    <w:name w:val="xl203"/>
    <w:basedOn w:val="1"/>
    <w:autoRedefine/>
    <w:qFormat/>
    <w:uiPriority w:val="0"/>
    <w:pPr>
      <w:widowControl/>
      <w:pBdr>
        <w:top w:val="single" w:color="auto" w:sz="8" w:space="0"/>
        <w:left w:val="single" w:color="auto" w:sz="8" w:space="0"/>
      </w:pBdr>
      <w:spacing w:before="100" w:beforeAutospacing="1" w:after="100" w:afterAutospacing="1"/>
      <w:jc w:val="center"/>
    </w:pPr>
    <w:rPr>
      <w:kern w:val="0"/>
      <w:sz w:val="18"/>
      <w:szCs w:val="18"/>
    </w:rPr>
  </w:style>
  <w:style w:type="paragraph" w:customStyle="1" w:styleId="1677">
    <w:name w:val="Char Char Char Char Char Char Char Char Char Char Char Char Char8"/>
    <w:basedOn w:val="1"/>
    <w:autoRedefine/>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1678">
    <w:name w:val="样式110"/>
    <w:basedOn w:val="1403"/>
    <w:autoRedefine/>
    <w:qFormat/>
    <w:uiPriority w:val="0"/>
    <w:pPr>
      <w:adjustRightInd w:val="0"/>
    </w:pPr>
  </w:style>
  <w:style w:type="paragraph" w:customStyle="1" w:styleId="1679">
    <w:name w:val="Char Char Char Char Char Char Char Char Char Char Char1 Char Char Char Char Char Char Char Char Char Char Char Char Char Char Char Char"/>
    <w:basedOn w:val="1"/>
    <w:autoRedefine/>
    <w:qFormat/>
    <w:uiPriority w:val="0"/>
    <w:rPr>
      <w:sz w:val="24"/>
    </w:rPr>
  </w:style>
  <w:style w:type="paragraph" w:customStyle="1" w:styleId="1680">
    <w:name w:val="TEXT"/>
    <w:basedOn w:val="1"/>
    <w:autoRedefine/>
    <w:qFormat/>
    <w:uiPriority w:val="0"/>
    <w:pPr>
      <w:spacing w:line="440" w:lineRule="exact"/>
      <w:ind w:firstLine="480" w:firstLineChars="200"/>
    </w:pPr>
    <w:rPr>
      <w:rFonts w:cs="宋体"/>
      <w:sz w:val="24"/>
      <w:szCs w:val="20"/>
    </w:rPr>
  </w:style>
  <w:style w:type="paragraph" w:customStyle="1" w:styleId="1681">
    <w:name w:val="正文文本缩进 23"/>
    <w:basedOn w:val="1"/>
    <w:autoRedefine/>
    <w:qFormat/>
    <w:uiPriority w:val="0"/>
    <w:pPr>
      <w:overflowPunct w:val="0"/>
      <w:autoSpaceDE w:val="0"/>
      <w:autoSpaceDN w:val="0"/>
      <w:adjustRightInd w:val="0"/>
      <w:ind w:left="810"/>
      <w:jc w:val="left"/>
    </w:pPr>
    <w:rPr>
      <w:kern w:val="0"/>
      <w:sz w:val="20"/>
      <w:szCs w:val="20"/>
    </w:rPr>
  </w:style>
  <w:style w:type="paragraph" w:customStyle="1" w:styleId="1682">
    <w:name w:val="广西炼油"/>
    <w:basedOn w:val="1"/>
    <w:autoRedefine/>
    <w:qFormat/>
    <w:uiPriority w:val="0"/>
    <w:pPr>
      <w:spacing w:beforeLines="5" w:line="360" w:lineRule="auto"/>
      <w:ind w:firstLine="480"/>
    </w:pPr>
    <w:rPr>
      <w:rFonts w:ascii="宋体" w:hAnsi="宋体"/>
      <w:sz w:val="24"/>
      <w:szCs w:val="20"/>
    </w:rPr>
  </w:style>
  <w:style w:type="paragraph" w:customStyle="1" w:styleId="1683">
    <w:name w:val="Char1 Char Char Char Char Char Char5"/>
    <w:basedOn w:val="1"/>
    <w:autoRedefine/>
    <w:qFormat/>
    <w:uiPriority w:val="0"/>
    <w:pPr>
      <w:spacing w:line="360" w:lineRule="auto"/>
      <w:ind w:firstLine="200" w:firstLineChars="200"/>
    </w:pPr>
    <w:rPr>
      <w:rFonts w:ascii="宋体" w:hAnsi="宋体" w:cs="宋体"/>
      <w:sz w:val="24"/>
    </w:rPr>
  </w:style>
  <w:style w:type="paragraph" w:customStyle="1" w:styleId="1684">
    <w:name w:val="1 Char Char Char Char Char Char Char Char"/>
    <w:basedOn w:val="1"/>
    <w:autoRedefine/>
    <w:qFormat/>
    <w:uiPriority w:val="0"/>
    <w:rPr>
      <w:sz w:val="24"/>
    </w:rPr>
  </w:style>
  <w:style w:type="paragraph" w:customStyle="1" w:styleId="1685">
    <w:name w:val="样式 首行缩进:  0 字符"/>
    <w:basedOn w:val="1"/>
    <w:autoRedefine/>
    <w:qFormat/>
    <w:uiPriority w:val="0"/>
    <w:pPr>
      <w:spacing w:line="360" w:lineRule="auto"/>
      <w:ind w:firstLine="200" w:firstLineChars="200"/>
    </w:pPr>
    <w:rPr>
      <w:sz w:val="24"/>
      <w:szCs w:val="20"/>
    </w:rPr>
  </w:style>
  <w:style w:type="paragraph" w:customStyle="1" w:styleId="1686">
    <w:name w:val="标题一"/>
    <w:basedOn w:val="1"/>
    <w:next w:val="1"/>
    <w:autoRedefine/>
    <w:qFormat/>
    <w:uiPriority w:val="0"/>
    <w:pPr>
      <w:widowControl/>
      <w:jc w:val="center"/>
    </w:pPr>
    <w:rPr>
      <w:rFonts w:ascii="宋体" w:hAnsi="宋体" w:cs="宋体"/>
      <w:b/>
      <w:kern w:val="0"/>
      <w:sz w:val="32"/>
    </w:rPr>
  </w:style>
  <w:style w:type="paragraph" w:customStyle="1" w:styleId="1687">
    <w:name w:val="样式 正文（首行缩进两字） + 宋体"/>
    <w:basedOn w:val="12"/>
    <w:autoRedefine/>
    <w:qFormat/>
    <w:uiPriority w:val="0"/>
    <w:pPr>
      <w:adjustRightInd w:val="0"/>
      <w:ind w:firstLine="0" w:firstLineChars="0"/>
    </w:pPr>
    <w:rPr>
      <w:sz w:val="28"/>
      <w:lang w:val="zh-CN"/>
    </w:rPr>
  </w:style>
  <w:style w:type="paragraph" w:customStyle="1" w:styleId="1688">
    <w:name w:val="xl2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hint="eastAsia" w:ascii="幼圆" w:hAnsi="Arial Unicode MS" w:eastAsia="幼圆" w:cs="Arial Unicode MS"/>
      <w:kern w:val="0"/>
      <w:szCs w:val="21"/>
    </w:rPr>
  </w:style>
  <w:style w:type="paragraph" w:customStyle="1" w:styleId="1689">
    <w:name w:val="3级"/>
    <w:basedOn w:val="1"/>
    <w:autoRedefine/>
    <w:qFormat/>
    <w:uiPriority w:val="0"/>
    <w:pPr>
      <w:snapToGrid w:val="0"/>
      <w:spacing w:line="300" w:lineRule="auto"/>
      <w:ind w:firstLine="420" w:firstLineChars="200"/>
      <w:outlineLvl w:val="2"/>
    </w:pPr>
    <w:rPr>
      <w:rFonts w:ascii="黑体" w:hAnsi="宋体" w:eastAsia="黑体"/>
      <w:szCs w:val="30"/>
    </w:rPr>
  </w:style>
  <w:style w:type="paragraph" w:customStyle="1" w:styleId="1690">
    <w:name w:val="默认段落字体 Para Char Char Char Char Char Char Char Char Char Char Char Char Char Char Char Char Char Char Char Char Char Char Char Char Char Char Char Char1 Char Char Char Char Char"/>
    <w:basedOn w:val="1"/>
    <w:autoRedefine/>
    <w:qFormat/>
    <w:uiPriority w:val="0"/>
    <w:rPr>
      <w:sz w:val="24"/>
    </w:rPr>
  </w:style>
  <w:style w:type="paragraph" w:customStyle="1" w:styleId="1691">
    <w:name w:val="批注框文本1"/>
    <w:basedOn w:val="1"/>
    <w:autoRedefine/>
    <w:qFormat/>
    <w:uiPriority w:val="0"/>
    <w:pPr>
      <w:adjustRightInd w:val="0"/>
      <w:spacing w:line="315" w:lineRule="atLeast"/>
      <w:jc w:val="left"/>
      <w:textAlignment w:val="baseline"/>
    </w:pPr>
    <w:rPr>
      <w:rFonts w:ascii="宋体"/>
      <w:kern w:val="0"/>
      <w:sz w:val="18"/>
      <w:szCs w:val="18"/>
    </w:rPr>
  </w:style>
  <w:style w:type="paragraph" w:customStyle="1" w:styleId="1692">
    <w:name w:val="Body Text Indent3"/>
    <w:basedOn w:val="1"/>
    <w:autoRedefine/>
    <w:qFormat/>
    <w:uiPriority w:val="0"/>
    <w:pPr>
      <w:spacing w:after="120" w:line="360" w:lineRule="auto"/>
      <w:ind w:left="420" w:leftChars="200" w:firstLine="200" w:firstLineChars="200"/>
    </w:pPr>
    <w:rPr>
      <w:sz w:val="24"/>
    </w:rPr>
  </w:style>
  <w:style w:type="paragraph" w:customStyle="1" w:styleId="1693">
    <w:name w:val="xl116"/>
    <w:basedOn w:val="1"/>
    <w:autoRedefine/>
    <w:qFormat/>
    <w:uiPriority w:val="0"/>
    <w:pPr>
      <w:widowControl/>
      <w:pBdr>
        <w:bottom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1694">
    <w:name w:val="Char18"/>
    <w:basedOn w:val="1"/>
    <w:autoRedefine/>
    <w:qFormat/>
    <w:uiPriority w:val="0"/>
    <w:rPr>
      <w:szCs w:val="21"/>
    </w:rPr>
  </w:style>
  <w:style w:type="paragraph" w:customStyle="1" w:styleId="1695">
    <w:name w:val="Char4 Char Char Char Char Char Char Char Char Char Char Char Char Char Char Char Char Char1 Char Char Char Char"/>
    <w:basedOn w:val="1"/>
    <w:autoRedefine/>
    <w:qFormat/>
    <w:uiPriority w:val="0"/>
    <w:pPr>
      <w:spacing w:line="240" w:lineRule="exact"/>
      <w:ind w:firstLine="200" w:firstLineChars="200"/>
    </w:pPr>
    <w:rPr>
      <w:sz w:val="28"/>
      <w:szCs w:val="28"/>
    </w:rPr>
  </w:style>
  <w:style w:type="paragraph" w:customStyle="1" w:styleId="1696">
    <w:name w:val="样式 标题 3 + 加粗 段前: 3.9 磅 段后: 3.9 磅 行距: 多倍行距 1.35 字行2"/>
    <w:basedOn w:val="5"/>
    <w:autoRedefine/>
    <w:qFormat/>
    <w:uiPriority w:val="0"/>
    <w:pPr>
      <w:tabs>
        <w:tab w:val="left" w:pos="709"/>
        <w:tab w:val="left" w:pos="1418"/>
      </w:tabs>
      <w:adjustRightInd w:val="0"/>
      <w:snapToGrid w:val="0"/>
      <w:spacing w:before="78" w:after="78" w:line="324" w:lineRule="auto"/>
      <w:ind w:left="709" w:hanging="709"/>
    </w:pPr>
    <w:rPr>
      <w:rFonts w:ascii="仿宋_GB2312" w:eastAsia="仿宋_GB2312" w:cs="宋体"/>
      <w:sz w:val="28"/>
      <w:szCs w:val="20"/>
      <w:lang w:val="zh-CN"/>
    </w:rPr>
  </w:style>
  <w:style w:type="paragraph" w:customStyle="1" w:styleId="1697">
    <w:name w:val="Char31"/>
    <w:basedOn w:val="1"/>
    <w:autoRedefine/>
    <w:qFormat/>
    <w:uiPriority w:val="0"/>
    <w:pPr>
      <w:spacing w:line="240" w:lineRule="exact"/>
      <w:ind w:firstLine="200" w:firstLineChars="200"/>
    </w:pPr>
    <w:rPr>
      <w:sz w:val="28"/>
      <w:szCs w:val="28"/>
    </w:rPr>
  </w:style>
  <w:style w:type="paragraph" w:customStyle="1" w:styleId="1698">
    <w:name w:val="xl184"/>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kern w:val="0"/>
      <w:sz w:val="16"/>
      <w:szCs w:val="16"/>
    </w:rPr>
  </w:style>
  <w:style w:type="paragraph" w:customStyle="1" w:styleId="1699">
    <w:name w:val="Char Char Char Char Char Char Char Char Char1 Char Char Char Char Char Char1 Char2"/>
    <w:basedOn w:val="1"/>
    <w:autoRedefine/>
    <w:qFormat/>
    <w:uiPriority w:val="0"/>
    <w:rPr>
      <w:szCs w:val="21"/>
    </w:rPr>
  </w:style>
  <w:style w:type="paragraph" w:customStyle="1" w:styleId="1700">
    <w:name w:val="表"/>
    <w:basedOn w:val="1"/>
    <w:next w:val="59"/>
    <w:link w:val="3120"/>
    <w:autoRedefine/>
    <w:qFormat/>
    <w:uiPriority w:val="0"/>
    <w:pPr>
      <w:spacing w:line="360" w:lineRule="auto"/>
      <w:jc w:val="center"/>
    </w:pPr>
    <w:rPr>
      <w:rFonts w:eastAsia="仿宋_GB2312"/>
      <w:color w:val="000000"/>
      <w:kern w:val="21"/>
    </w:rPr>
  </w:style>
  <w:style w:type="paragraph" w:customStyle="1" w:styleId="1701">
    <w:name w:val="4"/>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702">
    <w:name w:val="xl195"/>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Arial Unicode MS" w:hAnsi="Arial Unicode MS"/>
      <w:kern w:val="0"/>
    </w:rPr>
  </w:style>
  <w:style w:type="paragraph" w:customStyle="1" w:styleId="1703">
    <w:name w:val="段落-首行缩进:  0.74 厘米 行距: 1.5 倍行距"/>
    <w:basedOn w:val="1"/>
    <w:autoRedefine/>
    <w:qFormat/>
    <w:uiPriority w:val="0"/>
    <w:pPr>
      <w:tabs>
        <w:tab w:val="left" w:pos="2801"/>
      </w:tabs>
      <w:snapToGrid w:val="0"/>
      <w:spacing w:line="540" w:lineRule="exact"/>
      <w:ind w:firstLine="414" w:firstLineChars="150"/>
    </w:pPr>
    <w:rPr>
      <w:spacing w:val="-2"/>
      <w:kern w:val="0"/>
      <w:sz w:val="24"/>
    </w:rPr>
  </w:style>
  <w:style w:type="paragraph" w:customStyle="1" w:styleId="1704">
    <w:name w:val="表的正文"/>
    <w:basedOn w:val="1"/>
    <w:autoRedefine/>
    <w:qFormat/>
    <w:uiPriority w:val="0"/>
    <w:pPr>
      <w:spacing w:line="400" w:lineRule="atLeast"/>
      <w:ind w:left="100" w:leftChars="100" w:right="100" w:rightChars="100" w:firstLine="482"/>
    </w:pPr>
    <w:rPr>
      <w:rFonts w:hint="eastAsia" w:ascii="仿宋_GB2312" w:hAnsi="宋体" w:eastAsia="仿宋_GB2312"/>
      <w:sz w:val="24"/>
      <w:szCs w:val="20"/>
    </w:rPr>
  </w:style>
  <w:style w:type="paragraph" w:customStyle="1" w:styleId="1705">
    <w:name w:val="批注文字 Char Char"/>
    <w:basedOn w:val="1"/>
    <w:autoRedefine/>
    <w:qFormat/>
    <w:uiPriority w:val="0"/>
    <w:pPr>
      <w:spacing w:line="351" w:lineRule="atLeast"/>
      <w:ind w:firstLine="419"/>
      <w:jc w:val="left"/>
    </w:pPr>
    <w:rPr>
      <w:rFonts w:hint="eastAsia"/>
      <w:szCs w:val="20"/>
    </w:rPr>
  </w:style>
  <w:style w:type="paragraph" w:customStyle="1" w:styleId="1706">
    <w:name w:val="二级标题"/>
    <w:basedOn w:val="4"/>
    <w:autoRedefine/>
    <w:qFormat/>
    <w:uiPriority w:val="0"/>
    <w:pPr>
      <w:keepLines w:val="0"/>
      <w:spacing w:before="240" w:after="0" w:line="360" w:lineRule="auto"/>
    </w:pPr>
    <w:rPr>
      <w:rFonts w:ascii="Times New Roman" w:hAnsi="Times New Roman" w:eastAsia="黑体" w:cs="Arial"/>
      <w:b w:val="0"/>
      <w:bCs w:val="0"/>
      <w:sz w:val="30"/>
      <w:lang w:val="zh-CN"/>
    </w:rPr>
  </w:style>
  <w:style w:type="paragraph" w:customStyle="1" w:styleId="1707">
    <w:name w:val="_Style 3"/>
    <w:basedOn w:val="1"/>
    <w:autoRedefine/>
    <w:qFormat/>
    <w:uiPriority w:val="0"/>
    <w:pPr>
      <w:widowControl/>
      <w:adjustRightInd w:val="0"/>
      <w:spacing w:after="160" w:line="240" w:lineRule="exact"/>
      <w:jc w:val="left"/>
      <w:textAlignment w:val="baseline"/>
    </w:pPr>
  </w:style>
  <w:style w:type="paragraph" w:customStyle="1" w:styleId="1708">
    <w:name w:val="xl3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rFonts w:ascii="Arial Unicode MS" w:hAnsi="Arial Unicode MS" w:eastAsia="Arial Unicode MS" w:cs="Arial Unicode MS"/>
      <w:kern w:val="0"/>
      <w:sz w:val="26"/>
      <w:szCs w:val="26"/>
    </w:rPr>
  </w:style>
  <w:style w:type="paragraph" w:customStyle="1" w:styleId="1709">
    <w:name w:val="xl119"/>
    <w:basedOn w:val="1"/>
    <w:autoRedefine/>
    <w:qFormat/>
    <w:uiPriority w:val="0"/>
    <w:pPr>
      <w:widowControl/>
      <w:spacing w:before="100" w:beforeAutospacing="1" w:after="100" w:afterAutospacing="1"/>
      <w:jc w:val="center"/>
    </w:pPr>
    <w:rPr>
      <w:rFonts w:ascii="Arial Unicode MS" w:hAnsi="Arial Unicode MS"/>
      <w:kern w:val="0"/>
      <w:sz w:val="16"/>
      <w:szCs w:val="16"/>
    </w:rPr>
  </w:style>
  <w:style w:type="paragraph" w:customStyle="1" w:styleId="1710">
    <w:name w:val="xl40"/>
    <w:basedOn w:val="1"/>
    <w:autoRedefine/>
    <w:qFormat/>
    <w:uiPriority w:val="0"/>
    <w:pPr>
      <w:widowControl/>
      <w:pBdr>
        <w:top w:val="single" w:color="auto" w:sz="12" w:space="0"/>
        <w:right w:val="single" w:color="auto" w:sz="12" w:space="0"/>
      </w:pBdr>
      <w:spacing w:before="100" w:beforeAutospacing="1" w:after="100" w:afterAutospacing="1"/>
      <w:jc w:val="center"/>
    </w:pPr>
    <w:rPr>
      <w:rFonts w:ascii="Arial Unicode MS" w:hAnsi="Arial Unicode MS"/>
      <w:kern w:val="0"/>
      <w:sz w:val="16"/>
      <w:szCs w:val="16"/>
    </w:rPr>
  </w:style>
  <w:style w:type="paragraph" w:customStyle="1" w:styleId="1711">
    <w:name w:val="xl38"/>
    <w:basedOn w:val="1"/>
    <w:autoRedefine/>
    <w:qFormat/>
    <w:uiPriority w:val="0"/>
    <w:pPr>
      <w:widowControl/>
      <w:pBdr>
        <w:top w:val="single" w:color="auto" w:sz="12" w:space="0"/>
        <w:left w:val="single" w:color="auto" w:sz="12" w:space="0"/>
      </w:pBdr>
      <w:spacing w:before="100" w:beforeAutospacing="1" w:after="100" w:afterAutospacing="1"/>
      <w:jc w:val="center"/>
    </w:pPr>
    <w:rPr>
      <w:rFonts w:ascii="Arial Unicode MS" w:hAnsi="Arial Unicode MS"/>
      <w:kern w:val="0"/>
      <w:sz w:val="16"/>
      <w:szCs w:val="16"/>
    </w:rPr>
  </w:style>
  <w:style w:type="paragraph" w:customStyle="1" w:styleId="1712">
    <w:name w:val="Char Char Char Char Char Char1 Char Char Char Char5"/>
    <w:basedOn w:val="1"/>
    <w:autoRedefine/>
    <w:qFormat/>
    <w:uiPriority w:val="0"/>
    <w:rPr>
      <w:sz w:val="24"/>
    </w:rPr>
  </w:style>
  <w:style w:type="paragraph" w:customStyle="1" w:styleId="1713">
    <w:name w:val="font1"/>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1714">
    <w:name w:val="表中文字"/>
    <w:basedOn w:val="1"/>
    <w:link w:val="3142"/>
    <w:autoRedefine/>
    <w:qFormat/>
    <w:uiPriority w:val="0"/>
    <w:pPr>
      <w:snapToGrid w:val="0"/>
    </w:pPr>
    <w:rPr>
      <w:szCs w:val="20"/>
    </w:rPr>
  </w:style>
  <w:style w:type="paragraph" w:customStyle="1" w:styleId="1715">
    <w:name w:val="font27"/>
    <w:basedOn w:val="1"/>
    <w:autoRedefine/>
    <w:qFormat/>
    <w:uiPriority w:val="0"/>
    <w:pPr>
      <w:widowControl/>
      <w:spacing w:before="100" w:beforeAutospacing="1" w:after="100" w:afterAutospacing="1"/>
      <w:jc w:val="left"/>
    </w:pPr>
    <w:rPr>
      <w:rFonts w:ascii="宋体" w:hAnsi="宋体" w:cs="宋体"/>
      <w:color w:val="00FFFF"/>
      <w:kern w:val="0"/>
      <w:sz w:val="18"/>
      <w:szCs w:val="18"/>
    </w:rPr>
  </w:style>
  <w:style w:type="paragraph" w:customStyle="1" w:styleId="1716">
    <w:name w:val="xl150"/>
    <w:basedOn w:val="1"/>
    <w:autoRedefine/>
    <w:qFormat/>
    <w:uiPriority w:val="0"/>
    <w:pPr>
      <w:widowControl/>
      <w:pBdr>
        <w:bottom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1717">
    <w:name w:val="xl148"/>
    <w:basedOn w:val="1"/>
    <w:autoRedefine/>
    <w:qFormat/>
    <w:uiPriority w:val="0"/>
    <w:pPr>
      <w:widowControl/>
      <w:pBdr>
        <w:bottom w:val="single" w:color="auto" w:sz="8" w:space="0"/>
      </w:pBdr>
      <w:spacing w:before="100" w:beforeAutospacing="1" w:after="100" w:afterAutospacing="1"/>
      <w:jc w:val="left"/>
    </w:pPr>
    <w:rPr>
      <w:rFonts w:ascii="Arial Unicode MS" w:hAnsi="Arial Unicode MS"/>
      <w:kern w:val="0"/>
    </w:rPr>
  </w:style>
  <w:style w:type="paragraph" w:customStyle="1" w:styleId="1718">
    <w:name w:val="报告正文lulu（25磅固定段落）"/>
    <w:basedOn w:val="12"/>
    <w:autoRedefine/>
    <w:qFormat/>
    <w:uiPriority w:val="0"/>
    <w:pPr>
      <w:spacing w:line="500" w:lineRule="exact"/>
      <w:ind w:firstLine="560"/>
    </w:pPr>
    <w:rPr>
      <w:rFonts w:ascii="宋体" w:hAnsi="宋体"/>
      <w:kern w:val="0"/>
      <w:sz w:val="28"/>
      <w:szCs w:val="28"/>
      <w:lang w:val="zh-CN"/>
    </w:rPr>
  </w:style>
  <w:style w:type="paragraph" w:customStyle="1" w:styleId="1719">
    <w:name w:val="9css2"/>
    <w:basedOn w:val="1"/>
    <w:autoRedefine/>
    <w:qFormat/>
    <w:uiPriority w:val="0"/>
    <w:pPr>
      <w:widowControl/>
      <w:spacing w:before="100" w:beforeAutospacing="1" w:after="100" w:afterAutospacing="1" w:line="240" w:lineRule="atLeast"/>
      <w:jc w:val="left"/>
    </w:pPr>
    <w:rPr>
      <w:rFonts w:ascii="宋体" w:hAnsi="宋体"/>
      <w:color w:val="000000"/>
      <w:kern w:val="0"/>
      <w:sz w:val="18"/>
      <w:szCs w:val="18"/>
    </w:rPr>
  </w:style>
  <w:style w:type="paragraph" w:customStyle="1" w:styleId="1720">
    <w:name w:val="xuchao1"/>
    <w:basedOn w:val="1"/>
    <w:autoRedefine/>
    <w:qFormat/>
    <w:uiPriority w:val="0"/>
    <w:pPr>
      <w:spacing w:line="500" w:lineRule="exact"/>
      <w:ind w:firstLine="200" w:firstLineChars="200"/>
    </w:pPr>
    <w:rPr>
      <w:rFonts w:ascii="宋体" w:hAnsi="宋体"/>
      <w:sz w:val="24"/>
    </w:rPr>
  </w:style>
  <w:style w:type="paragraph" w:customStyle="1" w:styleId="1721">
    <w:name w:val="Char10"/>
    <w:basedOn w:val="1"/>
    <w:autoRedefine/>
    <w:qFormat/>
    <w:uiPriority w:val="0"/>
    <w:rPr>
      <w:sz w:val="24"/>
    </w:rPr>
  </w:style>
  <w:style w:type="paragraph" w:customStyle="1" w:styleId="1722">
    <w:name w:val="主要负责人"/>
    <w:basedOn w:val="1"/>
    <w:next w:val="1"/>
    <w:autoRedefine/>
    <w:qFormat/>
    <w:uiPriority w:val="0"/>
    <w:pPr>
      <w:jc w:val="center"/>
    </w:pPr>
    <w:rPr>
      <w:sz w:val="36"/>
      <w:szCs w:val="36"/>
    </w:rPr>
  </w:style>
  <w:style w:type="paragraph" w:customStyle="1" w:styleId="1723">
    <w:name w:val="xl22"/>
    <w:basedOn w:val="1"/>
    <w:autoRedefine/>
    <w:qFormat/>
    <w:uiPriority w:val="0"/>
    <w:pPr>
      <w:widowControl/>
      <w:pBdr>
        <w:bottom w:val="single" w:color="auto" w:sz="12" w:space="0"/>
      </w:pBdr>
      <w:spacing w:before="100" w:beforeAutospacing="1" w:after="100" w:afterAutospacing="1"/>
      <w:jc w:val="left"/>
    </w:pPr>
    <w:rPr>
      <w:rFonts w:ascii="Arial Unicode MS" w:hAnsi="Arial Unicode MS"/>
      <w:kern w:val="0"/>
    </w:rPr>
  </w:style>
  <w:style w:type="paragraph" w:customStyle="1" w:styleId="1724">
    <w:name w:val="表格正文 中五"/>
    <w:basedOn w:val="1"/>
    <w:autoRedefine/>
    <w:qFormat/>
    <w:uiPriority w:val="0"/>
    <w:pPr>
      <w:spacing w:line="240" w:lineRule="exact"/>
      <w:jc w:val="center"/>
    </w:pPr>
    <w:rPr>
      <w:szCs w:val="21"/>
    </w:rPr>
  </w:style>
  <w:style w:type="paragraph" w:customStyle="1" w:styleId="1725">
    <w:name w:val="xl93"/>
    <w:basedOn w:val="1"/>
    <w:autoRedefine/>
    <w:qFormat/>
    <w:uiPriority w:val="0"/>
    <w:pPr>
      <w:widowControl/>
      <w:spacing w:before="100" w:beforeAutospacing="1" w:after="100" w:afterAutospacing="1"/>
      <w:jc w:val="center"/>
    </w:pPr>
    <w:rPr>
      <w:rFonts w:ascii="Arial Unicode MS" w:hAnsi="Arial Unicode MS"/>
      <w:kern w:val="0"/>
      <w:sz w:val="12"/>
      <w:szCs w:val="12"/>
    </w:rPr>
  </w:style>
  <w:style w:type="paragraph" w:customStyle="1" w:styleId="1726">
    <w:name w:val="Char Char Char Char Char Char Char Char Char1 Char1"/>
    <w:basedOn w:val="1"/>
    <w:autoRedefine/>
    <w:qFormat/>
    <w:uiPriority w:val="0"/>
    <w:pPr>
      <w:widowControl/>
      <w:spacing w:after="160" w:line="240" w:lineRule="exact"/>
      <w:jc w:val="left"/>
    </w:pPr>
    <w:rPr>
      <w:rFonts w:ascii="Arial" w:hAnsi="Arial" w:cs="Verdana"/>
      <w:b/>
      <w:kern w:val="0"/>
      <w:sz w:val="24"/>
      <w:lang w:eastAsia="en-US"/>
    </w:rPr>
  </w:style>
  <w:style w:type="paragraph" w:customStyle="1" w:styleId="1727">
    <w:name w:val="样式 标题 2标题 2 Char标题 2 Char Char Char节节标题 1.1H2（一）Underrubr...2"/>
    <w:basedOn w:val="4"/>
    <w:autoRedefine/>
    <w:qFormat/>
    <w:uiPriority w:val="0"/>
    <w:pPr>
      <w:tabs>
        <w:tab w:val="left" w:pos="932"/>
        <w:tab w:val="left" w:pos="1419"/>
      </w:tabs>
      <w:spacing w:before="0" w:after="0" w:line="360" w:lineRule="auto"/>
      <w:ind w:left="932" w:hanging="567"/>
    </w:pPr>
    <w:rPr>
      <w:rFonts w:ascii="宋体" w:hAnsi="宋体"/>
      <w:b w:val="0"/>
      <w:bCs w:val="0"/>
      <w:color w:val="000000"/>
      <w:sz w:val="30"/>
      <w:szCs w:val="20"/>
      <w:lang w:val="zh-CN"/>
    </w:rPr>
  </w:style>
  <w:style w:type="paragraph" w:customStyle="1" w:styleId="1728">
    <w:name w:val="cd4"/>
    <w:basedOn w:val="1"/>
    <w:autoRedefine/>
    <w:qFormat/>
    <w:uiPriority w:val="0"/>
    <w:pPr>
      <w:tabs>
        <w:tab w:val="left" w:pos="2438"/>
      </w:tabs>
      <w:spacing w:before="120" w:line="300" w:lineRule="auto"/>
      <w:ind w:left="1956" w:hanging="425"/>
    </w:pPr>
    <w:rPr>
      <w:sz w:val="24"/>
      <w:szCs w:val="20"/>
    </w:rPr>
  </w:style>
  <w:style w:type="paragraph" w:customStyle="1" w:styleId="1729">
    <w:name w:val="Body Text Indent 22"/>
    <w:basedOn w:val="1"/>
    <w:autoRedefine/>
    <w:qFormat/>
    <w:uiPriority w:val="0"/>
    <w:pPr>
      <w:adjustRightInd w:val="0"/>
      <w:spacing w:line="480" w:lineRule="atLeast"/>
      <w:ind w:firstLine="630"/>
      <w:textAlignment w:val="baseline"/>
    </w:pPr>
    <w:rPr>
      <w:rFonts w:ascii="宋体"/>
      <w:sz w:val="28"/>
      <w:szCs w:val="20"/>
    </w:rPr>
  </w:style>
  <w:style w:type="paragraph" w:customStyle="1" w:styleId="1730">
    <w:name w:val="Char Char Char Char9"/>
    <w:basedOn w:val="1"/>
    <w:autoRedefine/>
    <w:qFormat/>
    <w:uiPriority w:val="0"/>
    <w:rPr>
      <w:sz w:val="24"/>
    </w:rPr>
  </w:style>
  <w:style w:type="paragraph" w:customStyle="1" w:styleId="1731">
    <w:name w:val="无间隔11"/>
    <w:autoRedefine/>
    <w:qFormat/>
    <w:uiPriority w:val="0"/>
    <w:pPr>
      <w:widowControl w:val="0"/>
      <w:jc w:val="both"/>
    </w:pPr>
    <w:rPr>
      <w:rFonts w:ascii="Arial" w:hAnsi="Arial" w:eastAsia="仿宋" w:cs="Times New Roman"/>
      <w:w w:val="90"/>
      <w:kern w:val="2"/>
      <w:sz w:val="24"/>
      <w:szCs w:val="24"/>
      <w:lang w:val="en-US" w:eastAsia="zh-CN" w:bidi="ar-SA"/>
    </w:rPr>
  </w:style>
  <w:style w:type="paragraph" w:customStyle="1" w:styleId="1732">
    <w:name w:val="说明书"/>
    <w:basedOn w:val="1"/>
    <w:next w:val="1"/>
    <w:autoRedefine/>
    <w:qFormat/>
    <w:uiPriority w:val="0"/>
    <w:pPr>
      <w:spacing w:line="500" w:lineRule="exact"/>
      <w:ind w:firstLine="560" w:firstLineChars="200"/>
    </w:pPr>
    <w:rPr>
      <w:rFonts w:cs="宋体"/>
      <w:sz w:val="28"/>
      <w:szCs w:val="20"/>
    </w:rPr>
  </w:style>
  <w:style w:type="paragraph" w:customStyle="1" w:styleId="1733">
    <w:name w:val="宏福3"/>
    <w:basedOn w:val="5"/>
    <w:autoRedefine/>
    <w:qFormat/>
    <w:uiPriority w:val="0"/>
    <w:pPr>
      <w:snapToGrid w:val="0"/>
      <w:spacing w:before="240" w:after="0" w:line="240" w:lineRule="auto"/>
    </w:pPr>
    <w:rPr>
      <w:b w:val="0"/>
      <w:bCs w:val="0"/>
      <w:sz w:val="28"/>
      <w:szCs w:val="20"/>
      <w:lang w:val="zh-CN"/>
    </w:rPr>
  </w:style>
  <w:style w:type="paragraph" w:customStyle="1" w:styleId="1734">
    <w:name w:val="表格式"/>
    <w:basedOn w:val="59"/>
    <w:autoRedefine/>
    <w:qFormat/>
    <w:uiPriority w:val="0"/>
    <w:pPr>
      <w:spacing w:line="340" w:lineRule="exact"/>
      <w:ind w:left="0" w:firstLine="0" w:firstLineChars="0"/>
      <w:jc w:val="center"/>
    </w:pPr>
    <w:rPr>
      <w:rFonts w:ascii="宋体" w:hAnsi="宋体"/>
    </w:rPr>
  </w:style>
  <w:style w:type="paragraph" w:customStyle="1" w:styleId="1735">
    <w:name w:val="xl77"/>
    <w:basedOn w:val="1"/>
    <w:autoRedefine/>
    <w:qFormat/>
    <w:uiPriority w:val="0"/>
    <w:pPr>
      <w:widowControl/>
      <w:spacing w:before="100" w:beforeAutospacing="1" w:after="100" w:afterAutospacing="1"/>
      <w:jc w:val="left"/>
    </w:pPr>
    <w:rPr>
      <w:rFonts w:ascii="Arial Unicode MS" w:hAnsi="Arial Unicode MS"/>
      <w:kern w:val="0"/>
      <w:sz w:val="12"/>
      <w:szCs w:val="12"/>
    </w:rPr>
  </w:style>
  <w:style w:type="paragraph" w:customStyle="1" w:styleId="1736">
    <w:name w:val="样式 左侧:  -0.16 厘米"/>
    <w:basedOn w:val="1"/>
    <w:autoRedefine/>
    <w:qFormat/>
    <w:uiPriority w:val="0"/>
    <w:pPr>
      <w:ind w:left="-90"/>
    </w:pPr>
    <w:rPr>
      <w:rFonts w:ascii="宋体" w:hAnsi="宋体" w:cs="宋体"/>
      <w:kern w:val="0"/>
      <w:sz w:val="24"/>
    </w:rPr>
  </w:style>
  <w:style w:type="paragraph" w:customStyle="1" w:styleId="1737">
    <w:name w:val="表1"/>
    <w:basedOn w:val="1"/>
    <w:autoRedefine/>
    <w:qFormat/>
    <w:uiPriority w:val="0"/>
    <w:pPr>
      <w:widowControl/>
      <w:spacing w:line="480" w:lineRule="exact"/>
      <w:jc w:val="center"/>
    </w:pPr>
    <w:rPr>
      <w:rFonts w:ascii="宋体" w:hAnsi="宋体" w:cs="宋体"/>
      <w:kern w:val="0"/>
      <w:sz w:val="24"/>
    </w:rPr>
  </w:style>
  <w:style w:type="paragraph" w:customStyle="1" w:styleId="1738">
    <w:name w:val="样式 标题 2 + 段前: 0.5 行 段后: 0.5 行"/>
    <w:basedOn w:val="4"/>
    <w:autoRedefine/>
    <w:qFormat/>
    <w:uiPriority w:val="0"/>
    <w:pPr>
      <w:tabs>
        <w:tab w:val="left" w:pos="576"/>
        <w:tab w:val="left" w:pos="1419"/>
      </w:tabs>
      <w:snapToGrid w:val="0"/>
      <w:spacing w:beforeLines="50" w:afterLines="50" w:line="300" w:lineRule="auto"/>
      <w:ind w:left="576" w:hanging="576"/>
    </w:pPr>
    <w:rPr>
      <w:rFonts w:ascii="Times New Roman" w:hAnsi="Times New Roman" w:cs="宋体"/>
      <w:sz w:val="24"/>
      <w:szCs w:val="28"/>
      <w:lang w:val="zh-CN"/>
    </w:rPr>
  </w:style>
  <w:style w:type="paragraph" w:customStyle="1" w:styleId="1739">
    <w:name w:val="目录 91"/>
    <w:basedOn w:val="1"/>
    <w:next w:val="1"/>
    <w:autoRedefine/>
    <w:qFormat/>
    <w:uiPriority w:val="0"/>
    <w:pPr>
      <w:ind w:left="1470"/>
      <w:jc w:val="left"/>
    </w:pPr>
    <w:rPr>
      <w:sz w:val="20"/>
      <w:szCs w:val="20"/>
    </w:rPr>
  </w:style>
  <w:style w:type="paragraph" w:customStyle="1" w:styleId="1740">
    <w:name w:val="xl137"/>
    <w:basedOn w:val="1"/>
    <w:autoRedefine/>
    <w:qFormat/>
    <w:uiPriority w:val="0"/>
    <w:pPr>
      <w:widowControl/>
      <w:pBdr>
        <w:bottom w:val="single" w:color="auto" w:sz="8" w:space="0"/>
      </w:pBdr>
      <w:spacing w:before="100" w:beforeAutospacing="1" w:after="100" w:afterAutospacing="1"/>
      <w:jc w:val="left"/>
    </w:pPr>
    <w:rPr>
      <w:rFonts w:ascii="Arial Unicode MS" w:hAnsi="Arial Unicode MS"/>
      <w:kern w:val="0"/>
      <w:sz w:val="12"/>
      <w:szCs w:val="12"/>
    </w:rPr>
  </w:style>
  <w:style w:type="paragraph" w:customStyle="1" w:styleId="1741">
    <w:name w:val="小节标题"/>
    <w:basedOn w:val="1"/>
    <w:next w:val="1"/>
    <w:autoRedefine/>
    <w:qFormat/>
    <w:uiPriority w:val="0"/>
    <w:pPr>
      <w:widowControl/>
      <w:spacing w:before="175" w:after="102" w:line="782" w:lineRule="atLeast"/>
    </w:pPr>
    <w:rPr>
      <w:rFonts w:ascii="宋体" w:eastAsia="黑体"/>
      <w:color w:val="000000"/>
      <w:kern w:val="0"/>
      <w:szCs w:val="20"/>
    </w:rPr>
  </w:style>
  <w:style w:type="paragraph" w:customStyle="1" w:styleId="1742">
    <w:name w:val="表格文字样式"/>
    <w:basedOn w:val="1"/>
    <w:autoRedefine/>
    <w:qFormat/>
    <w:uiPriority w:val="0"/>
    <w:pPr>
      <w:tabs>
        <w:tab w:val="left" w:pos="567"/>
      </w:tabs>
      <w:jc w:val="center"/>
    </w:pPr>
    <w:rPr>
      <w:spacing w:val="20"/>
      <w:sz w:val="24"/>
      <w:szCs w:val="20"/>
    </w:rPr>
  </w:style>
  <w:style w:type="paragraph" w:customStyle="1" w:styleId="1743">
    <w:name w:val="font28"/>
    <w:basedOn w:val="1"/>
    <w:autoRedefine/>
    <w:qFormat/>
    <w:uiPriority w:val="0"/>
    <w:pPr>
      <w:widowControl/>
      <w:spacing w:before="100" w:beforeAutospacing="1" w:after="100" w:afterAutospacing="1"/>
      <w:jc w:val="left"/>
    </w:pPr>
    <w:rPr>
      <w:color w:val="00FFFF"/>
      <w:kern w:val="0"/>
      <w:sz w:val="18"/>
      <w:szCs w:val="18"/>
    </w:rPr>
  </w:style>
  <w:style w:type="paragraph" w:customStyle="1" w:styleId="1744">
    <w:name w:val="项目编号文字"/>
    <w:basedOn w:val="1"/>
    <w:next w:val="12"/>
    <w:autoRedefine/>
    <w:qFormat/>
    <w:uiPriority w:val="0"/>
    <w:pPr>
      <w:spacing w:before="120" w:after="120" w:line="360" w:lineRule="auto"/>
      <w:ind w:left="1077"/>
    </w:pPr>
    <w:rPr>
      <w:sz w:val="24"/>
      <w:szCs w:val="20"/>
    </w:rPr>
  </w:style>
  <w:style w:type="paragraph" w:customStyle="1" w:styleId="1745">
    <w:name w:val="目录 51"/>
    <w:basedOn w:val="1"/>
    <w:next w:val="1"/>
    <w:autoRedefine/>
    <w:qFormat/>
    <w:uiPriority w:val="0"/>
    <w:pPr>
      <w:ind w:left="630"/>
      <w:jc w:val="left"/>
    </w:pPr>
    <w:rPr>
      <w:sz w:val="20"/>
      <w:szCs w:val="20"/>
    </w:rPr>
  </w:style>
  <w:style w:type="paragraph" w:customStyle="1" w:styleId="1746">
    <w:name w:val="0"/>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1747">
    <w:name w:val="正文(1)"/>
    <w:basedOn w:val="1"/>
    <w:autoRedefine/>
    <w:qFormat/>
    <w:uiPriority w:val="0"/>
    <w:pPr>
      <w:adjustRightInd w:val="0"/>
      <w:snapToGrid w:val="0"/>
      <w:spacing w:before="120" w:line="300" w:lineRule="auto"/>
      <w:ind w:firstLine="480" w:firstLineChars="200"/>
    </w:pPr>
    <w:rPr>
      <w:rFonts w:ascii="黑体" w:hAnsi="宋体" w:eastAsia="黑体"/>
      <w:b/>
      <w:color w:val="339966"/>
      <w:kern w:val="0"/>
      <w:sz w:val="24"/>
    </w:rPr>
  </w:style>
  <w:style w:type="paragraph" w:customStyle="1" w:styleId="1748">
    <w:name w:val="c新标题3"/>
    <w:basedOn w:val="5"/>
    <w:autoRedefine/>
    <w:qFormat/>
    <w:uiPriority w:val="0"/>
    <w:pPr>
      <w:widowControl/>
      <w:tabs>
        <w:tab w:val="left" w:pos="780"/>
        <w:tab w:val="left" w:pos="1418"/>
      </w:tabs>
      <w:spacing w:line="240" w:lineRule="exact"/>
      <w:ind w:left="780" w:hanging="360"/>
      <w:jc w:val="left"/>
    </w:pPr>
    <w:rPr>
      <w:b w:val="0"/>
      <w:kern w:val="0"/>
      <w:sz w:val="24"/>
      <w:lang w:val="zh-CN"/>
    </w:rPr>
  </w:style>
  <w:style w:type="paragraph" w:customStyle="1" w:styleId="1749">
    <w:name w:val="样式 首行缩进:  2 字符"/>
    <w:basedOn w:val="1"/>
    <w:link w:val="1750"/>
    <w:autoRedefine/>
    <w:qFormat/>
    <w:uiPriority w:val="0"/>
    <w:pPr>
      <w:spacing w:line="600" w:lineRule="exact"/>
      <w:ind w:firstLine="560" w:firstLineChars="200"/>
    </w:pPr>
    <w:rPr>
      <w:color w:val="000000"/>
      <w:sz w:val="28"/>
      <w:lang w:val="zh-CN"/>
    </w:rPr>
  </w:style>
  <w:style w:type="character" w:customStyle="1" w:styleId="1750">
    <w:name w:val="样式 首行缩进:  2 字符 Char"/>
    <w:link w:val="1749"/>
    <w:autoRedefine/>
    <w:qFormat/>
    <w:locked/>
    <w:uiPriority w:val="0"/>
    <w:rPr>
      <w:color w:val="000000"/>
      <w:kern w:val="2"/>
      <w:sz w:val="28"/>
      <w:szCs w:val="24"/>
      <w:lang w:val="zh-CN"/>
    </w:rPr>
  </w:style>
  <w:style w:type="paragraph" w:customStyle="1" w:styleId="1751">
    <w:name w:val="表格内容自定"/>
    <w:basedOn w:val="1"/>
    <w:autoRedefine/>
    <w:qFormat/>
    <w:uiPriority w:val="0"/>
    <w:pPr>
      <w:spacing w:line="280" w:lineRule="exact"/>
      <w:jc w:val="center"/>
    </w:pPr>
    <w:rPr>
      <w:kern w:val="0"/>
      <w:sz w:val="18"/>
      <w:szCs w:val="21"/>
    </w:rPr>
  </w:style>
  <w:style w:type="paragraph" w:customStyle="1" w:styleId="1752">
    <w:name w:val="样式 表格文字 + (西文) 宋体 (中文) 华文仿宋 小四 黑色1"/>
    <w:basedOn w:val="124"/>
    <w:autoRedefine/>
    <w:qFormat/>
    <w:uiPriority w:val="0"/>
    <w:pPr>
      <w:widowControl w:val="0"/>
      <w:suppressLineNumbers w:val="0"/>
      <w:tabs>
        <w:tab w:val="left" w:pos="560"/>
      </w:tabs>
      <w:suppressAutoHyphens w:val="0"/>
      <w:overflowPunct w:val="0"/>
      <w:spacing w:before="0" w:beforeLines="0" w:after="0" w:afterLines="0" w:line="400" w:lineRule="exact"/>
      <w:jc w:val="center"/>
    </w:pPr>
    <w:rPr>
      <w:rFonts w:ascii="Times New Roman" w:hAnsi="宋体" w:cs="宋体"/>
      <w:bCs w:val="0"/>
      <w:color w:val="000000"/>
      <w:szCs w:val="21"/>
    </w:rPr>
  </w:style>
  <w:style w:type="paragraph" w:customStyle="1" w:styleId="1753">
    <w:name w:val="项目段落"/>
    <w:basedOn w:val="1"/>
    <w:autoRedefine/>
    <w:qFormat/>
    <w:uiPriority w:val="0"/>
    <w:pPr>
      <w:spacing w:before="60" w:line="360" w:lineRule="auto"/>
      <w:ind w:left="476" w:firstLine="482"/>
    </w:pPr>
    <w:rPr>
      <w:rFonts w:ascii="Arial" w:hAnsi="Arial" w:eastAsia="仿宋_GB2312"/>
      <w:kern w:val="0"/>
      <w:sz w:val="24"/>
      <w:szCs w:val="20"/>
    </w:rPr>
  </w:style>
  <w:style w:type="paragraph" w:customStyle="1" w:styleId="1754">
    <w:name w:val="样式 调研标题2 + 非加粗"/>
    <w:basedOn w:val="1"/>
    <w:autoRedefine/>
    <w:qFormat/>
    <w:uiPriority w:val="0"/>
    <w:pPr>
      <w:keepNext/>
      <w:keepLines/>
      <w:snapToGrid w:val="0"/>
      <w:spacing w:before="240" w:after="120" w:line="360" w:lineRule="exact"/>
      <w:outlineLvl w:val="1"/>
    </w:pPr>
    <w:rPr>
      <w:rFonts w:ascii="Arial" w:hAnsi="Arial" w:cs="宋体"/>
      <w:b/>
      <w:bCs/>
      <w:color w:val="000000"/>
      <w:sz w:val="28"/>
      <w:szCs w:val="32"/>
    </w:rPr>
  </w:style>
  <w:style w:type="paragraph" w:customStyle="1" w:styleId="1755">
    <w:name w:val="段落1"/>
    <w:basedOn w:val="1"/>
    <w:autoRedefine/>
    <w:qFormat/>
    <w:uiPriority w:val="0"/>
    <w:pPr>
      <w:adjustRightInd w:val="0"/>
      <w:spacing w:line="500" w:lineRule="exact"/>
      <w:ind w:firstLine="592" w:firstLineChars="200"/>
      <w:textAlignment w:val="baseline"/>
    </w:pPr>
    <w:rPr>
      <w:spacing w:val="8"/>
      <w:sz w:val="28"/>
      <w:szCs w:val="20"/>
    </w:rPr>
  </w:style>
  <w:style w:type="paragraph" w:customStyle="1" w:styleId="1756">
    <w:name w:val="段落 Char Char2 Char Char Char Char Char"/>
    <w:basedOn w:val="1"/>
    <w:autoRedefine/>
    <w:qFormat/>
    <w:uiPriority w:val="0"/>
    <w:pPr>
      <w:tabs>
        <w:tab w:val="left" w:pos="1021"/>
      </w:tabs>
      <w:spacing w:line="360" w:lineRule="auto"/>
      <w:ind w:firstLine="480" w:firstLineChars="200"/>
    </w:pPr>
    <w:rPr>
      <w:rFonts w:hAnsi="宋体"/>
      <w:kern w:val="24"/>
      <w:sz w:val="24"/>
    </w:rPr>
  </w:style>
  <w:style w:type="paragraph" w:customStyle="1" w:styleId="1757">
    <w:name w:val="book1_1"/>
    <w:basedOn w:val="4"/>
    <w:autoRedefine/>
    <w:qFormat/>
    <w:uiPriority w:val="0"/>
    <w:pPr>
      <w:keepNext w:val="0"/>
      <w:tabs>
        <w:tab w:val="left" w:pos="622"/>
        <w:tab w:val="left" w:pos="720"/>
        <w:tab w:val="left" w:pos="1419"/>
      </w:tabs>
      <w:spacing w:beforeLines="50" w:afterLines="50" w:line="240" w:lineRule="auto"/>
    </w:pPr>
    <w:rPr>
      <w:rFonts w:ascii="Arial" w:hAnsi="Arial" w:eastAsia="黑体"/>
      <w:b w:val="0"/>
      <w:sz w:val="24"/>
      <w:shd w:val="pct10" w:color="auto" w:fill="FFFFFF"/>
      <w:lang w:val="zh-CN"/>
    </w:rPr>
  </w:style>
  <w:style w:type="paragraph" w:customStyle="1" w:styleId="1758">
    <w:name w:val="样式 标题 3标题 3 Char标题 3 Char Char Char Char Char Char Char Char C...6"/>
    <w:basedOn w:val="5"/>
    <w:autoRedefine/>
    <w:qFormat/>
    <w:uiPriority w:val="0"/>
    <w:pPr>
      <w:tabs>
        <w:tab w:val="left" w:pos="1418"/>
      </w:tabs>
      <w:spacing w:before="0" w:after="0" w:line="360" w:lineRule="auto"/>
      <w:ind w:left="720" w:hanging="720"/>
    </w:pPr>
    <w:rPr>
      <w:b w:val="0"/>
      <w:bCs w:val="0"/>
      <w:color w:val="FF00FF"/>
      <w:sz w:val="28"/>
      <w:lang w:val="zh-CN"/>
    </w:rPr>
  </w:style>
  <w:style w:type="paragraph" w:customStyle="1" w:styleId="1759">
    <w:name w:val="Char1 Char Char Char Char Char Char9"/>
    <w:basedOn w:val="1"/>
    <w:autoRedefine/>
    <w:qFormat/>
    <w:uiPriority w:val="0"/>
    <w:pPr>
      <w:spacing w:line="360" w:lineRule="auto"/>
      <w:ind w:firstLine="200" w:firstLineChars="200"/>
    </w:pPr>
    <w:rPr>
      <w:rFonts w:ascii="宋体" w:hAnsi="宋体" w:cs="宋体"/>
      <w:sz w:val="24"/>
    </w:rPr>
  </w:style>
  <w:style w:type="paragraph" w:customStyle="1" w:styleId="1760">
    <w:name w:val="big"/>
    <w:basedOn w:val="1"/>
    <w:autoRedefine/>
    <w:qFormat/>
    <w:uiPriority w:val="0"/>
    <w:pPr>
      <w:widowControl/>
      <w:spacing w:before="100" w:beforeAutospacing="1" w:after="100" w:afterAutospacing="1" w:line="432" w:lineRule="auto"/>
      <w:jc w:val="left"/>
    </w:pPr>
    <w:rPr>
      <w:rFonts w:ascii="宋体" w:hAnsi="宋体" w:cs="宋体"/>
      <w:b/>
      <w:color w:val="006600"/>
      <w:kern w:val="0"/>
      <w:sz w:val="36"/>
    </w:rPr>
  </w:style>
  <w:style w:type="paragraph" w:customStyle="1" w:styleId="1761">
    <w:name w:val="表格中"/>
    <w:basedOn w:val="1"/>
    <w:autoRedefine/>
    <w:qFormat/>
    <w:uiPriority w:val="0"/>
    <w:pPr>
      <w:spacing w:line="280" w:lineRule="exact"/>
      <w:jc w:val="center"/>
    </w:pPr>
    <w:rPr>
      <w:rFonts w:ascii="宋体"/>
      <w:sz w:val="18"/>
    </w:rPr>
  </w:style>
  <w:style w:type="paragraph" w:customStyle="1" w:styleId="1762">
    <w:name w:val="Char Char Char Char Char Char Char Char Char1 Char21"/>
    <w:basedOn w:val="1"/>
    <w:autoRedefine/>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1763">
    <w:name w:val="Char Char3 Char1"/>
    <w:basedOn w:val="1"/>
    <w:autoRedefine/>
    <w:qFormat/>
    <w:uiPriority w:val="0"/>
    <w:rPr>
      <w:rFonts w:ascii="Tahoma" w:hAnsi="Tahoma"/>
      <w:sz w:val="24"/>
      <w:szCs w:val="20"/>
    </w:rPr>
  </w:style>
  <w:style w:type="paragraph" w:customStyle="1" w:styleId="1764">
    <w:name w:val="样式 左侧:  -0.16 厘米1"/>
    <w:basedOn w:val="1"/>
    <w:autoRedefine/>
    <w:qFormat/>
    <w:uiPriority w:val="0"/>
    <w:pPr>
      <w:ind w:left="-90"/>
    </w:pPr>
    <w:rPr>
      <w:rFonts w:ascii="宋体" w:hAnsi="宋体" w:cs="宋体"/>
      <w:kern w:val="0"/>
      <w:sz w:val="24"/>
    </w:rPr>
  </w:style>
  <w:style w:type="paragraph" w:customStyle="1" w:styleId="1765">
    <w:name w:val="xl109"/>
    <w:basedOn w:val="1"/>
    <w:autoRedefine/>
    <w:qFormat/>
    <w:uiPriority w:val="0"/>
    <w:pPr>
      <w:widowControl/>
      <w:pBdr>
        <w:top w:val="single" w:color="auto" w:sz="12" w:space="0"/>
        <w:bottom w:val="single" w:color="auto" w:sz="8" w:space="0"/>
      </w:pBdr>
      <w:spacing w:before="100" w:beforeAutospacing="1" w:after="100" w:afterAutospacing="1"/>
      <w:jc w:val="center"/>
    </w:pPr>
    <w:rPr>
      <w:rFonts w:ascii="Arial Unicode MS" w:hAnsi="Arial Unicode MS"/>
      <w:kern w:val="0"/>
      <w:sz w:val="16"/>
      <w:szCs w:val="16"/>
    </w:rPr>
  </w:style>
  <w:style w:type="paragraph" w:customStyle="1" w:styleId="1766">
    <w:name w:val="目录 6 Char Char"/>
    <w:basedOn w:val="1"/>
    <w:next w:val="1"/>
    <w:autoRedefine/>
    <w:qFormat/>
    <w:uiPriority w:val="0"/>
    <w:pPr>
      <w:spacing w:line="351" w:lineRule="atLeast"/>
      <w:ind w:left="1048" w:firstLine="419"/>
      <w:jc w:val="left"/>
    </w:pPr>
    <w:rPr>
      <w:rFonts w:hint="eastAsia"/>
      <w:szCs w:val="20"/>
    </w:rPr>
  </w:style>
  <w:style w:type="paragraph" w:customStyle="1" w:styleId="1767">
    <w:name w:val="样式 行距: 1.5 倍行距"/>
    <w:basedOn w:val="1"/>
    <w:autoRedefine/>
    <w:qFormat/>
    <w:uiPriority w:val="0"/>
    <w:pPr>
      <w:spacing w:line="360" w:lineRule="auto"/>
      <w:ind w:firstLine="480" w:firstLineChars="200"/>
    </w:pPr>
    <w:rPr>
      <w:rFonts w:ascii="宋体" w:hAnsi="宋体"/>
      <w:color w:val="FF0000"/>
      <w:kern w:val="0"/>
      <w:sz w:val="24"/>
    </w:rPr>
  </w:style>
  <w:style w:type="paragraph" w:customStyle="1" w:styleId="1768">
    <w:name w:val="mp"/>
    <w:basedOn w:val="1"/>
    <w:autoRedefine/>
    <w:qFormat/>
    <w:uiPriority w:val="0"/>
    <w:pPr>
      <w:widowControl/>
      <w:spacing w:before="100" w:beforeAutospacing="1" w:after="100" w:afterAutospacing="1" w:line="400" w:lineRule="atLeast"/>
      <w:ind w:firstLine="360"/>
    </w:pPr>
    <w:rPr>
      <w:rFonts w:ascii="ˎ̥" w:hAnsi="ˎ̥" w:cs="宋体"/>
      <w:color w:val="454D63"/>
      <w:kern w:val="0"/>
      <w:sz w:val="24"/>
    </w:rPr>
  </w:style>
  <w:style w:type="paragraph" w:customStyle="1" w:styleId="1769">
    <w:name w:val="样式 标题 1章标题 1H1Section HeadHeader1h11st levell1Heading 0..."/>
    <w:basedOn w:val="3"/>
    <w:autoRedefine/>
    <w:qFormat/>
    <w:uiPriority w:val="0"/>
    <w:pPr>
      <w:tabs>
        <w:tab w:val="left" w:pos="425"/>
      </w:tabs>
      <w:overflowPunct/>
      <w:snapToGrid/>
      <w:spacing w:before="0" w:after="0" w:line="500" w:lineRule="exact"/>
      <w:ind w:left="425" w:hanging="425"/>
      <w:jc w:val="left"/>
    </w:pPr>
    <w:rPr>
      <w:rFonts w:eastAsia="宋体" w:cs="宋体"/>
      <w:b w:val="0"/>
      <w:bCs w:val="0"/>
      <w:kern w:val="2"/>
      <w:sz w:val="28"/>
      <w:szCs w:val="20"/>
      <w:lang w:val="zh-CN"/>
    </w:rPr>
  </w:style>
  <w:style w:type="paragraph" w:customStyle="1" w:styleId="1770">
    <w:name w:val="Char Char6 Char Char3"/>
    <w:basedOn w:val="1"/>
    <w:autoRedefine/>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1771">
    <w:name w:val="目录 511"/>
    <w:basedOn w:val="1"/>
    <w:next w:val="1"/>
    <w:autoRedefine/>
    <w:qFormat/>
    <w:uiPriority w:val="0"/>
    <w:pPr>
      <w:ind w:left="630"/>
      <w:jc w:val="left"/>
    </w:pPr>
    <w:rPr>
      <w:sz w:val="20"/>
      <w:szCs w:val="20"/>
    </w:rPr>
  </w:style>
  <w:style w:type="paragraph" w:customStyle="1" w:styleId="1772">
    <w:name w:val="表格内容2"/>
    <w:basedOn w:val="320"/>
    <w:autoRedefine/>
    <w:qFormat/>
    <w:uiPriority w:val="0"/>
    <w:pPr>
      <w:overflowPunct w:val="0"/>
      <w:adjustRightInd w:val="0"/>
      <w:snapToGrid w:val="0"/>
      <w:spacing w:line="240" w:lineRule="auto"/>
      <w:textAlignment w:val="baseline"/>
    </w:pPr>
    <w:rPr>
      <w:rFonts w:ascii="Times New Roman" w:hAnsi="Times New Roman" w:cs="Arial"/>
      <w:color w:val="000000"/>
      <w:kern w:val="0"/>
    </w:rPr>
  </w:style>
  <w:style w:type="paragraph" w:customStyle="1" w:styleId="1773">
    <w:name w:val="Char Char Char Char Char Char1 Char1"/>
    <w:basedOn w:val="1"/>
    <w:autoRedefine/>
    <w:qFormat/>
    <w:uiPriority w:val="0"/>
  </w:style>
  <w:style w:type="paragraph" w:customStyle="1" w:styleId="1774">
    <w:name w:val="Char4 Char Char Char Char Char Char"/>
    <w:basedOn w:val="1"/>
    <w:autoRedefine/>
    <w:qFormat/>
    <w:uiPriority w:val="0"/>
    <w:rPr>
      <w:sz w:val="24"/>
    </w:rPr>
  </w:style>
  <w:style w:type="paragraph" w:customStyle="1" w:styleId="1775">
    <w:name w:val="样式12"/>
    <w:basedOn w:val="53"/>
    <w:autoRedefine/>
    <w:qFormat/>
    <w:uiPriority w:val="0"/>
    <w:pPr>
      <w:widowControl/>
    </w:pPr>
    <w:rPr>
      <w:kern w:val="2"/>
      <w:szCs w:val="18"/>
      <w:lang w:val="zh-CN"/>
    </w:rPr>
  </w:style>
  <w:style w:type="paragraph" w:customStyle="1" w:styleId="1776">
    <w:name w:val="证书面正文"/>
    <w:basedOn w:val="434"/>
    <w:autoRedefine/>
    <w:qFormat/>
    <w:uiPriority w:val="0"/>
    <w:pPr>
      <w:spacing w:line="360" w:lineRule="auto"/>
    </w:pPr>
    <w:rPr>
      <w:rFonts w:hAnsi="黑体"/>
      <w:kern w:val="0"/>
      <w:sz w:val="30"/>
      <w:szCs w:val="30"/>
    </w:rPr>
  </w:style>
  <w:style w:type="paragraph" w:customStyle="1" w:styleId="1777">
    <w:name w:val="zw"/>
    <w:basedOn w:val="1"/>
    <w:autoRedefine/>
    <w:qFormat/>
    <w:uiPriority w:val="0"/>
    <w:pPr>
      <w:widowControl/>
      <w:spacing w:before="100" w:beforeAutospacing="1" w:after="100" w:afterAutospacing="1" w:line="330" w:lineRule="atLeast"/>
      <w:jc w:val="left"/>
    </w:pPr>
    <w:rPr>
      <w:rFonts w:ascii="Arial" w:hAnsi="Arial" w:eastAsia="Times New Roman" w:cs="Arial"/>
      <w:color w:val="333333"/>
      <w:kern w:val="0"/>
      <w:sz w:val="18"/>
      <w:szCs w:val="18"/>
    </w:rPr>
  </w:style>
  <w:style w:type="paragraph" w:customStyle="1" w:styleId="1778">
    <w:name w:val="AAAAAAAAAAAA"/>
    <w:basedOn w:val="1"/>
    <w:autoRedefine/>
    <w:qFormat/>
    <w:uiPriority w:val="0"/>
    <w:pPr>
      <w:jc w:val="center"/>
    </w:pPr>
    <w:rPr>
      <w:rFonts w:hAnsi="宋体"/>
      <w:szCs w:val="20"/>
    </w:rPr>
  </w:style>
  <w:style w:type="paragraph" w:customStyle="1" w:styleId="1779">
    <w:name w:val="Char Char Char Char Char Char Char Char Char Char Char Char Char2"/>
    <w:basedOn w:val="1"/>
    <w:autoRedefine/>
    <w:qFormat/>
    <w:uiPriority w:val="0"/>
    <w:pPr>
      <w:widowControl/>
      <w:spacing w:after="160" w:line="240" w:lineRule="exact"/>
      <w:jc w:val="left"/>
    </w:pPr>
    <w:rPr>
      <w:rFonts w:ascii="Arial" w:hAnsi="Arial" w:cs="Verdana"/>
      <w:b/>
      <w:kern w:val="0"/>
      <w:sz w:val="24"/>
      <w:lang w:eastAsia="en-US"/>
    </w:rPr>
  </w:style>
  <w:style w:type="paragraph" w:customStyle="1" w:styleId="1780">
    <w:name w:val="Char1 Char Char Char Char Char Char3"/>
    <w:basedOn w:val="1"/>
    <w:autoRedefine/>
    <w:qFormat/>
    <w:uiPriority w:val="0"/>
    <w:pPr>
      <w:spacing w:line="360" w:lineRule="auto"/>
      <w:ind w:firstLine="200" w:firstLineChars="200"/>
    </w:pPr>
    <w:rPr>
      <w:rFonts w:ascii="宋体" w:hAnsi="宋体" w:cs="宋体"/>
      <w:sz w:val="24"/>
    </w:rPr>
  </w:style>
  <w:style w:type="paragraph" w:customStyle="1" w:styleId="1781">
    <w:name w:val="目录 61"/>
    <w:basedOn w:val="1"/>
    <w:next w:val="1"/>
    <w:autoRedefine/>
    <w:qFormat/>
    <w:uiPriority w:val="0"/>
    <w:pPr>
      <w:ind w:left="840"/>
      <w:jc w:val="left"/>
    </w:pPr>
    <w:rPr>
      <w:sz w:val="20"/>
      <w:szCs w:val="20"/>
    </w:rPr>
  </w:style>
  <w:style w:type="paragraph" w:customStyle="1" w:styleId="1782">
    <w:name w:val="引言"/>
    <w:basedOn w:val="1"/>
    <w:next w:val="1"/>
    <w:autoRedefine/>
    <w:qFormat/>
    <w:uiPriority w:val="0"/>
    <w:pPr>
      <w:snapToGrid w:val="0"/>
      <w:jc w:val="center"/>
    </w:pPr>
    <w:rPr>
      <w:rFonts w:ascii="仿宋_GB2312" w:eastAsia="仿宋_GB2312"/>
      <w:color w:val="000000"/>
      <w:sz w:val="24"/>
    </w:rPr>
  </w:style>
  <w:style w:type="paragraph" w:customStyle="1" w:styleId="1783">
    <w:name w:val="目录 311"/>
    <w:basedOn w:val="1"/>
    <w:next w:val="1"/>
    <w:autoRedefine/>
    <w:qFormat/>
    <w:uiPriority w:val="39"/>
    <w:pPr>
      <w:ind w:left="210"/>
      <w:jc w:val="left"/>
    </w:pPr>
    <w:rPr>
      <w:sz w:val="20"/>
      <w:szCs w:val="20"/>
    </w:rPr>
  </w:style>
  <w:style w:type="paragraph" w:customStyle="1" w:styleId="1784">
    <w:name w:val="图1"/>
    <w:basedOn w:val="1"/>
    <w:next w:val="1"/>
    <w:autoRedefine/>
    <w:qFormat/>
    <w:uiPriority w:val="0"/>
    <w:pPr>
      <w:tabs>
        <w:tab w:val="left" w:pos="360"/>
      </w:tabs>
      <w:spacing w:beforeLines="50" w:line="360" w:lineRule="auto"/>
      <w:ind w:left="4420" w:hanging="748"/>
      <w:jc w:val="center"/>
    </w:pPr>
    <w:rPr>
      <w:kern w:val="0"/>
      <w:sz w:val="24"/>
    </w:rPr>
  </w:style>
  <w:style w:type="paragraph" w:customStyle="1" w:styleId="1785">
    <w:name w:val="标题11"/>
    <w:basedOn w:val="1"/>
    <w:autoRedefine/>
    <w:qFormat/>
    <w:uiPriority w:val="0"/>
    <w:pPr>
      <w:spacing w:after="240"/>
      <w:outlineLvl w:val="0"/>
    </w:pPr>
    <w:rPr>
      <w:rFonts w:eastAsia="黑体"/>
      <w:sz w:val="44"/>
      <w:szCs w:val="44"/>
    </w:rPr>
  </w:style>
  <w:style w:type="paragraph" w:customStyle="1" w:styleId="1786">
    <w:name w:val="a"/>
    <w:basedOn w:val="1"/>
    <w:autoRedefine/>
    <w:qFormat/>
    <w:uiPriority w:val="0"/>
    <w:pPr>
      <w:widowControl/>
      <w:spacing w:before="100" w:beforeAutospacing="1" w:after="100" w:afterAutospacing="1"/>
      <w:jc w:val="left"/>
    </w:pPr>
    <w:rPr>
      <w:rFonts w:ascii="Arial Unicode MS" w:hAnsi="Arial Unicode MS" w:eastAsia="Arial Unicode MS" w:cs="Arial Unicode MS"/>
      <w:color w:val="000000"/>
      <w:kern w:val="0"/>
      <w:sz w:val="24"/>
    </w:rPr>
  </w:style>
  <w:style w:type="paragraph" w:customStyle="1" w:styleId="1787">
    <w:name w:val="1标题"/>
    <w:next w:val="1321"/>
    <w:autoRedefine/>
    <w:qFormat/>
    <w:uiPriority w:val="0"/>
    <w:pPr>
      <w:adjustRightInd w:val="0"/>
      <w:snapToGrid w:val="0"/>
      <w:spacing w:beforeLines="50" w:line="500" w:lineRule="exact"/>
      <w:jc w:val="center"/>
      <w:outlineLvl w:val="0"/>
    </w:pPr>
    <w:rPr>
      <w:rFonts w:ascii="Times New Roman" w:hAnsi="Times New Roman" w:eastAsia="黑体" w:cs="Arial"/>
      <w:kern w:val="2"/>
      <w:sz w:val="32"/>
      <w:szCs w:val="32"/>
      <w:lang w:val="en-US" w:eastAsia="zh-CN" w:bidi="ar-SA"/>
    </w:rPr>
  </w:style>
  <w:style w:type="paragraph" w:customStyle="1" w:styleId="1788">
    <w:name w:val="Char Char Char Char Char Char Char Char Char Char Char Char Char Char Char Char Char Char Char Char Char Char Char Char Char Char Char Char Char Char Char Char Char Char"/>
    <w:basedOn w:val="1"/>
    <w:autoRedefine/>
    <w:qFormat/>
    <w:uiPriority w:val="0"/>
    <w:rPr>
      <w:sz w:val="24"/>
    </w:rPr>
  </w:style>
  <w:style w:type="paragraph" w:customStyle="1" w:styleId="1789">
    <w:name w:val="InstÀÀll1"/>
    <w:autoRedefine/>
    <w:qFormat/>
    <w:uiPriority w:val="0"/>
    <w:pPr>
      <w:tabs>
        <w:tab w:val="left" w:pos="-720"/>
      </w:tabs>
      <w:suppressAutoHyphens/>
      <w:jc w:val="both"/>
    </w:pPr>
    <w:rPr>
      <w:rFonts w:ascii="Courier" w:hAnsi="Courier" w:eastAsia="宋体" w:cs="Times New Roman"/>
      <w:spacing w:val="-3"/>
      <w:sz w:val="24"/>
      <w:lang w:val="en-US" w:eastAsia="sv-SE" w:bidi="ar-SA"/>
    </w:rPr>
  </w:style>
  <w:style w:type="paragraph" w:customStyle="1" w:styleId="1790">
    <w:name w:val="xl58"/>
    <w:basedOn w:val="1"/>
    <w:autoRedefine/>
    <w:qFormat/>
    <w:uiPriority w:val="0"/>
    <w:pPr>
      <w:widowControl/>
      <w:spacing w:before="100" w:beforeAutospacing="1" w:after="100" w:afterAutospacing="1"/>
      <w:jc w:val="left"/>
    </w:pPr>
    <w:rPr>
      <w:rFonts w:ascii="Arial Unicode MS" w:hAnsi="Arial Unicode MS"/>
      <w:kern w:val="0"/>
      <w:sz w:val="12"/>
      <w:szCs w:val="12"/>
    </w:rPr>
  </w:style>
  <w:style w:type="paragraph" w:customStyle="1" w:styleId="1791">
    <w:name w:val="12"/>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792">
    <w:name w:val="样式 四号 黑色 首行缩进:  2 字符"/>
    <w:basedOn w:val="1"/>
    <w:autoRedefine/>
    <w:qFormat/>
    <w:uiPriority w:val="0"/>
    <w:pPr>
      <w:spacing w:line="480" w:lineRule="atLeast"/>
      <w:ind w:firstLine="200" w:firstLineChars="200"/>
    </w:pPr>
    <w:rPr>
      <w:color w:val="000000"/>
      <w:sz w:val="24"/>
    </w:rPr>
  </w:style>
  <w:style w:type="paragraph" w:customStyle="1" w:styleId="1793">
    <w:name w:val="ST20_1"/>
    <w:basedOn w:val="1"/>
    <w:autoRedefine/>
    <w:qFormat/>
    <w:uiPriority w:val="0"/>
    <w:pPr>
      <w:autoSpaceDE w:val="0"/>
      <w:autoSpaceDN w:val="0"/>
      <w:adjustRightInd w:val="0"/>
      <w:spacing w:line="312" w:lineRule="atLeast"/>
      <w:jc w:val="center"/>
      <w:textAlignment w:val="baseline"/>
    </w:pPr>
    <w:rPr>
      <w:rFonts w:ascii="宋体" w:hAnsi="Tms Rmn"/>
      <w:kern w:val="0"/>
      <w:sz w:val="24"/>
      <w:szCs w:val="20"/>
    </w:rPr>
  </w:style>
  <w:style w:type="paragraph" w:customStyle="1" w:styleId="1794">
    <w:name w:val="xl125"/>
    <w:basedOn w:val="1"/>
    <w:autoRedefine/>
    <w:qFormat/>
    <w:uiPriority w:val="0"/>
    <w:pPr>
      <w:widowControl/>
      <w:spacing w:before="100" w:beforeAutospacing="1" w:after="100" w:afterAutospacing="1"/>
      <w:jc w:val="left"/>
    </w:pPr>
    <w:rPr>
      <w:rFonts w:ascii="Arial Unicode MS" w:hAnsi="Arial Unicode MS"/>
      <w:kern w:val="0"/>
      <w:sz w:val="16"/>
      <w:szCs w:val="16"/>
    </w:rPr>
  </w:style>
  <w:style w:type="paragraph" w:customStyle="1" w:styleId="1795">
    <w:name w:val="XYF1"/>
    <w:basedOn w:val="1"/>
    <w:autoRedefine/>
    <w:qFormat/>
    <w:uiPriority w:val="0"/>
    <w:pPr>
      <w:tabs>
        <w:tab w:val="left" w:pos="1080"/>
      </w:tabs>
      <w:spacing w:line="440" w:lineRule="exact"/>
      <w:ind w:firstLine="195" w:firstLineChars="195"/>
    </w:pPr>
    <w:rPr>
      <w:sz w:val="24"/>
    </w:rPr>
  </w:style>
  <w:style w:type="paragraph" w:customStyle="1" w:styleId="1796">
    <w:name w:val="注×："/>
    <w:autoRedefine/>
    <w:qFormat/>
    <w:uiPriority w:val="0"/>
    <w:pPr>
      <w:widowControl w:val="0"/>
      <w:tabs>
        <w:tab w:val="left" w:pos="630"/>
      </w:tabs>
      <w:autoSpaceDE w:val="0"/>
      <w:autoSpaceDN w:val="0"/>
      <w:ind w:left="900" w:hanging="500"/>
      <w:jc w:val="both"/>
    </w:pPr>
    <w:rPr>
      <w:rFonts w:ascii="宋体" w:hAnsi="Times New Roman" w:eastAsia="宋体" w:cs="Times New Roman"/>
      <w:sz w:val="18"/>
      <w:lang w:val="en-US" w:eastAsia="zh-CN" w:bidi="ar-SA"/>
    </w:rPr>
  </w:style>
  <w:style w:type="paragraph" w:customStyle="1" w:styleId="1797">
    <w:name w:val="样式 四号 首行缩进:  2 字符"/>
    <w:basedOn w:val="1"/>
    <w:autoRedefine/>
    <w:qFormat/>
    <w:uiPriority w:val="0"/>
    <w:pPr>
      <w:snapToGrid w:val="0"/>
      <w:spacing w:line="360" w:lineRule="auto"/>
      <w:ind w:firstLine="560" w:firstLineChars="200"/>
    </w:pPr>
    <w:rPr>
      <w:color w:val="0000FF"/>
      <w:sz w:val="28"/>
      <w:szCs w:val="20"/>
    </w:rPr>
  </w:style>
  <w:style w:type="paragraph" w:customStyle="1" w:styleId="1798">
    <w:name w:val="正文9"/>
    <w:autoRedefine/>
    <w:qFormat/>
    <w:uiPriority w:val="0"/>
    <w:pPr>
      <w:widowControl w:val="0"/>
      <w:adjustRightInd w:val="0"/>
      <w:spacing w:line="312" w:lineRule="atLeast"/>
      <w:jc w:val="both"/>
    </w:pPr>
    <w:rPr>
      <w:rFonts w:ascii="Arial" w:hAnsi="Times New Roman" w:eastAsia="楷体_GB2312" w:cs="Times New Roman"/>
      <w:spacing w:val="-6"/>
      <w:sz w:val="28"/>
      <w:lang w:val="en-US" w:eastAsia="zh-CN" w:bidi="ar-SA"/>
    </w:rPr>
  </w:style>
  <w:style w:type="paragraph" w:customStyle="1" w:styleId="1799">
    <w:name w:val="Date2"/>
    <w:basedOn w:val="1"/>
    <w:next w:val="1"/>
    <w:autoRedefine/>
    <w:qFormat/>
    <w:uiPriority w:val="0"/>
    <w:pPr>
      <w:adjustRightInd w:val="0"/>
      <w:textAlignment w:val="baseline"/>
    </w:pPr>
    <w:rPr>
      <w:szCs w:val="20"/>
    </w:rPr>
  </w:style>
  <w:style w:type="paragraph" w:customStyle="1" w:styleId="1800">
    <w:name w:val="正文(黑体)"/>
    <w:basedOn w:val="1"/>
    <w:autoRedefine/>
    <w:qFormat/>
    <w:uiPriority w:val="0"/>
    <w:pPr>
      <w:autoSpaceDE w:val="0"/>
      <w:autoSpaceDN w:val="0"/>
      <w:adjustRightInd w:val="0"/>
      <w:spacing w:line="288" w:lineRule="auto"/>
      <w:ind w:firstLine="482"/>
      <w:textAlignment w:val="baseline"/>
    </w:pPr>
    <w:rPr>
      <w:rFonts w:ascii="黑体"/>
      <w:kern w:val="0"/>
      <w:sz w:val="24"/>
      <w:szCs w:val="20"/>
    </w:rPr>
  </w:style>
  <w:style w:type="paragraph" w:customStyle="1" w:styleId="1801">
    <w:name w:val="couv"/>
    <w:basedOn w:val="1"/>
    <w:autoRedefine/>
    <w:qFormat/>
    <w:uiPriority w:val="0"/>
    <w:pPr>
      <w:widowControl/>
      <w:spacing w:before="120" w:after="120"/>
      <w:ind w:firstLine="200" w:firstLineChars="200"/>
      <w:jc w:val="center"/>
    </w:pPr>
    <w:rPr>
      <w:b/>
      <w:kern w:val="0"/>
      <w:sz w:val="40"/>
      <w:szCs w:val="20"/>
      <w:lang w:val="en-GB"/>
    </w:rPr>
  </w:style>
  <w:style w:type="paragraph" w:customStyle="1" w:styleId="1802">
    <w:name w:val="Char Char Char Char Char Char1 Char Char Char Char"/>
    <w:basedOn w:val="1"/>
    <w:autoRedefine/>
    <w:qFormat/>
    <w:uiPriority w:val="0"/>
    <w:rPr>
      <w:sz w:val="24"/>
    </w:rPr>
  </w:style>
  <w:style w:type="paragraph" w:customStyle="1" w:styleId="1803">
    <w:name w:val="xl170"/>
    <w:basedOn w:val="1"/>
    <w:autoRedefine/>
    <w:qFormat/>
    <w:uiPriority w:val="0"/>
    <w:pPr>
      <w:widowControl/>
      <w:pBdr>
        <w:left w:val="single" w:color="auto" w:sz="4" w:space="0"/>
        <w:bottom w:val="single" w:color="auto" w:sz="12" w:space="0"/>
      </w:pBdr>
      <w:spacing w:before="100" w:beforeAutospacing="1" w:after="100" w:afterAutospacing="1"/>
      <w:jc w:val="center"/>
    </w:pPr>
    <w:rPr>
      <w:rFonts w:ascii="Arial Unicode MS" w:hAnsi="Arial Unicode MS"/>
      <w:kern w:val="0"/>
    </w:rPr>
  </w:style>
  <w:style w:type="paragraph" w:customStyle="1" w:styleId="1804">
    <w:name w:val="正文-标准"/>
    <w:basedOn w:val="1"/>
    <w:autoRedefine/>
    <w:qFormat/>
    <w:uiPriority w:val="0"/>
    <w:pPr>
      <w:spacing w:line="500" w:lineRule="exact"/>
      <w:ind w:firstLine="200" w:firstLineChars="200"/>
    </w:pPr>
    <w:rPr>
      <w:sz w:val="24"/>
    </w:rPr>
  </w:style>
  <w:style w:type="paragraph" w:customStyle="1" w:styleId="1805">
    <w:name w:val="_Style 1"/>
    <w:basedOn w:val="1"/>
    <w:next w:val="12"/>
    <w:autoRedefine/>
    <w:qFormat/>
    <w:uiPriority w:val="0"/>
    <w:pPr>
      <w:adjustRightInd w:val="0"/>
      <w:spacing w:line="288" w:lineRule="auto"/>
      <w:ind w:firstLine="480"/>
      <w:textAlignment w:val="baseline"/>
    </w:pPr>
    <w:rPr>
      <w:rFonts w:ascii="宋体" w:hAnsi="宋体" w:cs="宋体"/>
      <w:sz w:val="24"/>
    </w:rPr>
  </w:style>
  <w:style w:type="paragraph" w:customStyle="1" w:styleId="1806">
    <w:name w:val="Char Char1 Char1"/>
    <w:basedOn w:val="1"/>
    <w:autoRedefine/>
    <w:qFormat/>
    <w:uiPriority w:val="0"/>
    <w:pPr>
      <w:widowControl/>
      <w:spacing w:after="160" w:line="240" w:lineRule="exact"/>
      <w:jc w:val="left"/>
    </w:pPr>
    <w:rPr>
      <w:szCs w:val="20"/>
    </w:rPr>
  </w:style>
  <w:style w:type="paragraph" w:customStyle="1" w:styleId="1807">
    <w:name w:val="节标题"/>
    <w:basedOn w:val="1"/>
    <w:next w:val="1741"/>
    <w:autoRedefine/>
    <w:qFormat/>
    <w:uiPriority w:val="0"/>
    <w:pPr>
      <w:widowControl/>
      <w:spacing w:line="289" w:lineRule="atLeast"/>
      <w:jc w:val="center"/>
      <w:textAlignment w:val="baseline"/>
    </w:pPr>
    <w:rPr>
      <w:color w:val="000000"/>
      <w:kern w:val="0"/>
      <w:sz w:val="28"/>
      <w:szCs w:val="20"/>
    </w:rPr>
  </w:style>
  <w:style w:type="paragraph" w:customStyle="1" w:styleId="1808">
    <w:name w:val="Char Char Char Char Char Char Char Char Char1 Char Char Char Char8"/>
    <w:basedOn w:val="1"/>
    <w:autoRedefine/>
    <w:qFormat/>
    <w:uiPriority w:val="0"/>
    <w:rPr>
      <w:szCs w:val="21"/>
    </w:rPr>
  </w:style>
  <w:style w:type="paragraph" w:customStyle="1" w:styleId="1809">
    <w:name w:val="样式 标题 1 + (中文) 宋体 小三 行距: 多倍行距 1.35 字行"/>
    <w:basedOn w:val="3"/>
    <w:autoRedefine/>
    <w:qFormat/>
    <w:uiPriority w:val="0"/>
    <w:pPr>
      <w:keepLines/>
      <w:tabs>
        <w:tab w:val="left" w:pos="425"/>
        <w:tab w:val="left" w:pos="720"/>
      </w:tabs>
      <w:overflowPunct/>
      <w:spacing w:before="0" w:beforeLines="150" w:after="0" w:afterLines="150" w:line="300" w:lineRule="auto"/>
      <w:ind w:left="720" w:hanging="720"/>
    </w:pPr>
    <w:rPr>
      <w:rFonts w:ascii="幼圆" w:eastAsia="幼圆"/>
      <w:color w:val="0000FF"/>
      <w:sz w:val="32"/>
      <w:szCs w:val="32"/>
      <w:lang w:val="zh-CN"/>
    </w:rPr>
  </w:style>
  <w:style w:type="paragraph" w:customStyle="1" w:styleId="1810">
    <w:name w:val="小四宋居中1.0"/>
    <w:basedOn w:val="1"/>
    <w:next w:val="1"/>
    <w:autoRedefine/>
    <w:qFormat/>
    <w:uiPriority w:val="0"/>
    <w:pPr>
      <w:spacing w:line="360" w:lineRule="atLeast"/>
      <w:jc w:val="center"/>
    </w:pPr>
    <w:rPr>
      <w:rFonts w:hint="eastAsia" w:ascii="仿宋_GB2312" w:hAnsi="宋体" w:eastAsia="仿宋_GB2312"/>
    </w:rPr>
  </w:style>
  <w:style w:type="paragraph" w:customStyle="1" w:styleId="1811">
    <w:name w:val="正文文本缩进3"/>
    <w:basedOn w:val="1"/>
    <w:autoRedefine/>
    <w:qFormat/>
    <w:uiPriority w:val="0"/>
    <w:pPr>
      <w:spacing w:after="120" w:line="360" w:lineRule="auto"/>
      <w:ind w:left="200" w:leftChars="200" w:firstLine="200" w:firstLineChars="200"/>
    </w:pPr>
    <w:rPr>
      <w:sz w:val="24"/>
    </w:rPr>
  </w:style>
  <w:style w:type="paragraph" w:customStyle="1" w:styleId="1812">
    <w:name w:val="xl183"/>
    <w:basedOn w:val="1"/>
    <w:autoRedefine/>
    <w:qFormat/>
    <w:uiPriority w:val="0"/>
    <w:pPr>
      <w:widowControl/>
      <w:pBdr>
        <w:left w:val="single" w:color="auto" w:sz="4" w:space="0"/>
        <w:right w:val="single" w:color="auto" w:sz="4" w:space="0"/>
      </w:pBdr>
      <w:spacing w:before="100" w:beforeAutospacing="1" w:after="100" w:afterAutospacing="1"/>
      <w:jc w:val="center"/>
    </w:pPr>
    <w:rPr>
      <w:rFonts w:ascii="Arial Unicode MS" w:hAnsi="Arial Unicode MS"/>
      <w:kern w:val="0"/>
      <w:sz w:val="16"/>
      <w:szCs w:val="16"/>
    </w:rPr>
  </w:style>
  <w:style w:type="paragraph" w:customStyle="1" w:styleId="1813">
    <w:name w:val="表格文字居左"/>
    <w:basedOn w:val="1181"/>
    <w:autoRedefine/>
    <w:qFormat/>
    <w:uiPriority w:val="0"/>
    <w:pPr>
      <w:widowControl w:val="0"/>
      <w:tabs>
        <w:tab w:val="left" w:pos="628"/>
        <w:tab w:val="left" w:pos="1727"/>
        <w:tab w:val="left" w:pos="1884"/>
      </w:tabs>
      <w:snapToGrid w:val="0"/>
      <w:spacing w:before="50" w:after="100" w:afterAutospacing="1"/>
      <w:ind w:left="26" w:firstLine="0" w:firstLineChars="0"/>
      <w:outlineLvl w:val="0"/>
    </w:pPr>
    <w:rPr>
      <w:rFonts w:ascii="宋体" w:hAnsi="宋体"/>
      <w:szCs w:val="28"/>
    </w:rPr>
  </w:style>
  <w:style w:type="paragraph" w:customStyle="1" w:styleId="1814">
    <w:name w:val="Char Char Char1 Char Char Char Char Char Char Char1"/>
    <w:basedOn w:val="1"/>
    <w:autoRedefine/>
    <w:qFormat/>
    <w:uiPriority w:val="0"/>
    <w:rPr>
      <w:rFonts w:ascii="Tahoma" w:hAnsi="Tahoma"/>
      <w:sz w:val="24"/>
      <w:szCs w:val="20"/>
    </w:rPr>
  </w:style>
  <w:style w:type="paragraph" w:customStyle="1" w:styleId="1815">
    <w:name w:val="9"/>
    <w:basedOn w:val="1"/>
    <w:next w:val="33"/>
    <w:autoRedefine/>
    <w:qFormat/>
    <w:uiPriority w:val="0"/>
    <w:pPr>
      <w:spacing w:after="120"/>
    </w:pPr>
    <w:rPr>
      <w:rFonts w:ascii="仿宋_GB2312" w:eastAsia="仿宋_GB2312"/>
      <w:sz w:val="28"/>
    </w:rPr>
  </w:style>
  <w:style w:type="paragraph" w:customStyle="1" w:styleId="1816">
    <w:name w:val="ST20_55"/>
    <w:basedOn w:val="1"/>
    <w:autoRedefine/>
    <w:qFormat/>
    <w:uiPriority w:val="0"/>
    <w:pPr>
      <w:tabs>
        <w:tab w:val="left" w:pos="2160"/>
      </w:tabs>
      <w:autoSpaceDE w:val="0"/>
      <w:autoSpaceDN w:val="0"/>
      <w:adjustRightInd w:val="0"/>
      <w:spacing w:after="80" w:line="360" w:lineRule="atLeast"/>
      <w:ind w:left="2160" w:hanging="360"/>
      <w:jc w:val="left"/>
      <w:textAlignment w:val="baseline"/>
    </w:pPr>
    <w:rPr>
      <w:rFonts w:ascii="宋体" w:hAnsi="Tms Rmn"/>
      <w:kern w:val="0"/>
      <w:sz w:val="28"/>
      <w:szCs w:val="20"/>
    </w:rPr>
  </w:style>
  <w:style w:type="paragraph" w:customStyle="1" w:styleId="1817">
    <w:name w:val="样式 标题 2第一章 标题 2Heading 2 HiddenHeading 2 CCBSheading 2H2h2...3"/>
    <w:basedOn w:val="4"/>
    <w:autoRedefine/>
    <w:qFormat/>
    <w:uiPriority w:val="0"/>
    <w:pPr>
      <w:tabs>
        <w:tab w:val="left" w:pos="1419"/>
      </w:tabs>
      <w:spacing w:before="120" w:after="120" w:line="500" w:lineRule="exact"/>
    </w:pPr>
    <w:rPr>
      <w:rFonts w:ascii="Times New Roman" w:hAnsi="Times New Roman" w:eastAsia="仿宋_GB2312" w:cs="宋体"/>
      <w:sz w:val="28"/>
      <w:szCs w:val="20"/>
      <w:lang w:val="zh-CN"/>
    </w:rPr>
  </w:style>
  <w:style w:type="paragraph" w:customStyle="1" w:styleId="1818">
    <w:name w:val="Char Char Char Char Char Char Char Char Char1 Char Char Char Char Char Char Char"/>
    <w:basedOn w:val="1"/>
    <w:autoRedefine/>
    <w:qFormat/>
    <w:uiPriority w:val="0"/>
    <w:rPr>
      <w:szCs w:val="21"/>
    </w:rPr>
  </w:style>
  <w:style w:type="paragraph" w:customStyle="1" w:styleId="1819">
    <w:name w:val="正文文本 22"/>
    <w:basedOn w:val="1"/>
    <w:autoRedefine/>
    <w:qFormat/>
    <w:uiPriority w:val="0"/>
    <w:pPr>
      <w:autoSpaceDE w:val="0"/>
      <w:autoSpaceDN w:val="0"/>
      <w:adjustRightInd w:val="0"/>
      <w:spacing w:line="360" w:lineRule="atLeast"/>
      <w:ind w:firstLine="425"/>
    </w:pPr>
    <w:rPr>
      <w:rFonts w:ascii="宋体" w:hAnsi="Tms Rmn"/>
      <w:kern w:val="0"/>
      <w:sz w:val="28"/>
      <w:szCs w:val="20"/>
    </w:rPr>
  </w:style>
  <w:style w:type="paragraph" w:customStyle="1" w:styleId="1820">
    <w:name w:val="表样式1.1"/>
    <w:basedOn w:val="1"/>
    <w:autoRedefine/>
    <w:qFormat/>
    <w:uiPriority w:val="0"/>
    <w:pPr>
      <w:autoSpaceDE w:val="0"/>
      <w:autoSpaceDN w:val="0"/>
      <w:adjustRightInd w:val="0"/>
      <w:snapToGrid w:val="0"/>
      <w:spacing w:line="374" w:lineRule="exact"/>
      <w:jc w:val="center"/>
    </w:pPr>
    <w:rPr>
      <w:rFonts w:ascii="宋体" w:hAnsi="宋体"/>
      <w:color w:val="000000"/>
      <w:kern w:val="0"/>
      <w:szCs w:val="20"/>
    </w:rPr>
  </w:style>
  <w:style w:type="paragraph" w:customStyle="1" w:styleId="1821">
    <w:name w:val="Char Char Char Char Char Char Char Char Char Char1"/>
    <w:basedOn w:val="1"/>
    <w:autoRedefine/>
    <w:qFormat/>
    <w:uiPriority w:val="0"/>
    <w:rPr>
      <w:rFonts w:ascii="黑体" w:hAnsi="黑体" w:eastAsia="黑体"/>
      <w:b/>
      <w:spacing w:val="10"/>
      <w:sz w:val="28"/>
      <w:szCs w:val="20"/>
    </w:rPr>
  </w:style>
  <w:style w:type="paragraph" w:customStyle="1" w:styleId="1822">
    <w:name w:val="正文2"/>
    <w:autoRedefine/>
    <w:qFormat/>
    <w:uiPriority w:val="0"/>
    <w:pPr>
      <w:widowControl w:val="0"/>
      <w:adjustRightInd w:val="0"/>
      <w:spacing w:line="312" w:lineRule="atLeast"/>
      <w:jc w:val="both"/>
      <w:textAlignment w:val="baseline"/>
    </w:pPr>
    <w:rPr>
      <w:rFonts w:ascii="Arial" w:hAnsi="Times New Roman" w:eastAsia="楷体_GB2312" w:cs="Times New Roman"/>
      <w:spacing w:val="-6"/>
      <w:sz w:val="28"/>
      <w:lang w:val="en-US" w:eastAsia="zh-CN" w:bidi="ar-SA"/>
    </w:rPr>
  </w:style>
  <w:style w:type="paragraph" w:customStyle="1" w:styleId="1823">
    <w:name w:val="样式 标题 3条标题1.1.1条标题1.1.11条标题1.1.12条标题1.1.13条标题1.1.111条标题1.1...2"/>
    <w:basedOn w:val="5"/>
    <w:autoRedefine/>
    <w:qFormat/>
    <w:uiPriority w:val="0"/>
    <w:pPr>
      <w:tabs>
        <w:tab w:val="left" w:pos="1418"/>
      </w:tabs>
      <w:spacing w:before="120" w:after="120" w:line="500" w:lineRule="exact"/>
    </w:pPr>
    <w:rPr>
      <w:rFonts w:ascii="宋体" w:hAnsi="宋体" w:cs="宋体"/>
      <w:sz w:val="24"/>
      <w:szCs w:val="20"/>
      <w:lang w:val="zh-CN"/>
    </w:rPr>
  </w:style>
  <w:style w:type="paragraph" w:customStyle="1" w:styleId="1824">
    <w:name w:val="首1页项目名称"/>
    <w:basedOn w:val="647"/>
    <w:autoRedefine/>
    <w:qFormat/>
    <w:uiPriority w:val="0"/>
    <w:rPr>
      <w:rFonts w:ascii="新宋体" w:hAnsi="新宋体" w:eastAsia="新宋体"/>
    </w:rPr>
  </w:style>
  <w:style w:type="paragraph" w:customStyle="1" w:styleId="1825">
    <w:name w:val="默认段落字体 Para Char Char Char Char Char Char1 Char Char Char Char Char Char Char"/>
    <w:basedOn w:val="1"/>
    <w:autoRedefine/>
    <w:qFormat/>
    <w:uiPriority w:val="0"/>
    <w:rPr>
      <w:sz w:val="24"/>
    </w:rPr>
  </w:style>
  <w:style w:type="paragraph" w:customStyle="1" w:styleId="1826">
    <w:name w:val="默认段落字体 Para Char Char Char1 Char Char Char Char"/>
    <w:basedOn w:val="1"/>
    <w:autoRedefine/>
    <w:qFormat/>
    <w:uiPriority w:val="0"/>
    <w:rPr>
      <w:sz w:val="24"/>
    </w:rPr>
  </w:style>
  <w:style w:type="paragraph" w:customStyle="1" w:styleId="1827">
    <w:name w:val="xl163"/>
    <w:basedOn w:val="1"/>
    <w:autoRedefine/>
    <w:qFormat/>
    <w:uiPriority w:val="0"/>
    <w:pPr>
      <w:widowControl/>
      <w:pBdr>
        <w:left w:val="single" w:color="auto" w:sz="12" w:space="0"/>
      </w:pBdr>
      <w:spacing w:before="100" w:beforeAutospacing="1" w:after="100" w:afterAutospacing="1"/>
      <w:jc w:val="center"/>
    </w:pPr>
    <w:rPr>
      <w:rFonts w:ascii="Arial Unicode MS" w:hAnsi="Arial Unicode MS"/>
      <w:kern w:val="0"/>
    </w:rPr>
  </w:style>
  <w:style w:type="paragraph" w:customStyle="1" w:styleId="1828">
    <w:name w:val="封面标准名称"/>
    <w:autoRedefine/>
    <w:qFormat/>
    <w:uiPriority w:val="0"/>
    <w:pPr>
      <w:framePr w:w="9638" w:h="6917" w:hRule="exact" w:wrap="around" w:vAnchor="margin" w:hAnchor="margin" w:xAlign="center" w:y="5955" w:anchorLock="1"/>
      <w:widowControl w:val="0"/>
      <w:spacing w:line="680" w:lineRule="exact"/>
      <w:jc w:val="center"/>
      <w:textAlignment w:val="center"/>
    </w:pPr>
    <w:rPr>
      <w:rFonts w:ascii="黑体" w:hAnsi="Times New Roman" w:eastAsia="黑体" w:cs="Times New Roman"/>
      <w:sz w:val="52"/>
      <w:lang w:val="en-US" w:eastAsia="zh-CN" w:bidi="ar-SA"/>
    </w:rPr>
  </w:style>
  <w:style w:type="paragraph" w:customStyle="1" w:styleId="1829">
    <w:name w:val="font22"/>
    <w:basedOn w:val="1"/>
    <w:autoRedefine/>
    <w:qFormat/>
    <w:uiPriority w:val="0"/>
    <w:pPr>
      <w:widowControl/>
      <w:spacing w:before="100" w:beforeAutospacing="1" w:after="100" w:afterAutospacing="1"/>
      <w:jc w:val="left"/>
    </w:pPr>
    <w:rPr>
      <w:rFonts w:ascii="宋体" w:hAnsi="宋体" w:cs="宋体"/>
      <w:color w:val="339966"/>
      <w:kern w:val="0"/>
      <w:sz w:val="18"/>
      <w:szCs w:val="18"/>
    </w:rPr>
  </w:style>
  <w:style w:type="paragraph" w:customStyle="1" w:styleId="1830">
    <w:name w:val="Char8"/>
    <w:basedOn w:val="1"/>
    <w:autoRedefine/>
    <w:qFormat/>
    <w:uiPriority w:val="0"/>
    <w:rPr>
      <w:sz w:val="24"/>
    </w:rPr>
  </w:style>
  <w:style w:type="paragraph" w:customStyle="1" w:styleId="1831">
    <w:name w:val="xl94"/>
    <w:basedOn w:val="1"/>
    <w:autoRedefine/>
    <w:qFormat/>
    <w:uiPriority w:val="0"/>
    <w:pPr>
      <w:widowControl/>
      <w:pBdr>
        <w:left w:val="single" w:color="auto" w:sz="12" w:space="0"/>
      </w:pBdr>
      <w:spacing w:before="100" w:beforeAutospacing="1" w:after="100" w:afterAutospacing="1"/>
      <w:jc w:val="center"/>
    </w:pPr>
    <w:rPr>
      <w:rFonts w:ascii="Arial Unicode MS" w:hAnsi="Arial Unicode MS"/>
      <w:kern w:val="0"/>
      <w:sz w:val="12"/>
      <w:szCs w:val="12"/>
    </w:rPr>
  </w:style>
  <w:style w:type="paragraph" w:customStyle="1" w:styleId="1832">
    <w:name w:val="标题001"/>
    <w:basedOn w:val="1"/>
    <w:autoRedefine/>
    <w:qFormat/>
    <w:uiPriority w:val="0"/>
    <w:pPr>
      <w:spacing w:before="60" w:line="480" w:lineRule="exact"/>
      <w:outlineLvl w:val="0"/>
    </w:pPr>
    <w:rPr>
      <w:b/>
      <w:sz w:val="32"/>
      <w:szCs w:val="20"/>
    </w:rPr>
  </w:style>
  <w:style w:type="paragraph" w:customStyle="1" w:styleId="1833">
    <w:name w:val="表号 Char"/>
    <w:basedOn w:val="1"/>
    <w:autoRedefine/>
    <w:qFormat/>
    <w:uiPriority w:val="0"/>
    <w:pPr>
      <w:snapToGrid w:val="0"/>
      <w:ind w:firstLine="480"/>
    </w:pPr>
    <w:rPr>
      <w:kern w:val="32"/>
      <w:sz w:val="24"/>
      <w:szCs w:val="20"/>
    </w:rPr>
  </w:style>
  <w:style w:type="paragraph" w:customStyle="1" w:styleId="1834">
    <w:name w:val="样式 标题 2节 + 宋体 加粗 左"/>
    <w:basedOn w:val="4"/>
    <w:autoRedefine/>
    <w:qFormat/>
    <w:uiPriority w:val="0"/>
    <w:pPr>
      <w:widowControl/>
      <w:tabs>
        <w:tab w:val="left" w:pos="780"/>
        <w:tab w:val="left" w:pos="992"/>
        <w:tab w:val="left" w:pos="1419"/>
      </w:tabs>
      <w:spacing w:before="156" w:after="0" w:line="360" w:lineRule="auto"/>
      <w:ind w:left="780" w:hanging="360"/>
      <w:jc w:val="left"/>
    </w:pPr>
    <w:rPr>
      <w:rFonts w:ascii="宋体" w:hAnsi="宋体" w:cs="宋体"/>
      <w:sz w:val="28"/>
      <w:szCs w:val="24"/>
      <w:lang w:val="zh-CN"/>
    </w:rPr>
  </w:style>
  <w:style w:type="paragraph" w:customStyle="1" w:styleId="1835">
    <w:name w:val="默认段落字体 Para Char Char Char Char Char Char Char"/>
    <w:basedOn w:val="1"/>
    <w:autoRedefine/>
    <w:qFormat/>
    <w:uiPriority w:val="0"/>
    <w:rPr>
      <w:rFonts w:ascii="Arial" w:hAnsi="Arial" w:cs="Arial"/>
      <w:sz w:val="20"/>
      <w:szCs w:val="20"/>
    </w:rPr>
  </w:style>
  <w:style w:type="paragraph" w:customStyle="1" w:styleId="1836">
    <w:name w:val="默认段落字体 Para Char Char Char Char Char Char Char Char Char Char Char Char"/>
    <w:basedOn w:val="1"/>
    <w:autoRedefine/>
    <w:qFormat/>
    <w:uiPriority w:val="0"/>
    <w:rPr>
      <w:sz w:val="24"/>
    </w:rPr>
  </w:style>
  <w:style w:type="paragraph" w:customStyle="1" w:styleId="1837">
    <w:name w:val="标题004"/>
    <w:basedOn w:val="149"/>
    <w:autoRedefine/>
    <w:qFormat/>
    <w:uiPriority w:val="0"/>
    <w:pPr>
      <w:ind w:firstLine="0"/>
      <w:outlineLvl w:val="3"/>
    </w:pPr>
    <w:rPr>
      <w:b/>
    </w:rPr>
  </w:style>
  <w:style w:type="paragraph" w:customStyle="1" w:styleId="1838">
    <w:name w:val="Char Char Char1 Char Char Char Char Char Char Char Char Char Char"/>
    <w:basedOn w:val="1"/>
    <w:autoRedefine/>
    <w:qFormat/>
    <w:uiPriority w:val="0"/>
    <w:rPr>
      <w:szCs w:val="20"/>
    </w:rPr>
  </w:style>
  <w:style w:type="paragraph" w:customStyle="1" w:styleId="1839">
    <w:name w:val="Char Char Char Char13"/>
    <w:basedOn w:val="1"/>
    <w:autoRedefine/>
    <w:qFormat/>
    <w:uiPriority w:val="0"/>
    <w:pPr>
      <w:widowControl/>
      <w:jc w:val="left"/>
    </w:pPr>
    <w:rPr>
      <w:kern w:val="0"/>
      <w:sz w:val="24"/>
      <w:szCs w:val="20"/>
    </w:rPr>
  </w:style>
  <w:style w:type="paragraph" w:customStyle="1" w:styleId="1840">
    <w:name w:val="样式 标题 3 + 行距: 最小值 25 磅"/>
    <w:basedOn w:val="5"/>
    <w:autoRedefine/>
    <w:qFormat/>
    <w:uiPriority w:val="0"/>
    <w:pPr>
      <w:keepLines w:val="0"/>
      <w:tabs>
        <w:tab w:val="left" w:pos="1418"/>
      </w:tabs>
      <w:adjustRightInd w:val="0"/>
      <w:snapToGrid w:val="0"/>
      <w:spacing w:before="0" w:after="0" w:line="490" w:lineRule="atLeast"/>
      <w:jc w:val="left"/>
    </w:pPr>
    <w:rPr>
      <w:b w:val="0"/>
      <w:bCs w:val="0"/>
      <w:sz w:val="28"/>
      <w:szCs w:val="28"/>
      <w:lang w:val="zh-CN"/>
    </w:rPr>
  </w:style>
  <w:style w:type="paragraph" w:customStyle="1" w:styleId="1841">
    <w:name w:val="样式 标题 3标题 3目 + 黑色"/>
    <w:basedOn w:val="5"/>
    <w:autoRedefine/>
    <w:qFormat/>
    <w:uiPriority w:val="0"/>
    <w:pPr>
      <w:widowControl/>
      <w:tabs>
        <w:tab w:val="left" w:pos="510"/>
        <w:tab w:val="left" w:pos="780"/>
        <w:tab w:val="left" w:pos="1418"/>
      </w:tabs>
      <w:spacing w:before="100" w:beforeAutospacing="1" w:after="100" w:afterAutospacing="1" w:line="360" w:lineRule="auto"/>
      <w:ind w:left="780" w:firstLine="200" w:firstLineChars="200"/>
      <w:jc w:val="left"/>
    </w:pPr>
    <w:rPr>
      <w:rFonts w:ascii="宋体" w:hAnsi="宋体" w:cs="宋体"/>
      <w:bCs w:val="0"/>
      <w:color w:val="000000"/>
      <w:sz w:val="28"/>
      <w:szCs w:val="24"/>
      <w:lang w:val="zh-CN"/>
    </w:rPr>
  </w:style>
  <w:style w:type="paragraph" w:customStyle="1" w:styleId="1842">
    <w:name w:val="Char14"/>
    <w:basedOn w:val="1"/>
    <w:autoRedefine/>
    <w:qFormat/>
    <w:uiPriority w:val="0"/>
    <w:rPr>
      <w:szCs w:val="21"/>
    </w:rPr>
  </w:style>
  <w:style w:type="paragraph" w:customStyle="1" w:styleId="1843">
    <w:name w:val="标题3 Char Char Char Char"/>
    <w:basedOn w:val="1"/>
    <w:autoRedefine/>
    <w:qFormat/>
    <w:uiPriority w:val="0"/>
    <w:pPr>
      <w:spacing w:afterLines="50" w:line="560" w:lineRule="exact"/>
    </w:pPr>
    <w:rPr>
      <w:rFonts w:eastAsia="黑体"/>
      <w:sz w:val="30"/>
      <w:szCs w:val="30"/>
    </w:rPr>
  </w:style>
  <w:style w:type="paragraph" w:customStyle="1" w:styleId="1844">
    <w:name w:val="InstÀÀll2"/>
    <w:autoRedefine/>
    <w:qFormat/>
    <w:uiPriority w:val="0"/>
    <w:pPr>
      <w:tabs>
        <w:tab w:val="left" w:pos="-720"/>
      </w:tabs>
      <w:suppressAutoHyphens/>
      <w:jc w:val="both"/>
    </w:pPr>
    <w:rPr>
      <w:rFonts w:ascii="Courier" w:hAnsi="Courier" w:eastAsia="宋体" w:cs="Times New Roman"/>
      <w:spacing w:val="-3"/>
      <w:sz w:val="24"/>
      <w:lang w:val="en-US" w:eastAsia="sv-SE" w:bidi="ar-SA"/>
    </w:rPr>
  </w:style>
  <w:style w:type="paragraph" w:customStyle="1" w:styleId="1845">
    <w:name w:val="普通表格1"/>
    <w:basedOn w:val="42"/>
    <w:autoRedefine/>
    <w:qFormat/>
    <w:uiPriority w:val="0"/>
    <w:pPr>
      <w:snapToGrid w:val="0"/>
      <w:spacing w:line="380" w:lineRule="exact"/>
    </w:pPr>
    <w:rPr>
      <w:rFonts w:ascii="Times New Roman" w:hAnsi="Times New Roman"/>
      <w:sz w:val="24"/>
      <w:szCs w:val="20"/>
    </w:rPr>
  </w:style>
  <w:style w:type="paragraph" w:customStyle="1" w:styleId="1846">
    <w:name w:val="段标"/>
    <w:basedOn w:val="1"/>
    <w:autoRedefine/>
    <w:qFormat/>
    <w:uiPriority w:val="0"/>
    <w:pPr>
      <w:adjustRightInd w:val="0"/>
      <w:spacing w:line="360" w:lineRule="auto"/>
      <w:ind w:firstLine="567"/>
      <w:jc w:val="left"/>
      <w:textAlignment w:val="baseline"/>
    </w:pPr>
    <w:rPr>
      <w:kern w:val="0"/>
      <w:sz w:val="28"/>
      <w:szCs w:val="20"/>
    </w:rPr>
  </w:style>
  <w:style w:type="paragraph" w:customStyle="1" w:styleId="1847">
    <w:name w:val="p20"/>
    <w:basedOn w:val="1"/>
    <w:autoRedefine/>
    <w:qFormat/>
    <w:uiPriority w:val="0"/>
    <w:pPr>
      <w:widowControl/>
      <w:spacing w:line="320" w:lineRule="atLeast"/>
      <w:jc w:val="center"/>
    </w:pPr>
    <w:rPr>
      <w:rFonts w:ascii="宋体" w:hAnsi="宋体" w:cs="宋体"/>
      <w:kern w:val="0"/>
      <w:szCs w:val="21"/>
    </w:rPr>
  </w:style>
  <w:style w:type="paragraph" w:customStyle="1" w:styleId="1848">
    <w:name w:val="xl101"/>
    <w:basedOn w:val="1"/>
    <w:autoRedefine/>
    <w:qFormat/>
    <w:uiPriority w:val="0"/>
    <w:pPr>
      <w:widowControl/>
      <w:pBdr>
        <w:left w:val="single" w:color="auto" w:sz="4" w:space="0"/>
        <w:right w:val="single" w:color="auto" w:sz="12" w:space="0"/>
      </w:pBdr>
      <w:spacing w:before="100" w:beforeAutospacing="1" w:after="100" w:afterAutospacing="1"/>
      <w:jc w:val="center"/>
    </w:pPr>
    <w:rPr>
      <w:rFonts w:ascii="Arial Unicode MS" w:hAnsi="Arial Unicode MS"/>
      <w:kern w:val="0"/>
      <w:sz w:val="16"/>
      <w:szCs w:val="16"/>
    </w:rPr>
  </w:style>
  <w:style w:type="paragraph" w:customStyle="1" w:styleId="1849">
    <w:name w:val="样式 (西文) 宋体 首行缩进:  2 字符"/>
    <w:basedOn w:val="1"/>
    <w:autoRedefine/>
    <w:qFormat/>
    <w:uiPriority w:val="0"/>
    <w:pPr>
      <w:widowControl/>
      <w:spacing w:line="360" w:lineRule="auto"/>
      <w:ind w:firstLine="480" w:firstLineChars="200"/>
      <w:jc w:val="left"/>
    </w:pPr>
    <w:rPr>
      <w:rFonts w:ascii="宋体" w:hAnsi="宋体" w:cs="宋体"/>
      <w:spacing w:val="20"/>
      <w:kern w:val="0"/>
      <w:sz w:val="24"/>
    </w:rPr>
  </w:style>
  <w:style w:type="paragraph" w:customStyle="1" w:styleId="1850">
    <w:name w:val="Indent1"/>
    <w:basedOn w:val="1"/>
    <w:autoRedefine/>
    <w:qFormat/>
    <w:uiPriority w:val="0"/>
    <w:pPr>
      <w:overflowPunct w:val="0"/>
      <w:autoSpaceDE w:val="0"/>
      <w:autoSpaceDN w:val="0"/>
      <w:adjustRightInd w:val="0"/>
      <w:ind w:left="1440" w:hanging="720"/>
      <w:jc w:val="left"/>
      <w:textAlignment w:val="baseline"/>
    </w:pPr>
    <w:rPr>
      <w:rFonts w:ascii="Arial" w:hAnsi="Arial"/>
      <w:kern w:val="0"/>
      <w:sz w:val="22"/>
      <w:szCs w:val="20"/>
    </w:rPr>
  </w:style>
  <w:style w:type="paragraph" w:customStyle="1" w:styleId="1851">
    <w:name w:val="样式 加粗 居中"/>
    <w:basedOn w:val="1"/>
    <w:autoRedefine/>
    <w:qFormat/>
    <w:uiPriority w:val="0"/>
    <w:pPr>
      <w:keepNext/>
      <w:pageBreakBefore/>
      <w:tabs>
        <w:tab w:val="left" w:pos="930"/>
      </w:tabs>
      <w:spacing w:line="720" w:lineRule="auto"/>
      <w:ind w:left="760" w:hanging="283"/>
      <w:jc w:val="center"/>
    </w:pPr>
    <w:rPr>
      <w:rFonts w:cs="宋体"/>
      <w:b/>
      <w:bCs/>
      <w:sz w:val="30"/>
      <w:szCs w:val="30"/>
    </w:rPr>
  </w:style>
  <w:style w:type="paragraph" w:customStyle="1" w:styleId="1852">
    <w:name w:val="Char Char Char Char Char Char Char Char Char1 Char6"/>
    <w:basedOn w:val="1"/>
    <w:autoRedefine/>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1853">
    <w:name w:val="Char Char Char1 Char Char Char Char Char Char Char Char Char"/>
    <w:basedOn w:val="1"/>
    <w:autoRedefine/>
    <w:qFormat/>
    <w:uiPriority w:val="0"/>
    <w:rPr>
      <w:szCs w:val="21"/>
    </w:rPr>
  </w:style>
  <w:style w:type="paragraph" w:customStyle="1" w:styleId="1854">
    <w:name w:val="xl78"/>
    <w:basedOn w:val="1"/>
    <w:autoRedefine/>
    <w:qFormat/>
    <w:uiPriority w:val="0"/>
    <w:pPr>
      <w:widowControl/>
      <w:pBdr>
        <w:left w:val="single" w:color="auto" w:sz="12" w:space="0"/>
      </w:pBdr>
      <w:spacing w:before="100" w:beforeAutospacing="1" w:after="100" w:afterAutospacing="1"/>
      <w:jc w:val="center"/>
    </w:pPr>
    <w:rPr>
      <w:rFonts w:ascii="Arial Unicode MS" w:hAnsi="Arial Unicode MS"/>
      <w:kern w:val="0"/>
      <w:sz w:val="16"/>
      <w:szCs w:val="16"/>
    </w:rPr>
  </w:style>
  <w:style w:type="paragraph" w:customStyle="1" w:styleId="1855">
    <w:name w:val="样式 标题 3Char1 + 宋体 四号 行距: 固定值 25 磅"/>
    <w:basedOn w:val="5"/>
    <w:autoRedefine/>
    <w:qFormat/>
    <w:uiPriority w:val="0"/>
    <w:pPr>
      <w:spacing w:before="0" w:after="0" w:line="500" w:lineRule="exact"/>
    </w:pPr>
    <w:rPr>
      <w:rFonts w:ascii="宋体" w:hAnsi="宋体" w:cs="宋体"/>
      <w:sz w:val="28"/>
      <w:szCs w:val="20"/>
      <w:lang w:val="zh-CN"/>
    </w:rPr>
  </w:style>
  <w:style w:type="paragraph" w:customStyle="1" w:styleId="1856">
    <w:name w:val="6"/>
    <w:basedOn w:val="1"/>
    <w:next w:val="66"/>
    <w:autoRedefine/>
    <w:qFormat/>
    <w:uiPriority w:val="0"/>
    <w:pPr>
      <w:spacing w:after="120" w:line="480" w:lineRule="auto"/>
    </w:pPr>
  </w:style>
  <w:style w:type="paragraph" w:customStyle="1" w:styleId="1857">
    <w:name w:val="Z"/>
    <w:basedOn w:val="1"/>
    <w:autoRedefine/>
    <w:qFormat/>
    <w:uiPriority w:val="0"/>
    <w:pPr>
      <w:spacing w:line="460" w:lineRule="exact"/>
      <w:ind w:firstLine="200" w:firstLineChars="200"/>
    </w:pPr>
    <w:rPr>
      <w:rFonts w:ascii="宋体" w:hAnsi="宋体"/>
      <w:sz w:val="25"/>
    </w:rPr>
  </w:style>
  <w:style w:type="paragraph" w:customStyle="1" w:styleId="1858">
    <w:name w:val="无间隔4"/>
    <w:autoRedefine/>
    <w:qFormat/>
    <w:uiPriority w:val="0"/>
    <w:pPr>
      <w:widowControl w:val="0"/>
      <w:jc w:val="both"/>
    </w:pPr>
    <w:rPr>
      <w:rFonts w:ascii="Arial" w:hAnsi="Arial" w:eastAsia="仿宋" w:cs="Times New Roman"/>
      <w:w w:val="90"/>
      <w:kern w:val="2"/>
      <w:sz w:val="24"/>
      <w:szCs w:val="24"/>
      <w:lang w:val="en-US" w:eastAsia="zh-CN" w:bidi="ar-SA"/>
    </w:rPr>
  </w:style>
  <w:style w:type="paragraph" w:customStyle="1" w:styleId="1859">
    <w:name w:val="xl66"/>
    <w:basedOn w:val="1"/>
    <w:autoRedefine/>
    <w:qFormat/>
    <w:uiPriority w:val="0"/>
    <w:pPr>
      <w:widowControl/>
      <w:pBdr>
        <w:bottom w:val="single" w:color="auto" w:sz="12" w:space="0"/>
        <w:right w:val="single" w:color="auto" w:sz="4" w:space="0"/>
      </w:pBdr>
      <w:spacing w:before="100" w:beforeAutospacing="1" w:after="100" w:afterAutospacing="1"/>
      <w:jc w:val="center"/>
    </w:pPr>
    <w:rPr>
      <w:rFonts w:ascii="Arial Unicode MS" w:hAnsi="Arial Unicode MS"/>
      <w:kern w:val="0"/>
      <w:sz w:val="12"/>
      <w:szCs w:val="12"/>
    </w:rPr>
  </w:style>
  <w:style w:type="paragraph" w:customStyle="1" w:styleId="1860">
    <w:name w:val="Char1 Char Char Char Char Char Char7"/>
    <w:basedOn w:val="1"/>
    <w:autoRedefine/>
    <w:qFormat/>
    <w:uiPriority w:val="0"/>
    <w:pPr>
      <w:spacing w:line="360" w:lineRule="auto"/>
      <w:ind w:firstLine="200" w:firstLineChars="200"/>
    </w:pPr>
    <w:rPr>
      <w:rFonts w:ascii="宋体" w:hAnsi="宋体" w:cs="宋体"/>
      <w:sz w:val="24"/>
    </w:rPr>
  </w:style>
  <w:style w:type="paragraph" w:customStyle="1" w:styleId="1861">
    <w:name w:val="样式 正文缩进正文缩进 Char正文缩进1 Char正文缩进1正文（首行缩进两字） Char正文缩进 Char Cha..."/>
    <w:basedOn w:val="12"/>
    <w:autoRedefine/>
    <w:qFormat/>
    <w:uiPriority w:val="0"/>
    <w:pPr>
      <w:spacing w:beforeLines="50" w:line="360" w:lineRule="auto"/>
      <w:ind w:firstLine="567" w:firstLineChars="0"/>
      <w:jc w:val="left"/>
    </w:pPr>
    <w:rPr>
      <w:sz w:val="24"/>
      <w:szCs w:val="20"/>
      <w:lang w:val="zh-CN"/>
    </w:rPr>
  </w:style>
  <w:style w:type="paragraph" w:customStyle="1" w:styleId="1862">
    <w:name w:val="正文（行首缩进2字）"/>
    <w:basedOn w:val="1"/>
    <w:autoRedefine/>
    <w:qFormat/>
    <w:uiPriority w:val="0"/>
    <w:pPr>
      <w:spacing w:line="360" w:lineRule="auto"/>
      <w:ind w:firstLine="200" w:firstLineChars="200"/>
    </w:pPr>
    <w:rPr>
      <w:sz w:val="28"/>
      <w:szCs w:val="20"/>
    </w:rPr>
  </w:style>
  <w:style w:type="paragraph" w:customStyle="1" w:styleId="1863">
    <w:name w:val="文1"/>
    <w:basedOn w:val="1"/>
    <w:autoRedefine/>
    <w:qFormat/>
    <w:uiPriority w:val="0"/>
    <w:pPr>
      <w:snapToGrid w:val="0"/>
      <w:spacing w:line="360" w:lineRule="auto"/>
      <w:ind w:firstLine="567"/>
    </w:pPr>
    <w:rPr>
      <w:rFonts w:ascii="Arial" w:hAnsi="Arial" w:eastAsia="幼圆"/>
      <w:sz w:val="24"/>
      <w:szCs w:val="20"/>
    </w:rPr>
  </w:style>
  <w:style w:type="paragraph" w:customStyle="1" w:styleId="1864">
    <w:name w:val="dintroduce"/>
    <w:basedOn w:val="1"/>
    <w:autoRedefine/>
    <w:qFormat/>
    <w:uiPriority w:val="0"/>
    <w:pPr>
      <w:widowControl/>
      <w:spacing w:before="100" w:beforeAutospacing="1" w:after="100" w:afterAutospacing="1" w:line="300" w:lineRule="atLeast"/>
      <w:jc w:val="left"/>
    </w:pPr>
    <w:rPr>
      <w:rFonts w:ascii="宋体" w:hAnsi="宋体" w:cs="宋体"/>
      <w:kern w:val="0"/>
      <w:sz w:val="20"/>
      <w:szCs w:val="20"/>
    </w:rPr>
  </w:style>
  <w:style w:type="paragraph" w:customStyle="1" w:styleId="1865">
    <w:name w:val="10"/>
    <w:basedOn w:val="1"/>
    <w:next w:val="12"/>
    <w:autoRedefine/>
    <w:qFormat/>
    <w:uiPriority w:val="0"/>
    <w:pPr>
      <w:spacing w:line="500" w:lineRule="exact"/>
      <w:ind w:firstLine="420"/>
    </w:pPr>
    <w:rPr>
      <w:rFonts w:ascii="仿宋_GB2312" w:eastAsia="仿宋_GB2312"/>
      <w:sz w:val="28"/>
      <w:szCs w:val="20"/>
    </w:rPr>
  </w:style>
  <w:style w:type="paragraph" w:customStyle="1" w:styleId="1866">
    <w:name w:val="样式 标题 4 + 行距: 最小值 25 磅"/>
    <w:basedOn w:val="6"/>
    <w:autoRedefine/>
    <w:qFormat/>
    <w:uiPriority w:val="0"/>
    <w:pPr>
      <w:keepNext w:val="0"/>
      <w:tabs>
        <w:tab w:val="left" w:pos="864"/>
        <w:tab w:val="left" w:pos="1984"/>
      </w:tabs>
      <w:adjustRightInd w:val="0"/>
      <w:spacing w:line="500" w:lineRule="atLeast"/>
      <w:ind w:right="0"/>
      <w:jc w:val="both"/>
    </w:pPr>
    <w:rPr>
      <w:rFonts w:eastAsia="宋体" w:cs="宋体"/>
      <w:color w:val="auto"/>
      <w:kern w:val="0"/>
      <w:szCs w:val="20"/>
      <w:lang w:val="zh-CN"/>
    </w:rPr>
  </w:style>
  <w:style w:type="paragraph" w:customStyle="1" w:styleId="1867">
    <w:name w:val="Char Char Char Char Char Char Char Char Char1 Char Char Char Char9"/>
    <w:basedOn w:val="1"/>
    <w:autoRedefine/>
    <w:qFormat/>
    <w:uiPriority w:val="0"/>
    <w:rPr>
      <w:szCs w:val="21"/>
    </w:rPr>
  </w:style>
  <w:style w:type="paragraph" w:customStyle="1" w:styleId="1868">
    <w:name w:val="Plain Text2"/>
    <w:basedOn w:val="1"/>
    <w:autoRedefine/>
    <w:qFormat/>
    <w:uiPriority w:val="0"/>
    <w:pPr>
      <w:autoSpaceDE w:val="0"/>
      <w:autoSpaceDN w:val="0"/>
      <w:adjustRightInd w:val="0"/>
      <w:textAlignment w:val="baseline"/>
    </w:pPr>
    <w:rPr>
      <w:rFonts w:ascii="宋体" w:hAnsi="Tms Rmn"/>
      <w:kern w:val="0"/>
      <w:szCs w:val="20"/>
    </w:rPr>
  </w:style>
  <w:style w:type="paragraph" w:customStyle="1" w:styleId="1869">
    <w:name w:val="w"/>
    <w:basedOn w:val="1"/>
    <w:autoRedefine/>
    <w:qFormat/>
    <w:uiPriority w:val="0"/>
    <w:pPr>
      <w:widowControl/>
      <w:spacing w:before="100" w:beforeAutospacing="1" w:after="100" w:afterAutospacing="1" w:line="360" w:lineRule="auto"/>
      <w:jc w:val="left"/>
    </w:pPr>
    <w:rPr>
      <w:rFonts w:ascii="Arial" w:hAnsi="Arial" w:cs="Arial"/>
      <w:kern w:val="0"/>
      <w:sz w:val="18"/>
      <w:szCs w:val="18"/>
    </w:rPr>
  </w:style>
  <w:style w:type="paragraph" w:customStyle="1" w:styleId="1870">
    <w:name w:val="样式 小四 行距: 固定值 24 磅"/>
    <w:basedOn w:val="1"/>
    <w:autoRedefine/>
    <w:qFormat/>
    <w:uiPriority w:val="0"/>
    <w:pPr>
      <w:spacing w:line="500" w:lineRule="exact"/>
      <w:ind w:firstLine="200" w:firstLineChars="200"/>
    </w:pPr>
    <w:rPr>
      <w:sz w:val="24"/>
    </w:rPr>
  </w:style>
  <w:style w:type="paragraph" w:customStyle="1" w:styleId="1871">
    <w:name w:val="Char Char Char Char20"/>
    <w:basedOn w:val="1"/>
    <w:autoRedefine/>
    <w:qFormat/>
    <w:uiPriority w:val="0"/>
    <w:rPr>
      <w:sz w:val="24"/>
    </w:rPr>
  </w:style>
  <w:style w:type="paragraph" w:customStyle="1" w:styleId="1872">
    <w:name w:val="czw"/>
    <w:basedOn w:val="1"/>
    <w:autoRedefine/>
    <w:qFormat/>
    <w:uiPriority w:val="0"/>
    <w:pPr>
      <w:widowControl/>
      <w:snapToGrid w:val="0"/>
      <w:spacing w:beforeLines="50" w:afterLines="50" w:line="360" w:lineRule="auto"/>
      <w:ind w:firstLine="560" w:firstLineChars="200"/>
      <w:jc w:val="left"/>
    </w:pPr>
    <w:rPr>
      <w:rFonts w:ascii="宋体" w:hAnsi="宋体" w:cs="宋体"/>
      <w:kern w:val="0"/>
      <w:sz w:val="28"/>
      <w:szCs w:val="28"/>
    </w:rPr>
  </w:style>
  <w:style w:type="paragraph" w:customStyle="1" w:styleId="1873">
    <w:name w:val="Char Char Char1 Char Char Char Char Char Char Char7"/>
    <w:basedOn w:val="1"/>
    <w:autoRedefine/>
    <w:qFormat/>
    <w:uiPriority w:val="0"/>
    <w:rPr>
      <w:rFonts w:ascii="Tahoma" w:hAnsi="Tahoma"/>
      <w:sz w:val="24"/>
      <w:szCs w:val="20"/>
    </w:rPr>
  </w:style>
  <w:style w:type="paragraph" w:customStyle="1" w:styleId="1874">
    <w:name w:val="xl117"/>
    <w:basedOn w:val="1"/>
    <w:autoRedefine/>
    <w:qFormat/>
    <w:uiPriority w:val="0"/>
    <w:pPr>
      <w:widowControl/>
      <w:pBdr>
        <w:left w:val="single" w:color="auto" w:sz="8" w:space="0"/>
      </w:pBdr>
      <w:spacing w:before="100" w:beforeAutospacing="1" w:after="100" w:afterAutospacing="1"/>
      <w:jc w:val="left"/>
    </w:pPr>
    <w:rPr>
      <w:rFonts w:ascii="Arial Unicode MS" w:hAnsi="Arial Unicode MS"/>
      <w:kern w:val="0"/>
    </w:rPr>
  </w:style>
  <w:style w:type="paragraph" w:customStyle="1" w:styleId="1875">
    <w:name w:val="Char Char Char1 Char Char Char Char1"/>
    <w:basedOn w:val="1"/>
    <w:next w:val="1"/>
    <w:autoRedefine/>
    <w:qFormat/>
    <w:uiPriority w:val="0"/>
    <w:pPr>
      <w:spacing w:line="360" w:lineRule="auto"/>
      <w:ind w:firstLine="200" w:firstLineChars="200"/>
    </w:pPr>
    <w:rPr>
      <w:rFonts w:ascii="宋体" w:hAnsi="宋体" w:eastAsia="汉鼎简书宋" w:cs="宋体"/>
      <w:sz w:val="24"/>
    </w:rPr>
  </w:style>
  <w:style w:type="paragraph" w:customStyle="1" w:styleId="1876">
    <w:name w:val="列图"/>
    <w:basedOn w:val="59"/>
    <w:next w:val="1"/>
    <w:autoRedefine/>
    <w:qFormat/>
    <w:uiPriority w:val="0"/>
    <w:pPr>
      <w:tabs>
        <w:tab w:val="left" w:pos="3765"/>
      </w:tabs>
      <w:adjustRightInd w:val="0"/>
      <w:snapToGrid w:val="0"/>
      <w:ind w:left="0" w:firstLine="0" w:firstLineChars="0"/>
      <w:jc w:val="center"/>
    </w:pPr>
    <w:rPr>
      <w:rFonts w:ascii="宋体" w:hAnsi="宋体"/>
      <w:bCs/>
      <w:szCs w:val="21"/>
    </w:rPr>
  </w:style>
  <w:style w:type="paragraph" w:customStyle="1" w:styleId="1877">
    <w:name w:val="表头文字"/>
    <w:basedOn w:val="1"/>
    <w:autoRedefine/>
    <w:qFormat/>
    <w:uiPriority w:val="0"/>
    <w:pPr>
      <w:spacing w:line="360" w:lineRule="auto"/>
      <w:jc w:val="center"/>
    </w:pPr>
    <w:rPr>
      <w:rFonts w:eastAsia="楷体_GB2312"/>
      <w:b/>
      <w:sz w:val="24"/>
      <w:szCs w:val="20"/>
    </w:rPr>
  </w:style>
  <w:style w:type="paragraph" w:customStyle="1" w:styleId="1878">
    <w:name w:val="目录 1 Char Char"/>
    <w:basedOn w:val="1"/>
    <w:next w:val="1"/>
    <w:autoRedefine/>
    <w:qFormat/>
    <w:uiPriority w:val="0"/>
    <w:pPr>
      <w:widowControl/>
      <w:tabs>
        <w:tab w:val="left" w:leader="dot" w:pos="8010"/>
      </w:tabs>
      <w:snapToGrid w:val="0"/>
      <w:spacing w:line="300" w:lineRule="auto"/>
      <w:jc w:val="left"/>
      <w:textAlignment w:val="baseline"/>
    </w:pPr>
    <w:rPr>
      <w:rFonts w:ascii="黑体" w:eastAsia="黑体"/>
      <w:color w:val="000000"/>
      <w:kern w:val="0"/>
      <w:sz w:val="28"/>
      <w:szCs w:val="44"/>
    </w:rPr>
  </w:style>
  <w:style w:type="paragraph" w:customStyle="1" w:styleId="1879">
    <w:name w:val="Char Char Char Char Char Char Char Char Char1 Char Char Char Char Char Char1 Char"/>
    <w:basedOn w:val="1"/>
    <w:autoRedefine/>
    <w:qFormat/>
    <w:uiPriority w:val="0"/>
    <w:rPr>
      <w:szCs w:val="21"/>
    </w:rPr>
  </w:style>
  <w:style w:type="paragraph" w:customStyle="1" w:styleId="1880">
    <w:name w:val="xl180"/>
    <w:basedOn w:val="1"/>
    <w:autoRedefine/>
    <w:qFormat/>
    <w:uiPriority w:val="0"/>
    <w:pPr>
      <w:widowControl/>
      <w:pBdr>
        <w:left w:val="single" w:color="auto" w:sz="4" w:space="0"/>
        <w:right w:val="single" w:color="auto" w:sz="4" w:space="0"/>
      </w:pBdr>
      <w:spacing w:before="100" w:beforeAutospacing="1" w:after="100" w:afterAutospacing="1"/>
      <w:jc w:val="center"/>
    </w:pPr>
    <w:rPr>
      <w:rFonts w:ascii="Arial Unicode MS" w:hAnsi="Arial Unicode MS"/>
      <w:kern w:val="0"/>
      <w:sz w:val="16"/>
      <w:szCs w:val="16"/>
    </w:rPr>
  </w:style>
  <w:style w:type="paragraph" w:customStyle="1" w:styleId="1881">
    <w:name w:val="表里"/>
    <w:basedOn w:val="1"/>
    <w:autoRedefine/>
    <w:qFormat/>
    <w:uiPriority w:val="0"/>
    <w:pPr>
      <w:jc w:val="center"/>
      <w:outlineLvl w:val="8"/>
    </w:pPr>
    <w:rPr>
      <w:sz w:val="24"/>
    </w:rPr>
  </w:style>
  <w:style w:type="paragraph" w:customStyle="1" w:styleId="1882">
    <w:name w:val="Plain Text1"/>
    <w:basedOn w:val="1"/>
    <w:autoRedefine/>
    <w:qFormat/>
    <w:uiPriority w:val="0"/>
    <w:pPr>
      <w:widowControl/>
      <w:adjustRightInd w:val="0"/>
      <w:jc w:val="left"/>
    </w:pPr>
    <w:rPr>
      <w:rFonts w:ascii="宋体" w:hAnsi="Courier New" w:cs="宋体"/>
      <w:kern w:val="0"/>
      <w:sz w:val="24"/>
    </w:rPr>
  </w:style>
  <w:style w:type="paragraph" w:customStyle="1" w:styleId="1883">
    <w:name w:val="xl193"/>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kern w:val="0"/>
      <w:sz w:val="16"/>
      <w:szCs w:val="16"/>
    </w:rPr>
  </w:style>
  <w:style w:type="paragraph" w:customStyle="1" w:styleId="1884">
    <w:name w:val="Char Char Char1 Char Char Char Char Char Char Char2"/>
    <w:basedOn w:val="1"/>
    <w:autoRedefine/>
    <w:qFormat/>
    <w:uiPriority w:val="0"/>
    <w:rPr>
      <w:rFonts w:ascii="Tahoma" w:hAnsi="Tahoma"/>
      <w:sz w:val="24"/>
      <w:szCs w:val="20"/>
    </w:rPr>
  </w:style>
  <w:style w:type="paragraph" w:customStyle="1" w:styleId="1885">
    <w:name w:val="样式 标题 1 + 左侧:  0 厘米 首行缩进:  0 厘米"/>
    <w:basedOn w:val="3"/>
    <w:autoRedefine/>
    <w:qFormat/>
    <w:uiPriority w:val="0"/>
    <w:pPr>
      <w:tabs>
        <w:tab w:val="left" w:pos="425"/>
      </w:tabs>
      <w:overflowPunct/>
      <w:snapToGrid/>
      <w:spacing w:before="0" w:after="0" w:line="360" w:lineRule="auto"/>
      <w:ind w:left="0" w:firstLine="0"/>
      <w:jc w:val="left"/>
    </w:pPr>
    <w:rPr>
      <w:rFonts w:eastAsia="宋体" w:cs="宋体"/>
      <w:b w:val="0"/>
      <w:bCs w:val="0"/>
      <w:color w:val="auto"/>
      <w:kern w:val="2"/>
      <w:sz w:val="32"/>
      <w:szCs w:val="20"/>
      <w:lang w:val="zh-CN"/>
    </w:rPr>
  </w:style>
  <w:style w:type="paragraph" w:customStyle="1" w:styleId="1886">
    <w:name w:val="正文文本缩进 21"/>
    <w:basedOn w:val="1"/>
    <w:autoRedefine/>
    <w:qFormat/>
    <w:uiPriority w:val="0"/>
    <w:pPr>
      <w:adjustRightInd w:val="0"/>
      <w:spacing w:line="480" w:lineRule="atLeast"/>
      <w:ind w:firstLine="630"/>
      <w:textAlignment w:val="baseline"/>
    </w:pPr>
    <w:rPr>
      <w:rFonts w:ascii="宋体"/>
      <w:sz w:val="28"/>
      <w:szCs w:val="20"/>
    </w:rPr>
  </w:style>
  <w:style w:type="paragraph" w:customStyle="1" w:styleId="1887">
    <w:name w:val="标题12"/>
    <w:basedOn w:val="1"/>
    <w:autoRedefine/>
    <w:qFormat/>
    <w:uiPriority w:val="0"/>
    <w:pPr>
      <w:spacing w:after="240"/>
      <w:outlineLvl w:val="0"/>
    </w:pPr>
    <w:rPr>
      <w:rFonts w:eastAsia="黑体"/>
      <w:sz w:val="44"/>
      <w:szCs w:val="44"/>
    </w:rPr>
  </w:style>
  <w:style w:type="paragraph" w:customStyle="1" w:styleId="1888">
    <w:name w:val="Char2 Char Char Char"/>
    <w:basedOn w:val="1"/>
    <w:autoRedefine/>
    <w:qFormat/>
    <w:uiPriority w:val="0"/>
    <w:rPr>
      <w:sz w:val="24"/>
    </w:rPr>
  </w:style>
  <w:style w:type="paragraph" w:customStyle="1" w:styleId="1889">
    <w:name w:val="Char Char1 Char Char Char Char1"/>
    <w:basedOn w:val="1"/>
    <w:autoRedefine/>
    <w:qFormat/>
    <w:uiPriority w:val="0"/>
    <w:rPr>
      <w:sz w:val="24"/>
    </w:rPr>
  </w:style>
  <w:style w:type="paragraph" w:customStyle="1" w:styleId="1890">
    <w:name w:val="样式 样式 标题 2节标题 1.11.1标题2 + 四号 段后: 13 磅 + 段前: 0.5 行"/>
    <w:basedOn w:val="1891"/>
    <w:autoRedefine/>
    <w:qFormat/>
    <w:uiPriority w:val="0"/>
    <w:pPr>
      <w:spacing w:beforeLines="0" w:beforeAutospacing="1" w:line="480" w:lineRule="auto"/>
    </w:pPr>
  </w:style>
  <w:style w:type="paragraph" w:customStyle="1" w:styleId="1891">
    <w:name w:val="样式 标题 2节标题 1.11.1标题2 + 四号 段后: 13 磅"/>
    <w:basedOn w:val="4"/>
    <w:autoRedefine/>
    <w:qFormat/>
    <w:uiPriority w:val="0"/>
    <w:pPr>
      <w:adjustRightInd w:val="0"/>
      <w:snapToGrid w:val="0"/>
      <w:spacing w:beforeLines="100" w:after="0" w:line="360" w:lineRule="auto"/>
    </w:pPr>
    <w:rPr>
      <w:rFonts w:ascii="宋体" w:hAnsi="宋体"/>
      <w:sz w:val="28"/>
      <w:szCs w:val="20"/>
      <w:lang w:val="zh-CN"/>
    </w:rPr>
  </w:style>
  <w:style w:type="paragraph" w:customStyle="1" w:styleId="1892">
    <w:name w:val="样式 样式 标题 3 + (西文) Times New Roman (中文) 宋体 小四 加粗 + 黑色 左侧:  0 厘米..."/>
    <w:basedOn w:val="1"/>
    <w:autoRedefine/>
    <w:qFormat/>
    <w:uiPriority w:val="0"/>
    <w:pPr>
      <w:keepNext/>
      <w:keepLines/>
      <w:adjustRightInd w:val="0"/>
      <w:snapToGrid w:val="0"/>
      <w:spacing w:beforeLines="50" w:line="360" w:lineRule="auto"/>
      <w:jc w:val="left"/>
      <w:outlineLvl w:val="2"/>
    </w:pPr>
    <w:rPr>
      <w:rFonts w:ascii="宋体" w:hAnsi="宋体" w:cs="宋体"/>
      <w:b/>
      <w:bCs/>
      <w:color w:val="000000"/>
      <w:sz w:val="28"/>
      <w:szCs w:val="20"/>
    </w:rPr>
  </w:style>
  <w:style w:type="paragraph" w:customStyle="1" w:styleId="1893">
    <w:name w:val="单位名称"/>
    <w:basedOn w:val="1"/>
    <w:next w:val="1"/>
    <w:autoRedefine/>
    <w:qFormat/>
    <w:uiPriority w:val="0"/>
    <w:pPr>
      <w:jc w:val="center"/>
    </w:pPr>
    <w:rPr>
      <w:sz w:val="44"/>
      <w:szCs w:val="44"/>
    </w:rPr>
  </w:style>
  <w:style w:type="paragraph" w:customStyle="1" w:styleId="1894">
    <w:name w:val="默认段落字体 Para Char Char Char1 Char Char"/>
    <w:basedOn w:val="1"/>
    <w:autoRedefine/>
    <w:qFormat/>
    <w:uiPriority w:val="0"/>
    <w:rPr>
      <w:sz w:val="24"/>
    </w:rPr>
  </w:style>
  <w:style w:type="paragraph" w:customStyle="1" w:styleId="1895">
    <w:name w:val="5 Char"/>
    <w:basedOn w:val="1"/>
    <w:autoRedefine/>
    <w:qFormat/>
    <w:uiPriority w:val="0"/>
    <w:rPr>
      <w:sz w:val="24"/>
    </w:rPr>
  </w:style>
  <w:style w:type="paragraph" w:customStyle="1" w:styleId="1896">
    <w:name w:val="新正文样式"/>
    <w:basedOn w:val="1"/>
    <w:autoRedefine/>
    <w:qFormat/>
    <w:uiPriority w:val="0"/>
    <w:pPr>
      <w:tabs>
        <w:tab w:val="left" w:pos="567"/>
      </w:tabs>
      <w:spacing w:line="360" w:lineRule="auto"/>
      <w:ind w:firstLine="567"/>
    </w:pPr>
    <w:rPr>
      <w:spacing w:val="20"/>
      <w:sz w:val="24"/>
    </w:rPr>
  </w:style>
  <w:style w:type="paragraph" w:customStyle="1" w:styleId="1897">
    <w:name w:val="T正文"/>
    <w:autoRedefine/>
    <w:qFormat/>
    <w:uiPriority w:val="0"/>
    <w:pPr>
      <w:widowControl w:val="0"/>
      <w:adjustRightInd w:val="0"/>
      <w:snapToGrid w:val="0"/>
      <w:spacing w:line="360" w:lineRule="auto"/>
      <w:ind w:firstLine="560" w:firstLineChars="200"/>
      <w:jc w:val="both"/>
    </w:pPr>
    <w:rPr>
      <w:rFonts w:ascii="Times New Roman" w:hAnsi="Times New Roman" w:eastAsia="宋体" w:cs="Times New Roman"/>
      <w:sz w:val="28"/>
      <w:lang w:val="en-US" w:eastAsia="zh-CN" w:bidi="ar-SA"/>
    </w:rPr>
  </w:style>
  <w:style w:type="paragraph" w:customStyle="1" w:styleId="1898">
    <w:name w:val="条4"/>
    <w:basedOn w:val="1"/>
    <w:next w:val="1"/>
    <w:autoRedefine/>
    <w:qFormat/>
    <w:uiPriority w:val="0"/>
    <w:pPr>
      <w:tabs>
        <w:tab w:val="left" w:pos="992"/>
      </w:tabs>
      <w:ind w:left="992" w:hanging="992"/>
      <w:outlineLvl w:val="1"/>
    </w:pPr>
    <w:rPr>
      <w:rFonts w:hint="eastAsia" w:ascii="黑体" w:eastAsia="黑体"/>
      <w:kern w:val="21"/>
      <w:szCs w:val="20"/>
    </w:rPr>
  </w:style>
  <w:style w:type="paragraph" w:customStyle="1" w:styleId="1899">
    <w:name w:val="Char Char Char Char Char Char Char Char Char Char Char Char Char Char Char Char Char Char Char Char Char Char Char Char Char Char Char Char Char Char Char Char Char Char Char Char Char Char Char"/>
    <w:basedOn w:val="1"/>
    <w:autoRedefine/>
    <w:qFormat/>
    <w:uiPriority w:val="0"/>
    <w:rPr>
      <w:sz w:val="24"/>
    </w:rPr>
  </w:style>
  <w:style w:type="paragraph" w:customStyle="1" w:styleId="1900">
    <w:name w:val="Char Char Char1 Char13"/>
    <w:basedOn w:val="4"/>
    <w:autoRedefine/>
    <w:qFormat/>
    <w:uiPriority w:val="0"/>
    <w:pPr>
      <w:spacing w:line="520" w:lineRule="exact"/>
    </w:pPr>
    <w:rPr>
      <w:rFonts w:ascii="Times New Roman" w:hAnsi="Arial"/>
      <w:sz w:val="28"/>
      <w:lang w:val="zh-CN"/>
    </w:rPr>
  </w:style>
  <w:style w:type="paragraph" w:customStyle="1" w:styleId="1901">
    <w:name w:val="p0"/>
    <w:basedOn w:val="1"/>
    <w:autoRedefine/>
    <w:qFormat/>
    <w:uiPriority w:val="0"/>
    <w:pPr>
      <w:widowControl/>
    </w:pPr>
    <w:rPr>
      <w:kern w:val="0"/>
      <w:szCs w:val="21"/>
    </w:rPr>
  </w:style>
  <w:style w:type="paragraph" w:customStyle="1" w:styleId="1902">
    <w:name w:val="Char Char Char1 Char Char Char Char Char Char Char Char Char Char3"/>
    <w:basedOn w:val="1"/>
    <w:autoRedefine/>
    <w:qFormat/>
    <w:uiPriority w:val="0"/>
    <w:rPr>
      <w:szCs w:val="20"/>
    </w:rPr>
  </w:style>
  <w:style w:type="paragraph" w:customStyle="1" w:styleId="1903">
    <w:name w:val="样式 标题 3 + 黑色 Char Char Char Char"/>
    <w:basedOn w:val="5"/>
    <w:autoRedefine/>
    <w:qFormat/>
    <w:uiPriority w:val="0"/>
    <w:pPr>
      <w:keepNext w:val="0"/>
      <w:keepLines w:val="0"/>
      <w:tabs>
        <w:tab w:val="left" w:pos="993"/>
        <w:tab w:val="left" w:pos="1260"/>
        <w:tab w:val="left" w:pos="1418"/>
      </w:tabs>
      <w:adjustRightInd w:val="0"/>
      <w:snapToGrid w:val="0"/>
      <w:spacing w:before="0" w:after="0" w:line="500" w:lineRule="exact"/>
      <w:outlineLvl w:val="9"/>
    </w:pPr>
    <w:rPr>
      <w:b w:val="0"/>
      <w:color w:val="000000"/>
      <w:sz w:val="28"/>
      <w:lang w:val="zh-CN"/>
    </w:rPr>
  </w:style>
  <w:style w:type="paragraph" w:customStyle="1" w:styleId="1904">
    <w:name w:val="xl121"/>
    <w:basedOn w:val="1"/>
    <w:autoRedefine/>
    <w:qFormat/>
    <w:uiPriority w:val="0"/>
    <w:pPr>
      <w:widowControl/>
      <w:spacing w:before="100" w:beforeAutospacing="1" w:after="100" w:afterAutospacing="1"/>
      <w:jc w:val="left"/>
    </w:pPr>
    <w:rPr>
      <w:rFonts w:ascii="Arial Unicode MS" w:hAnsi="Arial Unicode MS"/>
      <w:kern w:val="0"/>
      <w:sz w:val="16"/>
      <w:szCs w:val="16"/>
    </w:rPr>
  </w:style>
  <w:style w:type="paragraph" w:customStyle="1" w:styleId="1905">
    <w:name w:val="表格样式"/>
    <w:basedOn w:val="1"/>
    <w:autoRedefine/>
    <w:qFormat/>
    <w:uiPriority w:val="0"/>
    <w:pPr>
      <w:jc w:val="right"/>
    </w:pPr>
    <w:rPr>
      <w:kern w:val="0"/>
      <w:sz w:val="18"/>
    </w:rPr>
  </w:style>
  <w:style w:type="paragraph" w:customStyle="1" w:styleId="1906">
    <w:name w:val="xl205"/>
    <w:basedOn w:val="1"/>
    <w:autoRedefine/>
    <w:qFormat/>
    <w:uiPriority w:val="0"/>
    <w:pPr>
      <w:widowControl/>
      <w:pBdr>
        <w:top w:val="single" w:color="auto" w:sz="8" w:space="0"/>
        <w:left w:val="single" w:color="auto" w:sz="8" w:space="0"/>
        <w:right w:val="single" w:color="auto" w:sz="8" w:space="0"/>
      </w:pBdr>
      <w:spacing w:before="100" w:beforeAutospacing="1" w:after="100" w:afterAutospacing="1"/>
      <w:jc w:val="center"/>
    </w:pPr>
    <w:rPr>
      <w:kern w:val="0"/>
      <w:sz w:val="18"/>
      <w:szCs w:val="18"/>
    </w:rPr>
  </w:style>
  <w:style w:type="paragraph" w:customStyle="1" w:styleId="1907">
    <w:name w:val="book1_1_1_1"/>
    <w:basedOn w:val="6"/>
    <w:autoRedefine/>
    <w:qFormat/>
    <w:uiPriority w:val="0"/>
    <w:pPr>
      <w:keepNext w:val="0"/>
      <w:keepLines/>
      <w:tabs>
        <w:tab w:val="left" w:pos="1487"/>
        <w:tab w:val="left" w:pos="1984"/>
      </w:tabs>
      <w:spacing w:beforeLines="50" w:afterLines="50" w:line="400" w:lineRule="exact"/>
      <w:ind w:left="536" w:right="0"/>
      <w:jc w:val="both"/>
    </w:pPr>
    <w:rPr>
      <w:rFonts w:ascii="宋体" w:hAnsi="宋体" w:eastAsia="宋体" w:cs="Arial"/>
      <w:bCs/>
      <w:color w:val="auto"/>
      <w:sz w:val="24"/>
      <w:lang w:val="zh-CN"/>
    </w:rPr>
  </w:style>
  <w:style w:type="paragraph" w:customStyle="1" w:styleId="1908">
    <w:name w:val="样式 标题 4 + 宋体 行距: 固定值 16 磅"/>
    <w:basedOn w:val="6"/>
    <w:autoRedefine/>
    <w:qFormat/>
    <w:uiPriority w:val="0"/>
    <w:pPr>
      <w:keepLines/>
      <w:widowControl/>
      <w:spacing w:before="280" w:after="290" w:line="320" w:lineRule="exact"/>
      <w:ind w:right="0"/>
      <w:jc w:val="left"/>
    </w:pPr>
    <w:rPr>
      <w:rFonts w:ascii="宋体" w:hAnsi="宋体" w:eastAsia="宋体" w:cs="宋体"/>
      <w:b/>
      <w:bCs/>
      <w:color w:val="auto"/>
      <w:kern w:val="0"/>
      <w:sz w:val="24"/>
      <w:szCs w:val="20"/>
      <w:lang w:val="zh-CN"/>
    </w:rPr>
  </w:style>
  <w:style w:type="paragraph" w:customStyle="1" w:styleId="1909">
    <w:name w:val="Char Char Char Char Char Char Char Char Char1 Char7"/>
    <w:basedOn w:val="1"/>
    <w:autoRedefine/>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1910">
    <w:name w:val="4 Char"/>
    <w:basedOn w:val="1"/>
    <w:autoRedefine/>
    <w:qFormat/>
    <w:uiPriority w:val="0"/>
  </w:style>
  <w:style w:type="paragraph" w:customStyle="1" w:styleId="1911">
    <w:name w:val="Char1 Char Char Char Char Char Char1"/>
    <w:basedOn w:val="1"/>
    <w:autoRedefine/>
    <w:qFormat/>
    <w:uiPriority w:val="0"/>
    <w:pPr>
      <w:spacing w:line="360" w:lineRule="auto"/>
      <w:ind w:firstLine="200" w:firstLineChars="200"/>
    </w:pPr>
    <w:rPr>
      <w:rFonts w:ascii="宋体" w:hAnsi="宋体" w:cs="宋体"/>
      <w:sz w:val="24"/>
    </w:rPr>
  </w:style>
  <w:style w:type="paragraph" w:customStyle="1" w:styleId="1912">
    <w:name w:val="表序号"/>
    <w:basedOn w:val="7"/>
    <w:autoRedefine/>
    <w:qFormat/>
    <w:uiPriority w:val="0"/>
    <w:pPr>
      <w:keepNext/>
      <w:adjustRightInd/>
      <w:spacing w:before="0" w:beforeLines="0" w:line="360" w:lineRule="auto"/>
      <w:jc w:val="center"/>
    </w:pPr>
    <w:rPr>
      <w:rFonts w:ascii="仿宋_GB2312" w:hAnsi="Arial" w:eastAsia="仿宋_GB2312"/>
      <w:b/>
      <w:snapToGrid/>
      <w:kern w:val="44"/>
      <w:lang w:val="zh-CN"/>
    </w:rPr>
  </w:style>
  <w:style w:type="paragraph" w:customStyle="1" w:styleId="1913">
    <w:name w:val="xl48"/>
    <w:basedOn w:val="1"/>
    <w:autoRedefine/>
    <w:qFormat/>
    <w:uiPriority w:val="0"/>
    <w:pPr>
      <w:widowControl/>
      <w:pBdr>
        <w:left w:val="single" w:color="auto" w:sz="12" w:space="0"/>
        <w:bottom w:val="single" w:color="auto" w:sz="12" w:space="0"/>
      </w:pBdr>
      <w:spacing w:before="100" w:beforeAutospacing="1" w:after="100" w:afterAutospacing="1"/>
      <w:jc w:val="left"/>
    </w:pPr>
    <w:rPr>
      <w:rFonts w:ascii="Arial Unicode MS" w:hAnsi="Arial Unicode MS"/>
      <w:kern w:val="0"/>
      <w:sz w:val="16"/>
      <w:szCs w:val="16"/>
    </w:rPr>
  </w:style>
  <w:style w:type="paragraph" w:customStyle="1" w:styleId="1914">
    <w:name w:val="正常文"/>
    <w:basedOn w:val="1"/>
    <w:autoRedefine/>
    <w:qFormat/>
    <w:uiPriority w:val="0"/>
    <w:pPr>
      <w:adjustRightInd w:val="0"/>
      <w:spacing w:line="480" w:lineRule="exact"/>
      <w:ind w:firstLine="624"/>
    </w:pPr>
    <w:rPr>
      <w:spacing w:val="8"/>
      <w:kern w:val="0"/>
      <w:sz w:val="30"/>
      <w:szCs w:val="20"/>
    </w:rPr>
  </w:style>
  <w:style w:type="paragraph" w:customStyle="1" w:styleId="1915">
    <w:name w:val="Normal3"/>
    <w:autoRedefine/>
    <w:qFormat/>
    <w:uiPriority w:val="0"/>
    <w:pPr>
      <w:widowControl w:val="0"/>
      <w:tabs>
        <w:tab w:val="left" w:pos="567"/>
      </w:tabs>
      <w:adjustRightInd w:val="0"/>
      <w:spacing w:line="360" w:lineRule="atLeast"/>
      <w:jc w:val="both"/>
      <w:textAlignment w:val="baseline"/>
    </w:pPr>
    <w:rPr>
      <w:rFonts w:ascii="Times New Roman" w:hAnsi="Courier" w:eastAsia="PMingLiU" w:cs="Times New Roman"/>
      <w:sz w:val="24"/>
      <w:lang w:val="en-US" w:eastAsia="zh-TW" w:bidi="ar-SA"/>
    </w:rPr>
  </w:style>
  <w:style w:type="paragraph" w:customStyle="1" w:styleId="1916">
    <w:name w:val="样式 标题 4 + 黑色"/>
    <w:basedOn w:val="6"/>
    <w:autoRedefine/>
    <w:qFormat/>
    <w:uiPriority w:val="0"/>
    <w:pPr>
      <w:keepLines/>
      <w:tabs>
        <w:tab w:val="left" w:pos="864"/>
        <w:tab w:val="left" w:pos="1984"/>
      </w:tabs>
      <w:adjustRightInd w:val="0"/>
      <w:snapToGrid w:val="0"/>
      <w:spacing w:line="360" w:lineRule="auto"/>
      <w:ind w:left="709" w:right="0" w:hanging="709"/>
      <w:jc w:val="both"/>
      <w:textAlignment w:val="baseline"/>
    </w:pPr>
    <w:rPr>
      <w:rFonts w:eastAsia="宋体"/>
      <w:b/>
      <w:bCs/>
      <w:color w:val="000000"/>
      <w:kern w:val="0"/>
      <w:sz w:val="24"/>
      <w:szCs w:val="20"/>
      <w:lang w:val="zh-CN"/>
    </w:rPr>
  </w:style>
  <w:style w:type="paragraph" w:customStyle="1" w:styleId="1917">
    <w:name w:val="xl192"/>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Arial Unicode MS" w:hAnsi="Arial Unicode MS"/>
      <w:kern w:val="0"/>
      <w:sz w:val="16"/>
      <w:szCs w:val="16"/>
    </w:rPr>
  </w:style>
  <w:style w:type="paragraph" w:customStyle="1" w:styleId="1918">
    <w:name w:val="Body Text Indent 31"/>
    <w:basedOn w:val="1"/>
    <w:autoRedefine/>
    <w:qFormat/>
    <w:uiPriority w:val="0"/>
    <w:pPr>
      <w:adjustRightInd w:val="0"/>
      <w:spacing w:line="480" w:lineRule="exact"/>
      <w:ind w:firstLine="525"/>
      <w:textAlignment w:val="baseline"/>
    </w:pPr>
    <w:rPr>
      <w:rFonts w:ascii="宋体"/>
      <w:sz w:val="28"/>
      <w:szCs w:val="20"/>
    </w:rPr>
  </w:style>
  <w:style w:type="paragraph" w:customStyle="1" w:styleId="1919">
    <w:name w:val="ABCD"/>
    <w:basedOn w:val="1"/>
    <w:autoRedefine/>
    <w:qFormat/>
    <w:uiPriority w:val="0"/>
    <w:pPr>
      <w:tabs>
        <w:tab w:val="left" w:pos="840"/>
      </w:tabs>
      <w:ind w:left="840" w:firstLine="67"/>
    </w:pPr>
    <w:rPr>
      <w:sz w:val="28"/>
    </w:rPr>
  </w:style>
  <w:style w:type="paragraph" w:customStyle="1" w:styleId="1920">
    <w:name w:val="Char2 Char Char Char4"/>
    <w:basedOn w:val="1"/>
    <w:autoRedefine/>
    <w:qFormat/>
    <w:uiPriority w:val="0"/>
    <w:rPr>
      <w:sz w:val="24"/>
    </w:rPr>
  </w:style>
  <w:style w:type="paragraph" w:customStyle="1" w:styleId="1921">
    <w:name w:val="样式 标题 3标题 3 Char标题 3 Char Char Char Char Char Char Char Char C...2"/>
    <w:basedOn w:val="5"/>
    <w:autoRedefine/>
    <w:qFormat/>
    <w:uiPriority w:val="0"/>
    <w:pPr>
      <w:tabs>
        <w:tab w:val="left" w:pos="720"/>
        <w:tab w:val="left" w:pos="1418"/>
      </w:tabs>
      <w:spacing w:before="0" w:after="0" w:line="360" w:lineRule="auto"/>
      <w:ind w:left="720" w:hanging="720"/>
    </w:pPr>
    <w:rPr>
      <w:rFonts w:ascii="宋体" w:hAnsi="宋体" w:cs="宋体"/>
      <w:bCs w:val="0"/>
      <w:sz w:val="28"/>
      <w:szCs w:val="20"/>
      <w:lang w:val="zh-CN"/>
    </w:rPr>
  </w:style>
  <w:style w:type="paragraph" w:customStyle="1" w:styleId="1922">
    <w:name w:val="标题zl"/>
    <w:basedOn w:val="9"/>
    <w:autoRedefine/>
    <w:qFormat/>
    <w:uiPriority w:val="0"/>
    <w:pPr>
      <w:tabs>
        <w:tab w:val="left" w:pos="3827"/>
      </w:tabs>
    </w:pPr>
    <w:rPr>
      <w:rFonts w:ascii="宋体" w:hAnsi="宋体"/>
      <w:b w:val="0"/>
      <w:bCs w:val="0"/>
      <w:sz w:val="28"/>
    </w:rPr>
  </w:style>
  <w:style w:type="paragraph" w:customStyle="1" w:styleId="1923">
    <w:name w:val="标题01"/>
    <w:basedOn w:val="1"/>
    <w:autoRedefine/>
    <w:qFormat/>
    <w:uiPriority w:val="0"/>
    <w:pPr>
      <w:spacing w:after="120" w:line="460" w:lineRule="atLeast"/>
      <w:ind w:firstLine="480"/>
      <w:jc w:val="center"/>
      <w:outlineLvl w:val="0"/>
    </w:pPr>
    <w:rPr>
      <w:b/>
      <w:sz w:val="30"/>
      <w:szCs w:val="20"/>
    </w:rPr>
  </w:style>
  <w:style w:type="paragraph" w:customStyle="1" w:styleId="1924">
    <w:name w:val="Char Char Char1 Char3"/>
    <w:basedOn w:val="1"/>
    <w:autoRedefine/>
    <w:qFormat/>
    <w:uiPriority w:val="0"/>
    <w:rPr>
      <w:sz w:val="24"/>
    </w:rPr>
  </w:style>
  <w:style w:type="paragraph" w:customStyle="1" w:styleId="1925">
    <w:name w:val="Char110"/>
    <w:basedOn w:val="1"/>
    <w:autoRedefine/>
    <w:qFormat/>
    <w:uiPriority w:val="0"/>
    <w:rPr>
      <w:szCs w:val="21"/>
    </w:rPr>
  </w:style>
  <w:style w:type="paragraph" w:customStyle="1" w:styleId="1926">
    <w:name w:val="hb2"/>
    <w:basedOn w:val="4"/>
    <w:autoRedefine/>
    <w:qFormat/>
    <w:uiPriority w:val="0"/>
    <w:pPr>
      <w:tabs>
        <w:tab w:val="left" w:pos="1419"/>
      </w:tabs>
      <w:topLinePunct/>
      <w:spacing w:line="416" w:lineRule="atLeast"/>
      <w:jc w:val="left"/>
    </w:pPr>
    <w:rPr>
      <w:rFonts w:ascii="宋体" w:hAnsi="Times New Roman" w:cs="Arial"/>
      <w:sz w:val="24"/>
      <w:szCs w:val="24"/>
      <w:lang w:val="zh-CN"/>
    </w:rPr>
  </w:style>
  <w:style w:type="paragraph" w:customStyle="1" w:styleId="1927">
    <w:name w:val="样式 报告书表格 + 小五 底端: (单实线 自动设置  0.75 磅 行宽)"/>
    <w:basedOn w:val="1"/>
    <w:autoRedefine/>
    <w:qFormat/>
    <w:uiPriority w:val="0"/>
    <w:pPr>
      <w:adjustRightInd w:val="0"/>
      <w:spacing w:line="400" w:lineRule="exact"/>
      <w:jc w:val="center"/>
      <w:textAlignment w:val="baseline"/>
    </w:pPr>
    <w:rPr>
      <w:rFonts w:eastAsia="仿宋_GB2312" w:cs="宋体"/>
      <w:kern w:val="0"/>
      <w:sz w:val="18"/>
      <w:szCs w:val="18"/>
    </w:rPr>
  </w:style>
  <w:style w:type="paragraph" w:customStyle="1" w:styleId="1928">
    <w:name w:val="xl162"/>
    <w:basedOn w:val="1"/>
    <w:autoRedefine/>
    <w:qFormat/>
    <w:uiPriority w:val="0"/>
    <w:pPr>
      <w:widowControl/>
      <w:pBdr>
        <w:bottom w:val="single" w:color="auto" w:sz="12" w:space="0"/>
        <w:right w:val="single" w:color="auto" w:sz="12" w:space="0"/>
      </w:pBdr>
      <w:spacing w:before="100" w:beforeAutospacing="1" w:after="100" w:afterAutospacing="1"/>
      <w:jc w:val="center"/>
    </w:pPr>
    <w:rPr>
      <w:rFonts w:ascii="Arial Unicode MS" w:hAnsi="Arial Unicode MS"/>
      <w:kern w:val="0"/>
    </w:rPr>
  </w:style>
  <w:style w:type="paragraph" w:customStyle="1" w:styleId="1929">
    <w:name w:val="表后注"/>
    <w:basedOn w:val="1"/>
    <w:autoRedefine/>
    <w:qFormat/>
    <w:uiPriority w:val="0"/>
    <w:pPr>
      <w:spacing w:line="500" w:lineRule="exact"/>
      <w:ind w:firstLine="584"/>
    </w:pPr>
    <w:rPr>
      <w:sz w:val="24"/>
    </w:rPr>
  </w:style>
  <w:style w:type="paragraph" w:customStyle="1" w:styleId="1930">
    <w:name w:val="样式6"/>
    <w:basedOn w:val="1"/>
    <w:next w:val="1"/>
    <w:link w:val="1931"/>
    <w:autoRedefine/>
    <w:qFormat/>
    <w:uiPriority w:val="0"/>
    <w:pPr>
      <w:spacing w:line="360" w:lineRule="auto"/>
      <w:ind w:firstLine="560"/>
    </w:pPr>
    <w:rPr>
      <w:rFonts w:ascii="宋体" w:hAnsi="宋体"/>
      <w:sz w:val="24"/>
      <w:lang w:val="zh-CN"/>
    </w:rPr>
  </w:style>
  <w:style w:type="character" w:customStyle="1" w:styleId="1931">
    <w:name w:val="样式6 Char Char"/>
    <w:link w:val="1930"/>
    <w:autoRedefine/>
    <w:qFormat/>
    <w:locked/>
    <w:uiPriority w:val="0"/>
    <w:rPr>
      <w:rFonts w:ascii="宋体" w:hAnsi="宋体"/>
      <w:kern w:val="2"/>
      <w:sz w:val="24"/>
      <w:szCs w:val="24"/>
      <w:lang w:val="zh-CN"/>
    </w:rPr>
  </w:style>
  <w:style w:type="paragraph" w:customStyle="1" w:styleId="1932">
    <w:name w:val="Char Char Char Char Char"/>
    <w:basedOn w:val="1"/>
    <w:autoRedefine/>
    <w:qFormat/>
    <w:uiPriority w:val="0"/>
    <w:pPr>
      <w:spacing w:line="240" w:lineRule="exact"/>
      <w:ind w:firstLine="200" w:firstLineChars="200"/>
    </w:pPr>
    <w:rPr>
      <w:sz w:val="28"/>
      <w:szCs w:val="28"/>
    </w:rPr>
  </w:style>
  <w:style w:type="paragraph" w:customStyle="1" w:styleId="1933">
    <w:name w:val="xl124"/>
    <w:basedOn w:val="1"/>
    <w:autoRedefine/>
    <w:qFormat/>
    <w:uiPriority w:val="0"/>
    <w:pPr>
      <w:widowControl/>
      <w:pBdr>
        <w:left w:val="single" w:color="auto" w:sz="4" w:space="0"/>
        <w:bottom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1934">
    <w:name w:val="样式 标题 2标题 2 Char节节标题 1.1H2（一）Underrubrik1prop2Heading 2 ..."/>
    <w:basedOn w:val="4"/>
    <w:autoRedefine/>
    <w:qFormat/>
    <w:uiPriority w:val="0"/>
    <w:pPr>
      <w:tabs>
        <w:tab w:val="left" w:pos="576"/>
        <w:tab w:val="left" w:pos="932"/>
        <w:tab w:val="left" w:pos="1419"/>
      </w:tabs>
      <w:spacing w:before="0" w:after="0" w:line="360" w:lineRule="auto"/>
      <w:ind w:left="932" w:hanging="567"/>
    </w:pPr>
    <w:rPr>
      <w:rFonts w:ascii="Times New Roman" w:hAnsi="Times New Roman"/>
      <w:bCs w:val="0"/>
      <w:sz w:val="30"/>
      <w:szCs w:val="30"/>
      <w:lang w:val="zh-CN"/>
    </w:rPr>
  </w:style>
  <w:style w:type="paragraph" w:customStyle="1" w:styleId="1935">
    <w:name w:val="reader-word-layer reader-word-s1-19"/>
    <w:basedOn w:val="1"/>
    <w:qFormat/>
    <w:uiPriority w:val="0"/>
    <w:pPr>
      <w:widowControl/>
      <w:spacing w:before="100" w:beforeAutospacing="1" w:after="100" w:afterAutospacing="1"/>
      <w:jc w:val="left"/>
    </w:pPr>
    <w:rPr>
      <w:rFonts w:ascii="宋体" w:hAnsi="宋体" w:cs="宋体"/>
      <w:kern w:val="0"/>
      <w:sz w:val="24"/>
    </w:rPr>
  </w:style>
  <w:style w:type="paragraph" w:customStyle="1" w:styleId="1936">
    <w:name w:val="xl173"/>
    <w:basedOn w:val="1"/>
    <w:autoRedefine/>
    <w:qFormat/>
    <w:uiPriority w:val="0"/>
    <w:pPr>
      <w:widowControl/>
      <w:spacing w:before="100" w:beforeAutospacing="1" w:after="100" w:afterAutospacing="1"/>
      <w:jc w:val="center"/>
    </w:pPr>
    <w:rPr>
      <w:rFonts w:ascii="Arial Unicode MS" w:hAnsi="Arial Unicode MS"/>
      <w:kern w:val="0"/>
    </w:rPr>
  </w:style>
  <w:style w:type="paragraph" w:customStyle="1" w:styleId="1937">
    <w:name w:val="y表头"/>
    <w:basedOn w:val="33"/>
    <w:autoRedefine/>
    <w:qFormat/>
    <w:uiPriority w:val="0"/>
    <w:pPr>
      <w:widowControl w:val="0"/>
      <w:tabs>
        <w:tab w:val="left" w:pos="900"/>
      </w:tabs>
      <w:adjustRightInd w:val="0"/>
      <w:snapToGrid/>
      <w:spacing w:before="0" w:after="0" w:line="240" w:lineRule="auto"/>
      <w:ind w:right="0"/>
      <w:jc w:val="center"/>
      <w:textAlignment w:val="baseline"/>
    </w:pPr>
    <w:rPr>
      <w:rFonts w:hint="eastAsia" w:ascii="宋体" w:hAnsi="宋体" w:eastAsia="楷体_GB2312"/>
      <w:b/>
      <w:kern w:val="2"/>
      <w:sz w:val="24"/>
      <w:lang w:val="zh-CN"/>
    </w:rPr>
  </w:style>
  <w:style w:type="paragraph" w:customStyle="1" w:styleId="1938">
    <w:name w:val="样式 列表 + 四号 首行缩进:  0.85 厘米"/>
    <w:basedOn w:val="59"/>
    <w:qFormat/>
    <w:uiPriority w:val="0"/>
    <w:pPr>
      <w:snapToGrid w:val="0"/>
      <w:spacing w:line="360" w:lineRule="auto"/>
      <w:ind w:left="0" w:firstLine="482" w:firstLineChars="0"/>
    </w:pPr>
    <w:rPr>
      <w:rFonts w:cs="宋体"/>
      <w:sz w:val="28"/>
      <w:szCs w:val="20"/>
    </w:rPr>
  </w:style>
  <w:style w:type="paragraph" w:customStyle="1" w:styleId="1939">
    <w:name w:val="Char Char Char Char Char Char Char Char1 Char Char Char Char1"/>
    <w:basedOn w:val="1"/>
    <w:autoRedefine/>
    <w:qFormat/>
    <w:uiPriority w:val="0"/>
  </w:style>
  <w:style w:type="paragraph" w:customStyle="1" w:styleId="1940">
    <w:name w:val="Char Char Char Char Char Char Char Char Char Char Char Char Char7"/>
    <w:basedOn w:val="1"/>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1941">
    <w:name w:val="xl91"/>
    <w:basedOn w:val="1"/>
    <w:autoRedefine/>
    <w:qFormat/>
    <w:uiPriority w:val="0"/>
    <w:pPr>
      <w:widowControl/>
      <w:pBdr>
        <w:bottom w:val="single" w:color="auto" w:sz="12" w:space="0"/>
      </w:pBdr>
      <w:spacing w:before="100" w:beforeAutospacing="1" w:after="100" w:afterAutospacing="1"/>
      <w:jc w:val="center"/>
    </w:pPr>
    <w:rPr>
      <w:rFonts w:ascii="Arial Unicode MS" w:hAnsi="Arial Unicode MS"/>
      <w:kern w:val="0"/>
      <w:sz w:val="12"/>
      <w:szCs w:val="12"/>
    </w:rPr>
  </w:style>
  <w:style w:type="paragraph" w:customStyle="1" w:styleId="1942">
    <w:name w:val="正文文本缩进 211"/>
    <w:basedOn w:val="1"/>
    <w:autoRedefine/>
    <w:qFormat/>
    <w:uiPriority w:val="0"/>
    <w:pPr>
      <w:adjustRightInd w:val="0"/>
      <w:spacing w:line="480" w:lineRule="atLeast"/>
      <w:ind w:firstLine="630"/>
      <w:textAlignment w:val="baseline"/>
    </w:pPr>
    <w:rPr>
      <w:rFonts w:ascii="宋体"/>
      <w:sz w:val="28"/>
      <w:szCs w:val="20"/>
    </w:rPr>
  </w:style>
  <w:style w:type="paragraph" w:customStyle="1" w:styleId="1943">
    <w:name w:val="正文文字 3"/>
    <w:basedOn w:val="1"/>
    <w:autoRedefine/>
    <w:qFormat/>
    <w:uiPriority w:val="0"/>
    <w:pPr>
      <w:jc w:val="center"/>
    </w:pPr>
    <w:rPr>
      <w:szCs w:val="21"/>
    </w:rPr>
  </w:style>
  <w:style w:type="paragraph" w:customStyle="1" w:styleId="1944">
    <w:name w:val="纯文本11"/>
    <w:basedOn w:val="1"/>
    <w:autoRedefine/>
    <w:qFormat/>
    <w:uiPriority w:val="0"/>
    <w:pPr>
      <w:adjustRightInd w:val="0"/>
      <w:textAlignment w:val="baseline"/>
    </w:pPr>
    <w:rPr>
      <w:rFonts w:ascii="宋体" w:hAnsi="Courier New"/>
      <w:szCs w:val="20"/>
    </w:rPr>
  </w:style>
  <w:style w:type="paragraph" w:customStyle="1" w:styleId="1945">
    <w:name w:val="Char Char Char Char Char Char Char Char Char Char Char Char Char Char Char Char Char Char Char Char Char Char Char Char Char Char Char Char Char Char Char Char Char Char Char Char Char"/>
    <w:basedOn w:val="1"/>
    <w:qFormat/>
    <w:uiPriority w:val="0"/>
    <w:rPr>
      <w:sz w:val="24"/>
    </w:rPr>
  </w:style>
  <w:style w:type="paragraph" w:customStyle="1" w:styleId="1946">
    <w:name w:val="表格文本 小五 居中"/>
    <w:basedOn w:val="1"/>
    <w:autoRedefine/>
    <w:qFormat/>
    <w:uiPriority w:val="0"/>
    <w:pPr>
      <w:adjustRightInd w:val="0"/>
      <w:snapToGrid w:val="0"/>
      <w:jc w:val="center"/>
    </w:pPr>
    <w:rPr>
      <w:rFonts w:cs="宋体"/>
      <w:szCs w:val="21"/>
    </w:rPr>
  </w:style>
  <w:style w:type="paragraph" w:customStyle="1" w:styleId="1947">
    <w:name w:val="Char Char Char Char Char Char Char Char1 Char Char Char Char Char Char Char Char Char Char"/>
    <w:basedOn w:val="1"/>
    <w:autoRedefine/>
    <w:qFormat/>
    <w:uiPriority w:val="0"/>
    <w:rPr>
      <w:sz w:val="24"/>
    </w:rPr>
  </w:style>
  <w:style w:type="paragraph" w:customStyle="1" w:styleId="1948">
    <w:name w:val="xl200"/>
    <w:basedOn w:val="1"/>
    <w:autoRedefine/>
    <w:qFormat/>
    <w:uiPriority w:val="0"/>
    <w:pPr>
      <w:widowControl/>
      <w:pBdr>
        <w:top w:val="single" w:color="auto" w:sz="12" w:space="0"/>
        <w:left w:val="single" w:color="auto" w:sz="8" w:space="0"/>
        <w:right w:val="single" w:color="auto" w:sz="8" w:space="0"/>
      </w:pBdr>
      <w:spacing w:before="100" w:beforeAutospacing="1" w:after="100" w:afterAutospacing="1"/>
      <w:jc w:val="center"/>
    </w:pPr>
    <w:rPr>
      <w:rFonts w:ascii="宋体" w:hAnsi="宋体" w:cs="宋体"/>
      <w:color w:val="0000FF"/>
      <w:kern w:val="0"/>
      <w:sz w:val="18"/>
      <w:szCs w:val="18"/>
    </w:rPr>
  </w:style>
  <w:style w:type="paragraph" w:customStyle="1" w:styleId="1949">
    <w:name w:val="InstÀÀll"/>
    <w:autoRedefine/>
    <w:qFormat/>
    <w:uiPriority w:val="0"/>
    <w:pPr>
      <w:tabs>
        <w:tab w:val="left" w:pos="-720"/>
      </w:tabs>
      <w:suppressAutoHyphens/>
      <w:jc w:val="both"/>
    </w:pPr>
    <w:rPr>
      <w:rFonts w:ascii="Courier" w:hAnsi="Courier" w:eastAsia="宋体" w:cs="Times New Roman"/>
      <w:spacing w:val="-3"/>
      <w:sz w:val="24"/>
      <w:lang w:val="en-US" w:eastAsia="sv-SE" w:bidi="ar-SA"/>
    </w:rPr>
  </w:style>
  <w:style w:type="paragraph" w:customStyle="1" w:styleId="1950">
    <w:name w:val="Char Char Char Char1"/>
    <w:basedOn w:val="1"/>
    <w:autoRedefine/>
    <w:qFormat/>
    <w:uiPriority w:val="0"/>
    <w:pPr>
      <w:widowControl/>
      <w:jc w:val="left"/>
    </w:pPr>
    <w:rPr>
      <w:kern w:val="0"/>
      <w:sz w:val="24"/>
      <w:szCs w:val="20"/>
    </w:rPr>
  </w:style>
  <w:style w:type="paragraph" w:customStyle="1" w:styleId="1951">
    <w:name w:val="xl46"/>
    <w:basedOn w:val="1"/>
    <w:autoRedefine/>
    <w:qFormat/>
    <w:uiPriority w:val="0"/>
    <w:pPr>
      <w:widowControl/>
      <w:pBdr>
        <w:bottom w:val="single" w:color="auto" w:sz="12" w:space="0"/>
        <w:right w:val="single" w:color="auto" w:sz="12" w:space="0"/>
      </w:pBdr>
      <w:spacing w:before="100" w:beforeAutospacing="1" w:after="100" w:afterAutospacing="1"/>
      <w:jc w:val="left"/>
    </w:pPr>
    <w:rPr>
      <w:rFonts w:ascii="Arial Unicode MS" w:hAnsi="Arial Unicode MS"/>
      <w:kern w:val="0"/>
      <w:sz w:val="16"/>
      <w:szCs w:val="16"/>
    </w:rPr>
  </w:style>
  <w:style w:type="paragraph" w:customStyle="1" w:styleId="1952">
    <w:name w:val="xl99"/>
    <w:basedOn w:val="1"/>
    <w:autoRedefine/>
    <w:qFormat/>
    <w:uiPriority w:val="0"/>
    <w:pPr>
      <w:widowControl/>
      <w:pBdr>
        <w:bottom w:val="single" w:color="auto" w:sz="12" w:space="0"/>
      </w:pBdr>
      <w:spacing w:before="100" w:beforeAutospacing="1" w:after="100" w:afterAutospacing="1"/>
      <w:jc w:val="center"/>
    </w:pPr>
    <w:rPr>
      <w:rFonts w:ascii="Arial Unicode MS" w:hAnsi="Arial Unicode MS"/>
      <w:kern w:val="0"/>
      <w:sz w:val="12"/>
      <w:szCs w:val="12"/>
    </w:rPr>
  </w:style>
  <w:style w:type="paragraph" w:customStyle="1" w:styleId="1953">
    <w:name w:val="默认段落字体 Para Char Char Char"/>
    <w:basedOn w:val="1"/>
    <w:autoRedefine/>
    <w:qFormat/>
    <w:uiPriority w:val="0"/>
    <w:rPr>
      <w:sz w:val="24"/>
    </w:rPr>
  </w:style>
  <w:style w:type="paragraph" w:customStyle="1" w:styleId="1954">
    <w:name w:val="样式 标题 3 + 黑色 段前: 0行 段后: 0 行"/>
    <w:basedOn w:val="5"/>
    <w:autoRedefine/>
    <w:qFormat/>
    <w:uiPriority w:val="0"/>
    <w:pPr>
      <w:tabs>
        <w:tab w:val="left" w:pos="426"/>
        <w:tab w:val="left" w:pos="1080"/>
        <w:tab w:val="left" w:pos="1418"/>
      </w:tabs>
      <w:adjustRightInd w:val="0"/>
      <w:snapToGrid w:val="0"/>
      <w:spacing w:beforeLines="50" w:after="0" w:line="324" w:lineRule="auto"/>
    </w:pPr>
    <w:rPr>
      <w:rFonts w:ascii="仿宋_GB2312" w:eastAsia="仿宋_GB2312"/>
      <w:b w:val="0"/>
      <w:bCs w:val="0"/>
      <w:color w:val="000000"/>
      <w:sz w:val="28"/>
      <w:szCs w:val="20"/>
      <w:lang w:val="zh-CN"/>
    </w:rPr>
  </w:style>
  <w:style w:type="paragraph" w:customStyle="1" w:styleId="1955">
    <w:name w:val="Char2 Char Char Char Char Char"/>
    <w:basedOn w:val="1"/>
    <w:autoRedefine/>
    <w:qFormat/>
    <w:uiPriority w:val="0"/>
    <w:rPr>
      <w:sz w:val="24"/>
    </w:rPr>
  </w:style>
  <w:style w:type="paragraph" w:customStyle="1" w:styleId="1956">
    <w:name w:val="节标题单学凯"/>
    <w:basedOn w:val="4"/>
    <w:autoRedefine/>
    <w:qFormat/>
    <w:uiPriority w:val="0"/>
    <w:pPr>
      <w:tabs>
        <w:tab w:val="left" w:pos="1419"/>
      </w:tabs>
      <w:adjustRightInd w:val="0"/>
      <w:snapToGrid w:val="0"/>
      <w:spacing w:before="0" w:after="0" w:line="360" w:lineRule="auto"/>
    </w:pPr>
    <w:rPr>
      <w:rFonts w:ascii="黑体" w:hAnsi="Arial"/>
      <w:kern w:val="0"/>
      <w:sz w:val="30"/>
      <w:szCs w:val="28"/>
      <w:lang w:val="zh-CN"/>
    </w:rPr>
  </w:style>
  <w:style w:type="paragraph" w:customStyle="1" w:styleId="1957">
    <w:name w:val="Char Char Char Char Char Char Char Char Char1 Char8"/>
    <w:basedOn w:val="1"/>
    <w:autoRedefine/>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1958">
    <w:name w:val="Char Char Char1 Char Char Char Char Char Char1 Char Char Char Char Char Char Char Char Char Char3"/>
    <w:basedOn w:val="1"/>
    <w:autoRedefine/>
    <w:qFormat/>
    <w:uiPriority w:val="0"/>
    <w:rPr>
      <w:rFonts w:ascii="宋体" w:hAnsi="宋体"/>
      <w:sz w:val="24"/>
    </w:rPr>
  </w:style>
  <w:style w:type="paragraph" w:customStyle="1" w:styleId="1959">
    <w:name w:val="Char Char Char1 Char Char Char Char2"/>
    <w:basedOn w:val="1"/>
    <w:next w:val="1"/>
    <w:autoRedefine/>
    <w:qFormat/>
    <w:uiPriority w:val="0"/>
    <w:pPr>
      <w:spacing w:line="360" w:lineRule="auto"/>
      <w:ind w:firstLine="200" w:firstLineChars="200"/>
    </w:pPr>
    <w:rPr>
      <w:rFonts w:ascii="宋体" w:hAnsi="宋体" w:eastAsia="汉鼎简书宋" w:cs="宋体"/>
      <w:sz w:val="24"/>
    </w:rPr>
  </w:style>
  <w:style w:type="paragraph" w:customStyle="1" w:styleId="1960">
    <w:name w:val="目录 711"/>
    <w:basedOn w:val="1"/>
    <w:next w:val="1"/>
    <w:qFormat/>
    <w:uiPriority w:val="0"/>
    <w:pPr>
      <w:ind w:left="1050"/>
      <w:jc w:val="left"/>
    </w:pPr>
    <w:rPr>
      <w:sz w:val="20"/>
      <w:szCs w:val="20"/>
    </w:rPr>
  </w:style>
  <w:style w:type="paragraph" w:customStyle="1" w:styleId="1961">
    <w:name w:val="批注文字1"/>
    <w:basedOn w:val="1"/>
    <w:autoRedefine/>
    <w:qFormat/>
    <w:uiPriority w:val="0"/>
    <w:pPr>
      <w:jc w:val="left"/>
    </w:pPr>
    <w:rPr>
      <w:rFonts w:ascii="Arial" w:hAnsi="Arial" w:eastAsia="仿宋_GB2312"/>
      <w:kern w:val="0"/>
      <w:sz w:val="24"/>
      <w:szCs w:val="20"/>
    </w:rPr>
  </w:style>
  <w:style w:type="paragraph" w:customStyle="1" w:styleId="1962">
    <w:name w:val="Char Char1 Char Char Char Char Char Char Char Char Char Char Char Char Char Char Char Char Char Char Char Char1 Char"/>
    <w:basedOn w:val="1"/>
    <w:autoRedefine/>
    <w:qFormat/>
    <w:uiPriority w:val="0"/>
    <w:pPr>
      <w:spacing w:before="60" w:line="360" w:lineRule="auto"/>
      <w:ind w:firstLine="200" w:firstLineChars="200"/>
    </w:pPr>
    <w:rPr>
      <w:rFonts w:ascii="宋体" w:hAnsi="宋体" w:cs="宋体"/>
      <w:sz w:val="24"/>
    </w:rPr>
  </w:style>
  <w:style w:type="paragraph" w:customStyle="1" w:styleId="1963">
    <w:name w:val="文章1标题"/>
    <w:basedOn w:val="4"/>
    <w:autoRedefine/>
    <w:qFormat/>
    <w:uiPriority w:val="0"/>
    <w:pPr>
      <w:keepNext w:val="0"/>
      <w:keepLines w:val="0"/>
      <w:widowControl/>
      <w:tabs>
        <w:tab w:val="left" w:pos="780"/>
        <w:tab w:val="left" w:pos="985"/>
        <w:tab w:val="left" w:pos="1419"/>
      </w:tabs>
      <w:spacing w:before="156" w:after="0" w:line="360" w:lineRule="auto"/>
      <w:ind w:left="780" w:hanging="360"/>
      <w:jc w:val="center"/>
      <w:outlineLvl w:val="9"/>
    </w:pPr>
    <w:rPr>
      <w:rFonts w:ascii="宋体" w:hAnsi="宋体" w:cs="宋体"/>
      <w:b w:val="0"/>
      <w:sz w:val="21"/>
      <w:szCs w:val="24"/>
      <w:lang w:val="zh-CN"/>
    </w:rPr>
  </w:style>
  <w:style w:type="paragraph" w:customStyle="1" w:styleId="1964">
    <w:name w:val="Char Char Char Char Char Char1 Char Char Char Char4"/>
    <w:basedOn w:val="1"/>
    <w:autoRedefine/>
    <w:qFormat/>
    <w:uiPriority w:val="0"/>
    <w:rPr>
      <w:sz w:val="24"/>
    </w:rPr>
  </w:style>
  <w:style w:type="paragraph" w:customStyle="1" w:styleId="1965">
    <w:name w:val="style6"/>
    <w:basedOn w:val="1"/>
    <w:qFormat/>
    <w:uiPriority w:val="0"/>
    <w:pPr>
      <w:widowControl/>
      <w:spacing w:before="100" w:beforeAutospacing="1" w:after="100" w:afterAutospacing="1"/>
      <w:jc w:val="left"/>
    </w:pPr>
    <w:rPr>
      <w:rFonts w:ascii="宋体" w:hAnsi="宋体"/>
      <w:kern w:val="0"/>
      <w:sz w:val="20"/>
      <w:szCs w:val="20"/>
    </w:rPr>
  </w:style>
  <w:style w:type="paragraph" w:customStyle="1" w:styleId="1966">
    <w:name w:val="简单回函地址"/>
    <w:basedOn w:val="1"/>
    <w:autoRedefine/>
    <w:qFormat/>
    <w:uiPriority w:val="0"/>
    <w:pPr>
      <w:adjustRightInd w:val="0"/>
    </w:pPr>
    <w:rPr>
      <w:szCs w:val="20"/>
    </w:rPr>
  </w:style>
  <w:style w:type="paragraph" w:customStyle="1" w:styleId="1967">
    <w:name w:val="Char Char Char1 Char Char Char Char Char Char Char Char Char Char Char Char Char Char Char Char"/>
    <w:basedOn w:val="1"/>
    <w:autoRedefine/>
    <w:qFormat/>
    <w:uiPriority w:val="0"/>
    <w:pPr>
      <w:spacing w:line="360" w:lineRule="auto"/>
      <w:ind w:firstLine="200" w:firstLineChars="200"/>
    </w:pPr>
    <w:rPr>
      <w:rFonts w:ascii="宋体" w:hAnsi="宋体" w:cs="宋体"/>
      <w:sz w:val="24"/>
      <w:szCs w:val="21"/>
    </w:rPr>
  </w:style>
  <w:style w:type="paragraph" w:customStyle="1" w:styleId="1968">
    <w:name w:val="Char1 Char Char Char Char Char Char4"/>
    <w:basedOn w:val="1"/>
    <w:autoRedefine/>
    <w:qFormat/>
    <w:uiPriority w:val="0"/>
    <w:pPr>
      <w:spacing w:line="360" w:lineRule="auto"/>
      <w:ind w:firstLine="200" w:firstLineChars="200"/>
    </w:pPr>
    <w:rPr>
      <w:rFonts w:ascii="宋体" w:hAnsi="宋体" w:cs="宋体"/>
      <w:sz w:val="24"/>
    </w:rPr>
  </w:style>
  <w:style w:type="paragraph" w:customStyle="1" w:styleId="1969">
    <w:name w:val="Char Char Char1 Char7"/>
    <w:basedOn w:val="4"/>
    <w:autoRedefine/>
    <w:qFormat/>
    <w:uiPriority w:val="0"/>
    <w:pPr>
      <w:keepNext w:val="0"/>
      <w:keepLines w:val="0"/>
      <w:widowControl/>
      <w:spacing w:before="0" w:after="0" w:line="520" w:lineRule="exact"/>
    </w:pPr>
    <w:rPr>
      <w:rFonts w:ascii="Times New Roman" w:hAnsi="Times New Roman"/>
      <w:kern w:val="0"/>
      <w:sz w:val="28"/>
      <w:szCs w:val="28"/>
      <w:lang w:val="zh-CN"/>
    </w:rPr>
  </w:style>
  <w:style w:type="paragraph" w:customStyle="1" w:styleId="1970">
    <w:name w:val="表中"/>
    <w:autoRedefine/>
    <w:qFormat/>
    <w:uiPriority w:val="0"/>
    <w:pPr>
      <w:adjustRightInd w:val="0"/>
      <w:snapToGrid w:val="0"/>
      <w:jc w:val="center"/>
    </w:pPr>
    <w:rPr>
      <w:rFonts w:ascii="Times New Roman" w:hAnsi="Times New Roman" w:eastAsia="宋体" w:cs="Times New Roman"/>
      <w:kern w:val="44"/>
      <w:sz w:val="18"/>
      <w:lang w:val="en-US" w:eastAsia="zh-CN" w:bidi="ar-SA"/>
    </w:rPr>
  </w:style>
  <w:style w:type="paragraph" w:customStyle="1" w:styleId="1971">
    <w:name w:val="列项——"/>
    <w:autoRedefine/>
    <w:qFormat/>
    <w:uiPriority w:val="0"/>
    <w:pPr>
      <w:widowControl w:val="0"/>
      <w:tabs>
        <w:tab w:val="left" w:pos="854"/>
      </w:tabs>
      <w:ind w:left="840" w:leftChars="200" w:hanging="420" w:hangingChars="200"/>
      <w:jc w:val="both"/>
    </w:pPr>
    <w:rPr>
      <w:rFonts w:ascii="宋体" w:hAnsi="Times New Roman" w:eastAsia="宋体" w:cs="Times New Roman"/>
      <w:sz w:val="21"/>
      <w:lang w:val="en-US" w:eastAsia="zh-CN" w:bidi="ar-SA"/>
    </w:rPr>
  </w:style>
  <w:style w:type="paragraph" w:customStyle="1" w:styleId="1972">
    <w:name w:val="样式 标题 3小标题小节标题条标题1.1.1H3BOD 0Heading 3 - oldLevel 3 Head..."/>
    <w:basedOn w:val="5"/>
    <w:autoRedefine/>
    <w:qFormat/>
    <w:uiPriority w:val="0"/>
    <w:pPr>
      <w:tabs>
        <w:tab w:val="left" w:pos="1418"/>
        <w:tab w:val="left" w:pos="1605"/>
      </w:tabs>
      <w:adjustRightInd w:val="0"/>
      <w:snapToGrid w:val="0"/>
      <w:spacing w:beforeLines="50" w:afterLines="50" w:line="300" w:lineRule="auto"/>
      <w:ind w:left="525"/>
    </w:pPr>
    <w:rPr>
      <w:rFonts w:ascii="黑体" w:eastAsia="黑体"/>
      <w:b w:val="0"/>
      <w:bCs w:val="0"/>
      <w:sz w:val="28"/>
      <w:szCs w:val="20"/>
      <w:lang w:val="zh-CN"/>
    </w:rPr>
  </w:style>
  <w:style w:type="paragraph" w:customStyle="1" w:styleId="1973">
    <w:name w:val="xl188"/>
    <w:basedOn w:val="1"/>
    <w:autoRedefine/>
    <w:qFormat/>
    <w:uiPriority w:val="0"/>
    <w:pPr>
      <w:widowControl/>
      <w:spacing w:before="100" w:beforeAutospacing="1" w:after="100" w:afterAutospacing="1"/>
      <w:jc w:val="left"/>
    </w:pPr>
    <w:rPr>
      <w:kern w:val="0"/>
      <w:sz w:val="12"/>
      <w:szCs w:val="12"/>
    </w:rPr>
  </w:style>
  <w:style w:type="paragraph" w:customStyle="1" w:styleId="1974">
    <w:name w:val="Char3"/>
    <w:basedOn w:val="1"/>
    <w:autoRedefine/>
    <w:qFormat/>
    <w:uiPriority w:val="0"/>
    <w:rPr>
      <w:sz w:val="24"/>
    </w:rPr>
  </w:style>
  <w:style w:type="paragraph" w:customStyle="1" w:styleId="1975">
    <w:name w:val="test1"/>
    <w:basedOn w:val="1"/>
    <w:qFormat/>
    <w:uiPriority w:val="0"/>
    <w:pPr>
      <w:widowControl/>
      <w:spacing w:before="240" w:after="100" w:afterAutospacing="1" w:line="480" w:lineRule="atLeast"/>
      <w:ind w:left="480" w:right="480"/>
      <w:jc w:val="left"/>
    </w:pPr>
    <w:rPr>
      <w:rFonts w:ascii="ˎ̥" w:hAnsi="ˎ̥" w:cs="宋体"/>
      <w:color w:val="000000"/>
      <w:kern w:val="0"/>
      <w:sz w:val="20"/>
      <w:szCs w:val="20"/>
    </w:rPr>
  </w:style>
  <w:style w:type="paragraph" w:customStyle="1" w:styleId="1976">
    <w:name w:val="xl179"/>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Arial Unicode MS" w:hAnsi="Arial Unicode MS"/>
      <w:kern w:val="0"/>
      <w:sz w:val="16"/>
      <w:szCs w:val="16"/>
    </w:rPr>
  </w:style>
  <w:style w:type="paragraph" w:customStyle="1" w:styleId="1977">
    <w:name w:val="xl19"/>
    <w:basedOn w:val="1"/>
    <w:autoRedefine/>
    <w:qFormat/>
    <w:uiPriority w:val="0"/>
    <w:pPr>
      <w:widowControl/>
      <w:spacing w:before="100" w:beforeAutospacing="1" w:after="100" w:afterAutospacing="1"/>
      <w:jc w:val="center"/>
      <w:textAlignment w:val="center"/>
    </w:pPr>
    <w:rPr>
      <w:rFonts w:ascii="宋体" w:hAnsi="宋体"/>
      <w:kern w:val="0"/>
      <w:sz w:val="18"/>
      <w:szCs w:val="18"/>
    </w:rPr>
  </w:style>
  <w:style w:type="paragraph" w:customStyle="1" w:styleId="1978">
    <w:name w:val="目录 3 Char Char"/>
    <w:basedOn w:val="1"/>
    <w:next w:val="1"/>
    <w:autoRedefine/>
    <w:qFormat/>
    <w:uiPriority w:val="0"/>
    <w:pPr>
      <w:spacing w:line="351" w:lineRule="atLeast"/>
      <w:ind w:left="419" w:firstLine="419"/>
      <w:jc w:val="left"/>
    </w:pPr>
    <w:rPr>
      <w:rFonts w:hint="eastAsia"/>
      <w:i/>
      <w:szCs w:val="20"/>
    </w:rPr>
  </w:style>
  <w:style w:type="paragraph" w:customStyle="1" w:styleId="1979">
    <w:name w:val="Char Char Char Char Char Char Char Char Char1 Char2"/>
    <w:basedOn w:val="1"/>
    <w:autoRedefine/>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1980">
    <w:name w:val="正文999"/>
    <w:basedOn w:val="1"/>
    <w:qFormat/>
    <w:uiPriority w:val="0"/>
    <w:pPr>
      <w:spacing w:line="360" w:lineRule="auto"/>
      <w:ind w:firstLine="480" w:firstLineChars="200"/>
    </w:pPr>
    <w:rPr>
      <w:rFonts w:ascii="宋体" w:hAnsi="宋体"/>
      <w:sz w:val="24"/>
    </w:rPr>
  </w:style>
  <w:style w:type="paragraph" w:customStyle="1" w:styleId="1981">
    <w:name w:val="字元"/>
    <w:basedOn w:val="1"/>
    <w:autoRedefine/>
    <w:qFormat/>
    <w:uiPriority w:val="0"/>
    <w:rPr>
      <w:sz w:val="24"/>
    </w:rPr>
  </w:style>
  <w:style w:type="paragraph" w:customStyle="1" w:styleId="1982">
    <w:name w:val="Char Char Char1 Char5"/>
    <w:basedOn w:val="4"/>
    <w:autoRedefine/>
    <w:qFormat/>
    <w:uiPriority w:val="0"/>
    <w:pPr>
      <w:keepNext w:val="0"/>
      <w:keepLines w:val="0"/>
      <w:spacing w:before="0" w:after="0" w:line="520" w:lineRule="exact"/>
    </w:pPr>
    <w:rPr>
      <w:rFonts w:ascii="Times New Roman" w:hAnsi="Times New Roman"/>
      <w:kern w:val="0"/>
      <w:sz w:val="28"/>
      <w:szCs w:val="28"/>
      <w:lang w:val="zh-CN"/>
    </w:rPr>
  </w:style>
  <w:style w:type="paragraph" w:customStyle="1" w:styleId="1983">
    <w:name w:val="myformat_content Char"/>
    <w:basedOn w:val="1"/>
    <w:autoRedefine/>
    <w:qFormat/>
    <w:uiPriority w:val="0"/>
    <w:pPr>
      <w:spacing w:beforeLines="50" w:afterLines="50" w:line="360" w:lineRule="exact"/>
      <w:ind w:firstLine="480" w:firstLineChars="200"/>
    </w:pPr>
    <w:rPr>
      <w:sz w:val="24"/>
      <w:szCs w:val="20"/>
    </w:rPr>
  </w:style>
  <w:style w:type="paragraph" w:customStyle="1" w:styleId="1984">
    <w:name w:val="样式 标题 2节 + 宋体 加粗"/>
    <w:basedOn w:val="4"/>
    <w:autoRedefine/>
    <w:qFormat/>
    <w:uiPriority w:val="0"/>
    <w:pPr>
      <w:widowControl/>
      <w:tabs>
        <w:tab w:val="left" w:pos="780"/>
        <w:tab w:val="left" w:pos="985"/>
        <w:tab w:val="left" w:pos="1419"/>
      </w:tabs>
      <w:adjustRightInd w:val="0"/>
      <w:snapToGrid w:val="0"/>
      <w:spacing w:before="156" w:after="0" w:line="360" w:lineRule="auto"/>
      <w:ind w:left="200" w:hanging="200" w:hangingChars="200"/>
      <w:jc w:val="center"/>
    </w:pPr>
    <w:rPr>
      <w:rFonts w:ascii="宋体" w:hAnsi="宋体" w:cs="宋体"/>
      <w:sz w:val="28"/>
      <w:szCs w:val="24"/>
      <w:lang w:val="zh-CN"/>
    </w:rPr>
  </w:style>
  <w:style w:type="paragraph" w:customStyle="1" w:styleId="1985">
    <w:name w:val="样式 标题 3 + 左侧:  0 毫米 首行缩进:  0 毫米 行距: 最小值 25 磅1"/>
    <w:basedOn w:val="5"/>
    <w:autoRedefine/>
    <w:qFormat/>
    <w:uiPriority w:val="0"/>
    <w:pPr>
      <w:keepLines w:val="0"/>
      <w:tabs>
        <w:tab w:val="left" w:pos="1418"/>
      </w:tabs>
      <w:spacing w:before="0" w:after="0" w:line="500" w:lineRule="atLeast"/>
    </w:pPr>
    <w:rPr>
      <w:rFonts w:cs="宋体"/>
      <w:b w:val="0"/>
      <w:bCs w:val="0"/>
      <w:sz w:val="28"/>
      <w:szCs w:val="20"/>
      <w:lang w:val="zh-CN"/>
    </w:rPr>
  </w:style>
  <w:style w:type="paragraph" w:customStyle="1" w:styleId="1986">
    <w:name w:val="样式9"/>
    <w:basedOn w:val="3"/>
    <w:autoRedefine/>
    <w:qFormat/>
    <w:uiPriority w:val="0"/>
    <w:pPr>
      <w:keepLines/>
      <w:overflowPunct/>
      <w:snapToGrid/>
      <w:spacing w:before="0" w:beforeLines="200" w:after="0" w:afterLines="200" w:line="520" w:lineRule="exact"/>
      <w:ind w:left="0" w:firstLine="0"/>
    </w:pPr>
    <w:rPr>
      <w:color w:val="auto"/>
      <w:sz w:val="44"/>
      <w:szCs w:val="44"/>
      <w:lang w:val="zh-CN"/>
    </w:rPr>
  </w:style>
  <w:style w:type="paragraph" w:customStyle="1" w:styleId="1987">
    <w:name w:val="样式 样式 报告书表格 + 字距调整二号 +"/>
    <w:basedOn w:val="1122"/>
    <w:autoRedefine/>
    <w:qFormat/>
    <w:uiPriority w:val="0"/>
  </w:style>
  <w:style w:type="paragraph" w:customStyle="1" w:styleId="1988">
    <w:name w:val="BBBBBBBBBB"/>
    <w:basedOn w:val="1"/>
    <w:autoRedefine/>
    <w:qFormat/>
    <w:uiPriority w:val="0"/>
    <w:pPr>
      <w:spacing w:line="324" w:lineRule="auto"/>
      <w:jc w:val="center"/>
    </w:pPr>
    <w:rPr>
      <w:rFonts w:hAnsi="宋体"/>
      <w:b/>
      <w:szCs w:val="20"/>
    </w:rPr>
  </w:style>
  <w:style w:type="paragraph" w:customStyle="1" w:styleId="1989">
    <w:name w:val="正文首行缩进 Char Char"/>
    <w:basedOn w:val="1"/>
    <w:autoRedefine/>
    <w:qFormat/>
    <w:uiPriority w:val="0"/>
    <w:pPr>
      <w:spacing w:line="606" w:lineRule="atLeast"/>
      <w:ind w:firstLine="538"/>
    </w:pPr>
    <w:rPr>
      <w:rFonts w:hint="eastAsia"/>
      <w:sz w:val="24"/>
      <w:szCs w:val="20"/>
    </w:rPr>
  </w:style>
  <w:style w:type="paragraph" w:customStyle="1" w:styleId="1990">
    <w:name w:val="已有表格"/>
    <w:basedOn w:val="1"/>
    <w:autoRedefine/>
    <w:qFormat/>
    <w:uiPriority w:val="0"/>
    <w:pPr>
      <w:adjustRightInd w:val="0"/>
      <w:spacing w:before="40" w:after="40"/>
      <w:jc w:val="center"/>
    </w:pPr>
    <w:rPr>
      <w:b/>
      <w:kern w:val="0"/>
      <w:sz w:val="24"/>
      <w:szCs w:val="20"/>
    </w:rPr>
  </w:style>
  <w:style w:type="paragraph" w:customStyle="1" w:styleId="1991">
    <w:name w:val="表内式样"/>
    <w:autoRedefine/>
    <w:qFormat/>
    <w:uiPriority w:val="0"/>
    <w:pPr>
      <w:keepLines/>
      <w:widowControl w:val="0"/>
      <w:kinsoku w:val="0"/>
      <w:overflowPunct w:val="0"/>
      <w:adjustRightInd w:val="0"/>
      <w:spacing w:line="360" w:lineRule="atLeast"/>
      <w:jc w:val="center"/>
    </w:pPr>
    <w:rPr>
      <w:rFonts w:ascii="宋体" w:hAnsi="Times New Roman" w:eastAsia="宋体" w:cs="Times New Roman"/>
      <w:kern w:val="21"/>
      <w:sz w:val="21"/>
      <w:lang w:val="en-US" w:eastAsia="zh-CN" w:bidi="ar-SA"/>
    </w:rPr>
  </w:style>
  <w:style w:type="paragraph" w:customStyle="1" w:styleId="1992">
    <w:name w:val="Char11"/>
    <w:basedOn w:val="1"/>
    <w:autoRedefine/>
    <w:qFormat/>
    <w:uiPriority w:val="0"/>
    <w:rPr>
      <w:sz w:val="24"/>
    </w:rPr>
  </w:style>
  <w:style w:type="paragraph" w:customStyle="1" w:styleId="1993">
    <w:name w:val="xl155"/>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left"/>
    </w:pPr>
    <w:rPr>
      <w:rFonts w:ascii="Arial Unicode MS" w:hAnsi="Arial Unicode MS"/>
      <w:kern w:val="0"/>
      <w:sz w:val="20"/>
      <w:szCs w:val="20"/>
    </w:rPr>
  </w:style>
  <w:style w:type="paragraph" w:customStyle="1" w:styleId="1994">
    <w:name w:val="xl81"/>
    <w:basedOn w:val="1"/>
    <w:autoRedefine/>
    <w:qFormat/>
    <w:uiPriority w:val="0"/>
    <w:pPr>
      <w:widowControl/>
      <w:pBdr>
        <w:left w:val="single" w:color="auto" w:sz="12" w:space="0"/>
        <w:bottom w:val="single" w:color="auto" w:sz="12" w:space="0"/>
        <w:right w:val="single" w:color="auto" w:sz="4" w:space="0"/>
      </w:pBdr>
      <w:spacing w:before="100" w:beforeAutospacing="1" w:after="100" w:afterAutospacing="1"/>
      <w:jc w:val="center"/>
    </w:pPr>
    <w:rPr>
      <w:rFonts w:ascii="Arial Unicode MS" w:hAnsi="Arial Unicode MS"/>
      <w:kern w:val="0"/>
      <w:sz w:val="12"/>
      <w:szCs w:val="12"/>
    </w:rPr>
  </w:style>
  <w:style w:type="paragraph" w:customStyle="1" w:styleId="1995">
    <w:name w:val="xl2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kern w:val="0"/>
      <w:sz w:val="24"/>
    </w:rPr>
  </w:style>
  <w:style w:type="paragraph" w:customStyle="1" w:styleId="1996">
    <w:name w:val="a0"/>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1997">
    <w:name w:val="正文样式3"/>
    <w:basedOn w:val="1"/>
    <w:autoRedefine/>
    <w:qFormat/>
    <w:uiPriority w:val="0"/>
    <w:pPr>
      <w:keepLines/>
      <w:adjustRightInd w:val="0"/>
      <w:spacing w:line="20" w:lineRule="atLeast"/>
      <w:ind w:firstLine="200" w:firstLineChars="200"/>
      <w:jc w:val="center"/>
      <w:textAlignment w:val="baseline"/>
    </w:pPr>
    <w:rPr>
      <w:rFonts w:eastAsia="仿宋_GB2312"/>
      <w:kern w:val="0"/>
      <w:sz w:val="24"/>
      <w:szCs w:val="20"/>
    </w:rPr>
  </w:style>
  <w:style w:type="paragraph" w:customStyle="1" w:styleId="1998">
    <w:name w:val="正文楷体"/>
    <w:basedOn w:val="1"/>
    <w:autoRedefine/>
    <w:qFormat/>
    <w:uiPriority w:val="0"/>
    <w:rPr>
      <w:rFonts w:eastAsia="楷体_GB2312"/>
    </w:rPr>
  </w:style>
  <w:style w:type="paragraph" w:customStyle="1" w:styleId="1999">
    <w:name w:val="Char Char Char Char3"/>
    <w:basedOn w:val="1"/>
    <w:autoRedefine/>
    <w:qFormat/>
    <w:uiPriority w:val="0"/>
    <w:rPr>
      <w:sz w:val="24"/>
    </w:rPr>
  </w:style>
  <w:style w:type="paragraph" w:customStyle="1" w:styleId="2000">
    <w:name w:val="小五表文"/>
    <w:autoRedefine/>
    <w:qFormat/>
    <w:uiPriority w:val="0"/>
    <w:pPr>
      <w:jc w:val="center"/>
    </w:pPr>
    <w:rPr>
      <w:rFonts w:ascii="Times New Roman" w:hAnsi="Times New Roman" w:eastAsia="仿宋_GB2312" w:cs="Times New Roman"/>
      <w:sz w:val="18"/>
      <w:lang w:val="en-US" w:eastAsia="zh-CN" w:bidi="ar-SA"/>
    </w:rPr>
  </w:style>
  <w:style w:type="paragraph" w:customStyle="1" w:styleId="2001">
    <w:name w:val="样式 列表 + 左侧:  0 厘米 悬挂缩进: 2 字符"/>
    <w:basedOn w:val="59"/>
    <w:autoRedefine/>
    <w:qFormat/>
    <w:uiPriority w:val="0"/>
    <w:pPr>
      <w:tabs>
        <w:tab w:val="center" w:pos="4153"/>
        <w:tab w:val="right" w:pos="8306"/>
      </w:tabs>
      <w:snapToGrid w:val="0"/>
      <w:ind w:left="0" w:firstLine="0" w:firstLineChars="0"/>
      <w:jc w:val="center"/>
    </w:pPr>
    <w:rPr>
      <w:rFonts w:ascii="仿宋_GB2312" w:hAnsi="宋体" w:eastAsia="仿宋_GB2312" w:cs="宋体"/>
      <w:color w:val="000000"/>
      <w:sz w:val="24"/>
    </w:rPr>
  </w:style>
  <w:style w:type="paragraph" w:customStyle="1" w:styleId="2002">
    <w:name w:val="陈正"/>
    <w:basedOn w:val="1"/>
    <w:autoRedefine/>
    <w:qFormat/>
    <w:uiPriority w:val="0"/>
    <w:pPr>
      <w:widowControl/>
      <w:snapToGrid w:val="0"/>
      <w:spacing w:beforeLines="50" w:afterLines="50" w:line="360" w:lineRule="auto"/>
      <w:ind w:firstLine="560" w:firstLineChars="200"/>
      <w:jc w:val="left"/>
    </w:pPr>
    <w:rPr>
      <w:rFonts w:ascii="宋体" w:hAnsi="宋体" w:cs="宋体"/>
      <w:kern w:val="0"/>
      <w:sz w:val="28"/>
      <w:szCs w:val="28"/>
      <w:lang w:val="zh-CN"/>
    </w:rPr>
  </w:style>
  <w:style w:type="paragraph" w:customStyle="1" w:styleId="2003">
    <w:name w:val="表格后正文"/>
    <w:basedOn w:val="1896"/>
    <w:autoRedefine/>
    <w:qFormat/>
    <w:uiPriority w:val="0"/>
    <w:pPr>
      <w:spacing w:before="200"/>
    </w:pPr>
  </w:style>
  <w:style w:type="paragraph" w:customStyle="1" w:styleId="2004">
    <w:name w:val="样式 正文文字 + 首行缩进:  0.99 厘米"/>
    <w:basedOn w:val="33"/>
    <w:autoRedefine/>
    <w:qFormat/>
    <w:uiPriority w:val="0"/>
    <w:pPr>
      <w:widowControl w:val="0"/>
      <w:tabs>
        <w:tab w:val="left" w:pos="0"/>
      </w:tabs>
      <w:snapToGrid/>
      <w:spacing w:before="0" w:after="0" w:line="600" w:lineRule="exact"/>
      <w:ind w:right="0" w:firstLine="560"/>
    </w:pPr>
    <w:rPr>
      <w:spacing w:val="-2"/>
      <w:sz w:val="28"/>
      <w:szCs w:val="28"/>
      <w:lang w:val="zh-CN"/>
    </w:rPr>
  </w:style>
  <w:style w:type="paragraph" w:customStyle="1" w:styleId="2005">
    <w:name w:val="式中："/>
    <w:basedOn w:val="1102"/>
    <w:autoRedefine/>
    <w:qFormat/>
    <w:uiPriority w:val="0"/>
    <w:pPr>
      <w:widowControl w:val="0"/>
      <w:tabs>
        <w:tab w:val="clear" w:pos="315"/>
        <w:tab w:val="clear" w:pos="360"/>
      </w:tabs>
      <w:adjustRightInd/>
      <w:snapToGrid/>
      <w:spacing w:line="440" w:lineRule="exact"/>
      <w:ind w:left="500" w:leftChars="500" w:firstLine="0" w:firstLineChars="0"/>
    </w:pPr>
    <w:rPr>
      <w:rFonts w:ascii="Times New Roman" w:hAnsi="Times New Roman" w:eastAsia="宋体"/>
      <w:kern w:val="2"/>
      <w:sz w:val="24"/>
    </w:rPr>
  </w:style>
  <w:style w:type="paragraph" w:customStyle="1" w:styleId="2006">
    <w:name w:val="图 标题"/>
    <w:basedOn w:val="1102"/>
    <w:autoRedefine/>
    <w:qFormat/>
    <w:uiPriority w:val="0"/>
    <w:pPr>
      <w:widowControl w:val="0"/>
      <w:tabs>
        <w:tab w:val="clear" w:pos="315"/>
        <w:tab w:val="clear" w:pos="360"/>
      </w:tabs>
      <w:adjustRightInd/>
      <w:snapToGrid/>
      <w:spacing w:after="60" w:line="240" w:lineRule="auto"/>
      <w:ind w:left="0" w:firstLine="0" w:firstLineChars="0"/>
      <w:jc w:val="center"/>
    </w:pPr>
    <w:rPr>
      <w:rFonts w:ascii="Times New Roman" w:hAnsi="Times New Roman" w:eastAsia="宋体"/>
      <w:b/>
      <w:kern w:val="2"/>
      <w:sz w:val="24"/>
    </w:rPr>
  </w:style>
  <w:style w:type="paragraph" w:customStyle="1" w:styleId="2007">
    <w:name w:val="a9"/>
    <w:basedOn w:val="1"/>
    <w:autoRedefine/>
    <w:qFormat/>
    <w:uiPriority w:val="0"/>
    <w:pPr>
      <w:widowControl/>
      <w:spacing w:before="100" w:beforeAutospacing="1" w:after="100" w:afterAutospacing="1"/>
      <w:jc w:val="left"/>
    </w:pPr>
    <w:rPr>
      <w:rFonts w:hint="eastAsia" w:ascii="宋体" w:hAnsi="宋体"/>
      <w:kern w:val="0"/>
      <w:sz w:val="18"/>
      <w:szCs w:val="18"/>
    </w:rPr>
  </w:style>
  <w:style w:type="paragraph" w:customStyle="1" w:styleId="2008">
    <w:name w:val="样式 标题 3 + (西文) Times New Roman (中文) 宋体 小四 加粗"/>
    <w:basedOn w:val="5"/>
    <w:qFormat/>
    <w:uiPriority w:val="0"/>
    <w:pPr>
      <w:tabs>
        <w:tab w:val="left" w:pos="1021"/>
        <w:tab w:val="left" w:pos="1418"/>
      </w:tabs>
      <w:adjustRightInd w:val="0"/>
      <w:snapToGrid w:val="0"/>
      <w:spacing w:beforeLines="50" w:afterLines="50" w:line="360" w:lineRule="auto"/>
      <w:ind w:left="1021" w:hanging="1021"/>
      <w:jc w:val="left"/>
    </w:pPr>
    <w:rPr>
      <w:rFonts w:ascii="楷体_GB2312" w:eastAsia="楷体_GB2312"/>
      <w:sz w:val="24"/>
      <w:szCs w:val="24"/>
      <w:lang w:val="zh-CN"/>
    </w:rPr>
  </w:style>
  <w:style w:type="paragraph" w:customStyle="1" w:styleId="2009">
    <w:name w:val="正文表标题"/>
    <w:next w:val="257"/>
    <w:autoRedefine/>
    <w:qFormat/>
    <w:uiPriority w:val="0"/>
    <w:pPr>
      <w:jc w:val="center"/>
    </w:pPr>
    <w:rPr>
      <w:rFonts w:ascii="黑体" w:hAnsi="Times New Roman" w:eastAsia="黑体" w:cs="Times New Roman"/>
      <w:sz w:val="21"/>
      <w:lang w:val="en-US" w:eastAsia="zh-CN" w:bidi="ar-SA"/>
    </w:rPr>
  </w:style>
  <w:style w:type="paragraph" w:customStyle="1" w:styleId="2010">
    <w:name w:val="Char Char2 Char Char Char Char Char Char"/>
    <w:basedOn w:val="1"/>
    <w:autoRedefine/>
    <w:qFormat/>
    <w:uiPriority w:val="0"/>
    <w:pPr>
      <w:spacing w:line="480" w:lineRule="exact"/>
    </w:pPr>
    <w:rPr>
      <w:sz w:val="22"/>
    </w:rPr>
  </w:style>
  <w:style w:type="paragraph" w:customStyle="1" w:styleId="2011">
    <w:name w:val="Char"/>
    <w:basedOn w:val="1"/>
    <w:autoRedefine/>
    <w:qFormat/>
    <w:uiPriority w:val="0"/>
    <w:rPr>
      <w:sz w:val="24"/>
    </w:rPr>
  </w:style>
  <w:style w:type="paragraph" w:customStyle="1" w:styleId="2012">
    <w:name w:val="小表格"/>
    <w:basedOn w:val="1"/>
    <w:autoRedefine/>
    <w:qFormat/>
    <w:uiPriority w:val="0"/>
    <w:pPr>
      <w:autoSpaceDE w:val="0"/>
      <w:autoSpaceDN w:val="0"/>
      <w:adjustRightInd w:val="0"/>
      <w:snapToGrid w:val="0"/>
      <w:jc w:val="center"/>
    </w:pPr>
    <w:rPr>
      <w:rFonts w:ascii="仿宋_GB2312"/>
      <w:kern w:val="0"/>
      <w:szCs w:val="20"/>
    </w:rPr>
  </w:style>
  <w:style w:type="paragraph" w:customStyle="1" w:styleId="2013">
    <w:name w:val="xl122"/>
    <w:basedOn w:val="1"/>
    <w:autoRedefine/>
    <w:qFormat/>
    <w:uiPriority w:val="0"/>
    <w:pPr>
      <w:widowControl/>
      <w:pBdr>
        <w:left w:val="single" w:color="auto" w:sz="8" w:space="0"/>
      </w:pBdr>
      <w:spacing w:before="100" w:beforeAutospacing="1" w:after="100" w:afterAutospacing="1"/>
      <w:jc w:val="center"/>
    </w:pPr>
    <w:rPr>
      <w:rFonts w:ascii="Arial Unicode MS" w:hAnsi="Arial Unicode MS"/>
      <w:kern w:val="0"/>
      <w:sz w:val="16"/>
      <w:szCs w:val="16"/>
    </w:rPr>
  </w:style>
  <w:style w:type="paragraph" w:customStyle="1" w:styleId="2014">
    <w:name w:val="普通(网站)11"/>
    <w:basedOn w:val="1"/>
    <w:autoRedefine/>
    <w:qFormat/>
    <w:uiPriority w:val="0"/>
    <w:pPr>
      <w:widowControl/>
      <w:spacing w:before="100" w:beforeAutospacing="1" w:after="100" w:afterAutospacing="1"/>
      <w:jc w:val="left"/>
    </w:pPr>
    <w:rPr>
      <w:rFonts w:ascii="宋体" w:hAnsi="宋体"/>
      <w:kern w:val="0"/>
      <w:sz w:val="18"/>
      <w:szCs w:val="18"/>
    </w:rPr>
  </w:style>
  <w:style w:type="paragraph" w:customStyle="1" w:styleId="2015">
    <w:name w:val="样式 样式 样式 标题 2H2标题 2 Char Char节标题 1.1（一）Underrubrik1prop2Heading...."/>
    <w:basedOn w:val="1510"/>
    <w:autoRedefine/>
    <w:qFormat/>
    <w:uiPriority w:val="0"/>
    <w:pPr>
      <w:spacing w:before="166" w:after="166"/>
    </w:pPr>
    <w:rPr>
      <w:szCs w:val="20"/>
    </w:rPr>
  </w:style>
  <w:style w:type="paragraph" w:customStyle="1" w:styleId="2016">
    <w:name w:val="环评样式"/>
    <w:basedOn w:val="1"/>
    <w:autoRedefine/>
    <w:qFormat/>
    <w:uiPriority w:val="0"/>
    <w:pPr>
      <w:adjustRightInd w:val="0"/>
      <w:snapToGrid w:val="0"/>
      <w:spacing w:line="360" w:lineRule="auto"/>
      <w:textAlignment w:val="baseline"/>
      <w:outlineLvl w:val="0"/>
    </w:pPr>
    <w:rPr>
      <w:rFonts w:ascii="仿宋_GB2312" w:hAnsi="Alaska" w:eastAsia="仿宋_GB2312"/>
      <w:kern w:val="0"/>
      <w:sz w:val="30"/>
      <w:szCs w:val="20"/>
    </w:rPr>
  </w:style>
  <w:style w:type="paragraph" w:customStyle="1" w:styleId="2017">
    <w:name w:val="Normal Indent1"/>
    <w:basedOn w:val="1"/>
    <w:autoRedefine/>
    <w:qFormat/>
    <w:uiPriority w:val="0"/>
    <w:pPr>
      <w:adjustRightInd w:val="0"/>
      <w:ind w:firstLine="420" w:firstLineChars="200"/>
      <w:textAlignment w:val="baseline"/>
    </w:pPr>
    <w:rPr>
      <w:rFonts w:hint="eastAsia" w:hAnsi="宋体"/>
      <w:sz w:val="24"/>
      <w:szCs w:val="20"/>
    </w:rPr>
  </w:style>
  <w:style w:type="paragraph" w:customStyle="1" w:styleId="2018">
    <w:name w:val="Char2 Char Char Char2"/>
    <w:basedOn w:val="1"/>
    <w:autoRedefine/>
    <w:qFormat/>
    <w:uiPriority w:val="0"/>
    <w:rPr>
      <w:sz w:val="24"/>
    </w:rPr>
  </w:style>
  <w:style w:type="paragraph" w:customStyle="1" w:styleId="2019">
    <w:name w:val="样式10"/>
    <w:basedOn w:val="3"/>
    <w:autoRedefine/>
    <w:qFormat/>
    <w:uiPriority w:val="0"/>
    <w:pPr>
      <w:keepLines/>
      <w:overflowPunct/>
      <w:snapToGrid/>
      <w:spacing w:before="0" w:beforeLines="100" w:after="0" w:afterLines="100" w:line="520" w:lineRule="exact"/>
      <w:ind w:left="0" w:firstLine="0"/>
    </w:pPr>
    <w:rPr>
      <w:color w:val="FF0000"/>
      <w:lang w:val="zh-CN"/>
    </w:rPr>
  </w:style>
  <w:style w:type="paragraph" w:customStyle="1" w:styleId="2020">
    <w:name w:val="_Style 549"/>
    <w:next w:val="1"/>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021">
    <w:name w:val="基准页眉样式"/>
    <w:basedOn w:val="33"/>
    <w:autoRedefine/>
    <w:qFormat/>
    <w:uiPriority w:val="0"/>
    <w:pPr>
      <w:widowControl w:val="0"/>
      <w:snapToGrid/>
      <w:spacing w:before="0" w:after="0" w:line="240" w:lineRule="exact"/>
      <w:ind w:right="0"/>
      <w:jc w:val="center"/>
    </w:pPr>
    <w:rPr>
      <w:rFonts w:ascii="宋体" w:hAnsi="宋体"/>
      <w:kern w:val="2"/>
      <w:sz w:val="24"/>
      <w:szCs w:val="24"/>
      <w:lang w:val="zh-CN"/>
    </w:rPr>
  </w:style>
  <w:style w:type="paragraph" w:customStyle="1" w:styleId="2022">
    <w:name w:val="3 Char Char Char Char Char Char Char Char Char Char"/>
    <w:basedOn w:val="1"/>
    <w:autoRedefine/>
    <w:qFormat/>
    <w:uiPriority w:val="0"/>
    <w:rPr>
      <w:sz w:val="24"/>
    </w:rPr>
  </w:style>
  <w:style w:type="paragraph" w:customStyle="1" w:styleId="2023">
    <w:name w:val="样式 标题 2 + 首行缩进:  0 字符"/>
    <w:basedOn w:val="4"/>
    <w:next w:val="4"/>
    <w:autoRedefine/>
    <w:qFormat/>
    <w:uiPriority w:val="0"/>
    <w:pPr>
      <w:adjustRightInd w:val="0"/>
      <w:snapToGrid w:val="0"/>
      <w:spacing w:beforeLines="100" w:after="0" w:line="360" w:lineRule="auto"/>
    </w:pPr>
    <w:rPr>
      <w:rFonts w:ascii="宋体" w:hAnsi="宋体"/>
      <w:sz w:val="24"/>
      <w:szCs w:val="20"/>
      <w:lang w:val="zh-CN"/>
    </w:rPr>
  </w:style>
  <w:style w:type="paragraph" w:customStyle="1" w:styleId="2024">
    <w:name w:val="正文文本缩进4"/>
    <w:basedOn w:val="1"/>
    <w:autoRedefine/>
    <w:qFormat/>
    <w:uiPriority w:val="0"/>
    <w:pPr>
      <w:spacing w:after="120" w:line="360" w:lineRule="auto"/>
      <w:ind w:left="200" w:leftChars="200" w:firstLine="200" w:firstLineChars="200"/>
    </w:pPr>
    <w:rPr>
      <w:sz w:val="24"/>
    </w:rPr>
  </w:style>
  <w:style w:type="paragraph" w:customStyle="1" w:styleId="2025">
    <w:name w:val="Texte"/>
    <w:basedOn w:val="1"/>
    <w:autoRedefine/>
    <w:qFormat/>
    <w:uiPriority w:val="0"/>
    <w:pPr>
      <w:widowControl/>
      <w:spacing w:before="120" w:after="120"/>
      <w:ind w:left="851" w:firstLine="200" w:firstLineChars="200"/>
    </w:pPr>
    <w:rPr>
      <w:rFonts w:ascii="Arial" w:hAnsi="Arial"/>
      <w:kern w:val="0"/>
      <w:sz w:val="22"/>
      <w:szCs w:val="20"/>
      <w:lang w:val="en-GB"/>
    </w:rPr>
  </w:style>
  <w:style w:type="paragraph" w:customStyle="1" w:styleId="2026">
    <w:name w:val="Style3"/>
    <w:basedOn w:val="3"/>
    <w:next w:val="2027"/>
    <w:autoRedefine/>
    <w:qFormat/>
    <w:uiPriority w:val="0"/>
    <w:pPr>
      <w:keepLines/>
      <w:tabs>
        <w:tab w:val="left" w:pos="425"/>
        <w:tab w:val="left" w:pos="480"/>
      </w:tabs>
      <w:overflowPunct/>
      <w:adjustRightInd w:val="0"/>
      <w:snapToGrid/>
      <w:spacing w:before="340" w:after="120" w:line="240" w:lineRule="auto"/>
      <w:ind w:left="120" w:firstLine="0"/>
      <w:jc w:val="left"/>
      <w:textAlignment w:val="baseline"/>
    </w:pPr>
    <w:rPr>
      <w:rFonts w:eastAsia="宋体"/>
      <w:bCs w:val="0"/>
      <w:color w:val="auto"/>
      <w:sz w:val="44"/>
      <w:szCs w:val="20"/>
      <w:lang w:val="zh-CN"/>
    </w:rPr>
  </w:style>
  <w:style w:type="paragraph" w:customStyle="1" w:styleId="2027">
    <w:name w:val="Style2"/>
    <w:basedOn w:val="3"/>
    <w:autoRedefine/>
    <w:qFormat/>
    <w:uiPriority w:val="0"/>
    <w:pPr>
      <w:keepLines/>
      <w:tabs>
        <w:tab w:val="left" w:pos="425"/>
        <w:tab w:val="left" w:pos="480"/>
      </w:tabs>
      <w:overflowPunct/>
      <w:adjustRightInd w:val="0"/>
      <w:snapToGrid/>
      <w:spacing w:before="340" w:after="120" w:line="240" w:lineRule="auto"/>
      <w:ind w:left="120" w:firstLine="0"/>
      <w:jc w:val="left"/>
      <w:textAlignment w:val="baseline"/>
    </w:pPr>
    <w:rPr>
      <w:rFonts w:ascii="宋体" w:hAnsi="宋体" w:eastAsia="宋体"/>
      <w:bCs w:val="0"/>
      <w:color w:val="auto"/>
      <w:sz w:val="36"/>
      <w:szCs w:val="20"/>
      <w:lang w:val="zh-CN"/>
    </w:rPr>
  </w:style>
  <w:style w:type="paragraph" w:customStyle="1" w:styleId="2028">
    <w:name w:val="样式"/>
    <w:basedOn w:val="1"/>
    <w:next w:val="1"/>
    <w:autoRedefine/>
    <w:qFormat/>
    <w:uiPriority w:val="0"/>
    <w:pPr>
      <w:ind w:firstLine="420"/>
    </w:pPr>
    <w:rPr>
      <w:rFonts w:ascii="宋体" w:hAnsi="Arial Black" w:cs="宋体"/>
      <w:sz w:val="24"/>
    </w:rPr>
  </w:style>
  <w:style w:type="paragraph" w:customStyle="1" w:styleId="2029">
    <w:name w:val="样式 标题 3标题 3 Char标题 3 Char Char Char Char Char Char Char Char C...4"/>
    <w:basedOn w:val="5"/>
    <w:autoRedefine/>
    <w:qFormat/>
    <w:uiPriority w:val="0"/>
    <w:pPr>
      <w:tabs>
        <w:tab w:val="left" w:pos="1418"/>
      </w:tabs>
      <w:spacing w:before="0" w:after="0" w:line="360" w:lineRule="auto"/>
      <w:ind w:left="720" w:hanging="720"/>
    </w:pPr>
    <w:rPr>
      <w:rFonts w:ascii="宋体" w:hAnsi="宋体"/>
      <w:b w:val="0"/>
      <w:bCs w:val="0"/>
      <w:sz w:val="28"/>
      <w:lang w:val="zh-CN"/>
    </w:rPr>
  </w:style>
  <w:style w:type="paragraph" w:customStyle="1" w:styleId="2030">
    <w:name w:val="Char112"/>
    <w:basedOn w:val="1"/>
    <w:autoRedefine/>
    <w:qFormat/>
    <w:uiPriority w:val="0"/>
    <w:rPr>
      <w:szCs w:val="21"/>
    </w:rPr>
  </w:style>
  <w:style w:type="paragraph" w:customStyle="1" w:styleId="2031">
    <w:name w:val="xl33"/>
    <w:basedOn w:val="1"/>
    <w:autoRedefine/>
    <w:qFormat/>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kern w:val="0"/>
      <w:sz w:val="24"/>
    </w:rPr>
  </w:style>
  <w:style w:type="paragraph" w:customStyle="1" w:styleId="2032">
    <w:name w:val="1 Char"/>
    <w:basedOn w:val="1"/>
    <w:autoRedefine/>
    <w:qFormat/>
    <w:uiPriority w:val="0"/>
    <w:rPr>
      <w:sz w:val="24"/>
    </w:rPr>
  </w:style>
  <w:style w:type="paragraph" w:customStyle="1" w:styleId="2033">
    <w:name w:val="xl87"/>
    <w:basedOn w:val="1"/>
    <w:autoRedefine/>
    <w:qFormat/>
    <w:uiPriority w:val="0"/>
    <w:pPr>
      <w:widowControl/>
      <w:spacing w:before="100" w:beforeAutospacing="1" w:after="100" w:afterAutospacing="1"/>
      <w:jc w:val="center"/>
    </w:pPr>
    <w:rPr>
      <w:rFonts w:ascii="Arial Unicode MS" w:hAnsi="Arial Unicode MS"/>
      <w:kern w:val="0"/>
      <w:sz w:val="12"/>
      <w:szCs w:val="12"/>
    </w:rPr>
  </w:style>
  <w:style w:type="paragraph" w:customStyle="1" w:styleId="2034">
    <w:name w:val="批注文字2"/>
    <w:basedOn w:val="1"/>
    <w:autoRedefine/>
    <w:qFormat/>
    <w:uiPriority w:val="0"/>
    <w:pPr>
      <w:jc w:val="left"/>
    </w:pPr>
    <w:rPr>
      <w:rFonts w:ascii="Arial" w:hAnsi="Arial" w:eastAsia="仿宋_GB2312"/>
      <w:kern w:val="0"/>
      <w:sz w:val="24"/>
      <w:szCs w:val="20"/>
    </w:rPr>
  </w:style>
  <w:style w:type="paragraph" w:customStyle="1" w:styleId="2035">
    <w:name w:val="表名1"/>
    <w:basedOn w:val="348"/>
    <w:autoRedefine/>
    <w:qFormat/>
    <w:uiPriority w:val="0"/>
    <w:pPr>
      <w:keepNext/>
      <w:overflowPunct w:val="0"/>
      <w:adjustRightInd w:val="0"/>
      <w:snapToGrid w:val="0"/>
      <w:spacing w:line="240" w:lineRule="auto"/>
      <w:jc w:val="center"/>
      <w:textAlignment w:val="baseline"/>
      <w:outlineLvl w:val="9"/>
    </w:pPr>
    <w:rPr>
      <w:rFonts w:ascii="Times New Roman"/>
      <w:kern w:val="24"/>
      <w:sz w:val="21"/>
      <w:szCs w:val="21"/>
      <w:lang w:val="zh-CN"/>
    </w:rPr>
  </w:style>
  <w:style w:type="paragraph" w:customStyle="1" w:styleId="2036">
    <w:name w:val="样式 标题 1H1 + 仿宋_GB2312"/>
    <w:basedOn w:val="3"/>
    <w:autoRedefine/>
    <w:qFormat/>
    <w:uiPriority w:val="0"/>
    <w:pPr>
      <w:keepLines/>
      <w:tabs>
        <w:tab w:val="left" w:pos="425"/>
      </w:tabs>
      <w:overflowPunct/>
      <w:snapToGrid/>
      <w:spacing w:before="0" w:after="0" w:line="360" w:lineRule="auto"/>
      <w:jc w:val="left"/>
    </w:pPr>
    <w:rPr>
      <w:rFonts w:ascii="仿宋_GB2312" w:hAnsi="仿宋_GB2312" w:eastAsia="仿宋_GB2312"/>
      <w:sz w:val="32"/>
      <w:szCs w:val="32"/>
      <w:lang w:val="zh-CN"/>
    </w:rPr>
  </w:style>
  <w:style w:type="paragraph" w:customStyle="1" w:styleId="2037">
    <w:name w:val="xl76"/>
    <w:basedOn w:val="1"/>
    <w:autoRedefine/>
    <w:qFormat/>
    <w:uiPriority w:val="0"/>
    <w:pPr>
      <w:widowControl/>
      <w:spacing w:before="100" w:beforeAutospacing="1" w:after="100" w:afterAutospacing="1"/>
      <w:jc w:val="left"/>
    </w:pPr>
    <w:rPr>
      <w:rFonts w:ascii="Arial Unicode MS" w:hAnsi="Arial Unicode MS"/>
      <w:kern w:val="0"/>
      <w:sz w:val="16"/>
      <w:szCs w:val="16"/>
    </w:rPr>
  </w:style>
  <w:style w:type="paragraph" w:customStyle="1" w:styleId="2038">
    <w:name w:val="环评0.01"/>
    <w:basedOn w:val="1"/>
    <w:next w:val="33"/>
    <w:autoRedefine/>
    <w:qFormat/>
    <w:uiPriority w:val="0"/>
    <w:pPr>
      <w:adjustRightInd w:val="0"/>
      <w:snapToGrid w:val="0"/>
      <w:spacing w:line="360" w:lineRule="auto"/>
    </w:pPr>
    <w:rPr>
      <w:rFonts w:eastAsia="华文中宋"/>
      <w:sz w:val="28"/>
      <w:szCs w:val="20"/>
    </w:rPr>
  </w:style>
  <w:style w:type="paragraph" w:customStyle="1" w:styleId="2039">
    <w:name w:val="Char Char2 Char Char Char Char Char Char1"/>
    <w:basedOn w:val="1"/>
    <w:autoRedefine/>
    <w:qFormat/>
    <w:uiPriority w:val="0"/>
    <w:pPr>
      <w:spacing w:line="480" w:lineRule="exact"/>
    </w:pPr>
    <w:rPr>
      <w:sz w:val="22"/>
    </w:rPr>
  </w:style>
  <w:style w:type="paragraph" w:customStyle="1" w:styleId="2040">
    <w:name w:val="Char Char Char Char Char Char1 Char Char Char Char1"/>
    <w:basedOn w:val="1"/>
    <w:autoRedefine/>
    <w:qFormat/>
    <w:uiPriority w:val="0"/>
    <w:rPr>
      <w:sz w:val="24"/>
    </w:rPr>
  </w:style>
  <w:style w:type="paragraph" w:customStyle="1" w:styleId="2041">
    <w:name w:val="样式 样式 标题 4 + 黑色 左侧:  -0.01 厘米 首行缩进:  0.01 厘米 + 左侧:  0 厘米 首行缩进: ..."/>
    <w:basedOn w:val="1351"/>
    <w:autoRedefine/>
    <w:qFormat/>
    <w:uiPriority w:val="0"/>
    <w:pPr>
      <w:tabs>
        <w:tab w:val="left" w:pos="851"/>
        <w:tab w:val="clear" w:pos="864"/>
      </w:tabs>
      <w:ind w:left="851" w:hanging="851"/>
    </w:pPr>
  </w:style>
  <w:style w:type="paragraph" w:customStyle="1" w:styleId="2042">
    <w:name w:val="xl49"/>
    <w:basedOn w:val="1"/>
    <w:autoRedefine/>
    <w:qFormat/>
    <w:uiPriority w:val="0"/>
    <w:pPr>
      <w:widowControl/>
      <w:pBdr>
        <w:left w:val="single" w:color="auto" w:sz="4" w:space="0"/>
      </w:pBdr>
      <w:spacing w:before="100" w:beforeAutospacing="1" w:after="100" w:afterAutospacing="1"/>
      <w:jc w:val="center"/>
    </w:pPr>
    <w:rPr>
      <w:rFonts w:ascii="Arial Unicode MS" w:hAnsi="Arial Unicode MS"/>
      <w:kern w:val="0"/>
      <w:sz w:val="16"/>
      <w:szCs w:val="16"/>
    </w:rPr>
  </w:style>
  <w:style w:type="paragraph" w:customStyle="1" w:styleId="2043">
    <w:name w:val="日期11"/>
    <w:basedOn w:val="1"/>
    <w:next w:val="1"/>
    <w:autoRedefine/>
    <w:qFormat/>
    <w:uiPriority w:val="0"/>
    <w:pPr>
      <w:adjustRightInd w:val="0"/>
      <w:textAlignment w:val="baseline"/>
    </w:pPr>
    <w:rPr>
      <w:szCs w:val="20"/>
    </w:rPr>
  </w:style>
  <w:style w:type="paragraph" w:customStyle="1" w:styleId="2044">
    <w:name w:val="xl17"/>
    <w:basedOn w:val="1"/>
    <w:autoRedefine/>
    <w:qFormat/>
    <w:uiPriority w:val="0"/>
    <w:pPr>
      <w:widowControl/>
      <w:spacing w:before="100" w:beforeAutospacing="1" w:after="100" w:afterAutospacing="1"/>
      <w:jc w:val="center"/>
      <w:textAlignment w:val="center"/>
    </w:pPr>
    <w:rPr>
      <w:rFonts w:ascii="宋体" w:hAnsi="宋体"/>
      <w:kern w:val="0"/>
      <w:sz w:val="18"/>
      <w:szCs w:val="18"/>
    </w:rPr>
  </w:style>
  <w:style w:type="paragraph" w:customStyle="1" w:styleId="2045">
    <w:name w:val="內文1階"/>
    <w:basedOn w:val="1"/>
    <w:autoRedefine/>
    <w:qFormat/>
    <w:uiPriority w:val="0"/>
    <w:pPr>
      <w:tabs>
        <w:tab w:val="left" w:pos="604"/>
      </w:tabs>
      <w:ind w:left="604" w:hanging="360"/>
      <w:jc w:val="left"/>
    </w:pPr>
    <w:rPr>
      <w:rFonts w:eastAsia="PMingLiU"/>
      <w:sz w:val="24"/>
      <w:szCs w:val="20"/>
      <w:lang w:eastAsia="zh-TW"/>
    </w:rPr>
  </w:style>
  <w:style w:type="paragraph" w:customStyle="1" w:styleId="2046">
    <w:name w:val="标准条文"/>
    <w:basedOn w:val="143"/>
    <w:next w:val="143"/>
    <w:autoRedefine/>
    <w:qFormat/>
    <w:uiPriority w:val="0"/>
    <w:rPr>
      <w:rFonts w:ascii="宋体" w:hAnsi="Times New Roman" w:eastAsia="宋体" w:cs="Times New Roman"/>
      <w:color w:val="auto"/>
    </w:rPr>
  </w:style>
  <w:style w:type="paragraph" w:customStyle="1" w:styleId="2047">
    <w:name w:val="p2"/>
    <w:basedOn w:val="1"/>
    <w:autoRedefine/>
    <w:qFormat/>
    <w:uiPriority w:val="0"/>
    <w:pPr>
      <w:widowControl/>
      <w:spacing w:before="100" w:beforeAutospacing="1" w:after="100" w:afterAutospacing="1" w:line="419" w:lineRule="atLeast"/>
      <w:ind w:firstLine="335"/>
      <w:jc w:val="left"/>
    </w:pPr>
    <w:rPr>
      <w:rFonts w:ascii="宋体" w:hAnsi="宋体" w:cs="宋体"/>
      <w:kern w:val="0"/>
      <w:sz w:val="23"/>
    </w:rPr>
  </w:style>
  <w:style w:type="paragraph" w:customStyle="1" w:styleId="2048">
    <w:name w:val="xl"/>
    <w:basedOn w:val="1"/>
    <w:autoRedefine/>
    <w:qFormat/>
    <w:uiPriority w:val="0"/>
    <w:pPr>
      <w:widowControl/>
      <w:spacing w:before="100" w:beforeAutospacing="1" w:after="100" w:afterAutospacing="1"/>
      <w:jc w:val="left"/>
    </w:pPr>
    <w:rPr>
      <w:rFonts w:hint="eastAsia" w:ascii="隶书" w:hAnsi="Arial Unicode MS" w:eastAsia="隶书"/>
      <w:color w:val="008000"/>
      <w:kern w:val="0"/>
      <w:sz w:val="36"/>
      <w:szCs w:val="36"/>
    </w:rPr>
  </w:style>
  <w:style w:type="paragraph" w:customStyle="1" w:styleId="2049">
    <w:name w:val="Char Char Char Char Char Char Char Char1 Char Char Char Char Char Char Char Char Char Char Char Char"/>
    <w:basedOn w:val="1"/>
    <w:autoRedefine/>
    <w:qFormat/>
    <w:uiPriority w:val="0"/>
    <w:rPr>
      <w:sz w:val="24"/>
    </w:rPr>
  </w:style>
  <w:style w:type="paragraph" w:customStyle="1" w:styleId="2050">
    <w:name w:val="样式 标题 3标题 3 Char标题 3 Char Char Char Char Char Char Char Char C...3"/>
    <w:basedOn w:val="5"/>
    <w:autoRedefine/>
    <w:qFormat/>
    <w:uiPriority w:val="0"/>
    <w:pPr>
      <w:tabs>
        <w:tab w:val="left" w:pos="1418"/>
      </w:tabs>
      <w:spacing w:before="0" w:after="0" w:line="360" w:lineRule="auto"/>
      <w:ind w:left="720" w:hanging="720"/>
    </w:pPr>
    <w:rPr>
      <w:rFonts w:ascii="宋体" w:hAnsi="宋体" w:cs="宋体"/>
      <w:color w:val="000000"/>
      <w:sz w:val="28"/>
      <w:szCs w:val="20"/>
      <w:lang w:val="zh-CN"/>
    </w:rPr>
  </w:style>
  <w:style w:type="paragraph" w:customStyle="1" w:styleId="2051">
    <w:name w:val="标题1.1.1"/>
    <w:basedOn w:val="1"/>
    <w:autoRedefine/>
    <w:qFormat/>
    <w:uiPriority w:val="0"/>
    <w:pPr>
      <w:spacing w:beforeLines="50" w:afterLines="50" w:line="520" w:lineRule="exact"/>
      <w:outlineLvl w:val="2"/>
    </w:pPr>
    <w:rPr>
      <w:rFonts w:ascii="宋体" w:hAnsi="宋体"/>
      <w:b/>
      <w:color w:val="000000"/>
      <w:sz w:val="30"/>
      <w:szCs w:val="30"/>
    </w:rPr>
  </w:style>
  <w:style w:type="paragraph" w:customStyle="1" w:styleId="2052">
    <w:name w:val="Char Char Char1 Char Char"/>
    <w:basedOn w:val="1"/>
    <w:autoRedefine/>
    <w:qFormat/>
    <w:uiPriority w:val="0"/>
    <w:rPr>
      <w:rFonts w:ascii="黑体" w:hAnsi="黑体" w:eastAsia="黑体"/>
      <w:b/>
      <w:spacing w:val="10"/>
      <w:sz w:val="28"/>
      <w:szCs w:val="20"/>
    </w:rPr>
  </w:style>
  <w:style w:type="paragraph" w:customStyle="1" w:styleId="2053">
    <w:name w:val="目录3"/>
    <w:basedOn w:val="1"/>
    <w:next w:val="1"/>
    <w:autoRedefine/>
    <w:qFormat/>
    <w:uiPriority w:val="0"/>
    <w:pPr>
      <w:widowControl/>
      <w:tabs>
        <w:tab w:val="left" w:leader="dot" w:pos="8492"/>
      </w:tabs>
      <w:spacing w:line="748" w:lineRule="atLeast"/>
      <w:ind w:left="419" w:firstLine="419"/>
    </w:pPr>
    <w:rPr>
      <w:rFonts w:ascii="宋体"/>
      <w:color w:val="000000"/>
      <w:kern w:val="0"/>
      <w:szCs w:val="20"/>
    </w:rPr>
  </w:style>
  <w:style w:type="paragraph" w:customStyle="1" w:styleId="2054">
    <w:name w:val="Char Char Char1 Char Char Char Char Char Char Char"/>
    <w:basedOn w:val="1"/>
    <w:autoRedefine/>
    <w:qFormat/>
    <w:uiPriority w:val="0"/>
    <w:rPr>
      <w:rFonts w:ascii="Tahoma" w:hAnsi="Tahoma"/>
      <w:sz w:val="24"/>
      <w:szCs w:val="20"/>
    </w:rPr>
  </w:style>
  <w:style w:type="paragraph" w:customStyle="1" w:styleId="2055">
    <w:name w:val="目录 8 Char Char"/>
    <w:basedOn w:val="1"/>
    <w:next w:val="1"/>
    <w:autoRedefine/>
    <w:qFormat/>
    <w:uiPriority w:val="0"/>
    <w:pPr>
      <w:spacing w:line="351" w:lineRule="atLeast"/>
      <w:ind w:left="1468" w:firstLine="419"/>
      <w:jc w:val="left"/>
    </w:pPr>
    <w:rPr>
      <w:rFonts w:hint="eastAsia"/>
      <w:szCs w:val="20"/>
    </w:rPr>
  </w:style>
  <w:style w:type="paragraph" w:customStyle="1" w:styleId="2056">
    <w:name w:val="Char Char6 Char Char Char Char1"/>
    <w:basedOn w:val="1"/>
    <w:autoRedefine/>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2057">
    <w:name w:val="xl35"/>
    <w:basedOn w:val="1"/>
    <w:autoRedefine/>
    <w:qFormat/>
    <w:uiPriority w:val="0"/>
    <w:pPr>
      <w:widowControl/>
      <w:pBdr>
        <w:left w:val="single" w:color="auto" w:sz="4" w:space="0"/>
        <w:right w:val="single" w:color="auto" w:sz="4" w:space="0"/>
      </w:pBdr>
      <w:spacing w:before="100" w:beforeAutospacing="1" w:after="100" w:afterAutospacing="1"/>
      <w:jc w:val="center"/>
    </w:pPr>
    <w:rPr>
      <w:rFonts w:ascii="Arial Unicode MS" w:hAnsi="Arial Unicode MS" w:eastAsia="Arial Unicode MS" w:cs="Arial Unicode MS"/>
      <w:kern w:val="0"/>
      <w:szCs w:val="21"/>
    </w:rPr>
  </w:style>
  <w:style w:type="paragraph" w:customStyle="1" w:styleId="2058">
    <w:name w:val="pt9"/>
    <w:basedOn w:val="1"/>
    <w:autoRedefine/>
    <w:qFormat/>
    <w:uiPriority w:val="0"/>
    <w:pPr>
      <w:widowControl/>
      <w:spacing w:before="100" w:beforeAutospacing="1" w:after="100" w:afterAutospacing="1"/>
      <w:jc w:val="left"/>
    </w:pPr>
    <w:rPr>
      <w:color w:val="000000"/>
      <w:kern w:val="0"/>
      <w:sz w:val="18"/>
      <w:szCs w:val="18"/>
    </w:rPr>
  </w:style>
  <w:style w:type="paragraph" w:customStyle="1" w:styleId="2059">
    <w:name w:val="样式 标题 3 + 11 磅 蓝色"/>
    <w:basedOn w:val="5"/>
    <w:autoRedefine/>
    <w:qFormat/>
    <w:uiPriority w:val="0"/>
    <w:pPr>
      <w:tabs>
        <w:tab w:val="left" w:pos="1418"/>
      </w:tabs>
      <w:autoSpaceDE w:val="0"/>
      <w:autoSpaceDN w:val="0"/>
      <w:adjustRightInd w:val="0"/>
      <w:snapToGrid w:val="0"/>
      <w:spacing w:before="0" w:after="0" w:line="500" w:lineRule="exact"/>
      <w:jc w:val="left"/>
      <w:textAlignment w:val="baseline"/>
    </w:pPr>
    <w:rPr>
      <w:rFonts w:ascii="宋体" w:hAnsi="宋体"/>
      <w:b w:val="0"/>
      <w:bCs w:val="0"/>
      <w:color w:val="0000FF"/>
      <w:kern w:val="0"/>
      <w:sz w:val="28"/>
      <w:szCs w:val="20"/>
      <w:lang w:val="zh-CN"/>
    </w:rPr>
  </w:style>
  <w:style w:type="paragraph" w:customStyle="1" w:styleId="2060">
    <w:name w:val="环表"/>
    <w:basedOn w:val="754"/>
    <w:autoRedefine/>
    <w:qFormat/>
    <w:uiPriority w:val="0"/>
    <w:pPr>
      <w:tabs>
        <w:tab w:val="left" w:pos="1464"/>
        <w:tab w:val="left" w:pos="5094"/>
      </w:tabs>
      <w:suppressAutoHyphens w:val="0"/>
      <w:snapToGrid w:val="0"/>
      <w:spacing w:before="120" w:after="120" w:line="324" w:lineRule="auto"/>
      <w:ind w:left="7" w:right="29" w:firstLine="539"/>
      <w:jc w:val="center"/>
    </w:pPr>
    <w:rPr>
      <w:rFonts w:ascii="仿宋_GB2312" w:hAnsi="Courier New" w:eastAsia="仿宋_GB2312"/>
      <w:sz w:val="21"/>
    </w:rPr>
  </w:style>
  <w:style w:type="paragraph" w:customStyle="1" w:styleId="2061">
    <w:name w:val="Char4"/>
    <w:basedOn w:val="1"/>
    <w:autoRedefine/>
    <w:qFormat/>
    <w:uiPriority w:val="0"/>
    <w:pPr>
      <w:spacing w:line="240" w:lineRule="exact"/>
      <w:ind w:firstLine="360" w:firstLineChars="200"/>
    </w:pPr>
    <w:rPr>
      <w:rFonts w:ascii="仿宋_GB2312" w:eastAsia="仿宋_GB2312"/>
      <w:sz w:val="18"/>
      <w:szCs w:val="18"/>
    </w:rPr>
  </w:style>
  <w:style w:type="paragraph" w:customStyle="1" w:styleId="2062">
    <w:name w:val="xl115"/>
    <w:basedOn w:val="1"/>
    <w:autoRedefine/>
    <w:qFormat/>
    <w:uiPriority w:val="0"/>
    <w:pPr>
      <w:widowControl/>
      <w:pBdr>
        <w:left w:val="single" w:color="auto" w:sz="4" w:space="0"/>
      </w:pBdr>
      <w:spacing w:before="100" w:beforeAutospacing="1" w:after="100" w:afterAutospacing="1"/>
      <w:jc w:val="center"/>
      <w:textAlignment w:val="center"/>
    </w:pPr>
    <w:rPr>
      <w:kern w:val="0"/>
      <w:sz w:val="22"/>
      <w:szCs w:val="22"/>
    </w:rPr>
  </w:style>
  <w:style w:type="paragraph" w:customStyle="1" w:styleId="2063">
    <w:name w:val="Char9"/>
    <w:basedOn w:val="1"/>
    <w:autoRedefine/>
    <w:qFormat/>
    <w:uiPriority w:val="0"/>
    <w:rPr>
      <w:sz w:val="24"/>
    </w:rPr>
  </w:style>
  <w:style w:type="paragraph" w:customStyle="1" w:styleId="2064">
    <w:name w:val="条2"/>
    <w:basedOn w:val="1"/>
    <w:next w:val="1"/>
    <w:autoRedefine/>
    <w:qFormat/>
    <w:uiPriority w:val="0"/>
    <w:pPr>
      <w:tabs>
        <w:tab w:val="left" w:pos="1080"/>
      </w:tabs>
      <w:outlineLvl w:val="1"/>
    </w:pPr>
    <w:rPr>
      <w:rFonts w:hint="eastAsia" w:ascii="黑体" w:eastAsia="黑体"/>
      <w:kern w:val="21"/>
      <w:szCs w:val="20"/>
    </w:rPr>
  </w:style>
  <w:style w:type="paragraph" w:customStyle="1" w:styleId="2065">
    <w:name w:val="样式 标题 1 + 两端对齐"/>
    <w:basedOn w:val="3"/>
    <w:autoRedefine/>
    <w:qFormat/>
    <w:uiPriority w:val="0"/>
    <w:pPr>
      <w:keepNext w:val="0"/>
      <w:pageBreakBefore/>
      <w:widowControl/>
      <w:tabs>
        <w:tab w:val="left" w:pos="420"/>
        <w:tab w:val="left" w:pos="425"/>
      </w:tabs>
      <w:overflowPunct/>
      <w:adjustRightInd w:val="0"/>
      <w:spacing w:before="0" w:after="0" w:line="300" w:lineRule="auto"/>
      <w:ind w:left="0" w:firstLine="0"/>
      <w:jc w:val="center"/>
    </w:pPr>
    <w:rPr>
      <w:rFonts w:ascii="仿宋_GB2312" w:eastAsia="仿宋_GB2312" w:cs="宋体"/>
      <w:b w:val="0"/>
      <w:bCs w:val="0"/>
      <w:color w:val="auto"/>
      <w:kern w:val="0"/>
      <w:sz w:val="32"/>
      <w:szCs w:val="32"/>
      <w:lang w:val="zh-CN"/>
    </w:rPr>
  </w:style>
  <w:style w:type="paragraph" w:customStyle="1" w:styleId="2066">
    <w:name w:val="Char Char Char Char Char Char Char Char Char1 Char Char Char Char2"/>
    <w:basedOn w:val="1"/>
    <w:autoRedefine/>
    <w:qFormat/>
    <w:uiPriority w:val="0"/>
    <w:rPr>
      <w:szCs w:val="21"/>
    </w:rPr>
  </w:style>
  <w:style w:type="paragraph" w:customStyle="1" w:styleId="2067">
    <w:name w:val="目录 4 Char Char"/>
    <w:basedOn w:val="1"/>
    <w:next w:val="1"/>
    <w:autoRedefine/>
    <w:qFormat/>
    <w:uiPriority w:val="0"/>
    <w:pPr>
      <w:spacing w:line="351" w:lineRule="atLeast"/>
      <w:ind w:left="629" w:firstLine="419"/>
      <w:jc w:val="left"/>
    </w:pPr>
    <w:rPr>
      <w:rFonts w:hint="eastAsia"/>
      <w:szCs w:val="20"/>
    </w:rPr>
  </w:style>
  <w:style w:type="paragraph" w:customStyle="1" w:styleId="2068">
    <w:name w:val="Char35"/>
    <w:basedOn w:val="1"/>
    <w:autoRedefine/>
    <w:qFormat/>
    <w:uiPriority w:val="0"/>
    <w:rPr>
      <w:sz w:val="24"/>
    </w:rPr>
  </w:style>
  <w:style w:type="paragraph" w:customStyle="1" w:styleId="2069">
    <w:name w:val="20"/>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070">
    <w:name w:val="样式a"/>
    <w:basedOn w:val="1"/>
    <w:autoRedefine/>
    <w:qFormat/>
    <w:uiPriority w:val="0"/>
    <w:pPr>
      <w:adjustRightInd w:val="0"/>
      <w:snapToGrid w:val="0"/>
      <w:spacing w:line="420" w:lineRule="exact"/>
      <w:ind w:firstLine="200" w:firstLineChars="200"/>
      <w:textAlignment w:val="baseline"/>
    </w:pPr>
    <w:rPr>
      <w:kern w:val="0"/>
      <w:sz w:val="24"/>
    </w:rPr>
  </w:style>
  <w:style w:type="paragraph" w:customStyle="1" w:styleId="2071">
    <w:name w:val="首2页企业名称"/>
    <w:basedOn w:val="34"/>
    <w:autoRedefine/>
    <w:qFormat/>
    <w:uiPriority w:val="0"/>
    <w:pPr>
      <w:tabs>
        <w:tab w:val="left" w:pos="2880"/>
      </w:tabs>
      <w:spacing w:beforeLines="400" w:after="0" w:line="480" w:lineRule="auto"/>
      <w:ind w:left="0" w:leftChars="0"/>
      <w:jc w:val="center"/>
    </w:pPr>
    <w:rPr>
      <w:rFonts w:ascii="楷体" w:hAnsi="楷体" w:eastAsia="楷体"/>
      <w:bCs/>
      <w:sz w:val="52"/>
      <w:szCs w:val="52"/>
      <w:lang w:val="zh-CN"/>
    </w:rPr>
  </w:style>
  <w:style w:type="paragraph" w:customStyle="1" w:styleId="2072">
    <w:name w:val="font12"/>
    <w:basedOn w:val="1"/>
    <w:autoRedefine/>
    <w:qFormat/>
    <w:uiPriority w:val="0"/>
    <w:pPr>
      <w:widowControl/>
      <w:spacing w:before="100" w:beforeAutospacing="1" w:after="100" w:afterAutospacing="1"/>
      <w:jc w:val="left"/>
    </w:pPr>
    <w:rPr>
      <w:rFonts w:eastAsia="Arial Unicode MS"/>
      <w:kern w:val="0"/>
      <w:szCs w:val="21"/>
    </w:rPr>
  </w:style>
  <w:style w:type="paragraph" w:customStyle="1" w:styleId="2073">
    <w:name w:val="xl133"/>
    <w:basedOn w:val="1"/>
    <w:autoRedefine/>
    <w:qFormat/>
    <w:uiPriority w:val="0"/>
    <w:pPr>
      <w:widowControl/>
      <w:pBdr>
        <w:right w:val="single" w:color="auto" w:sz="4" w:space="0"/>
      </w:pBdr>
      <w:spacing w:before="100" w:beforeAutospacing="1" w:after="100" w:afterAutospacing="1"/>
      <w:jc w:val="center"/>
    </w:pPr>
    <w:rPr>
      <w:rFonts w:ascii="Arial Unicode MS" w:hAnsi="Arial Unicode MS"/>
      <w:kern w:val="0"/>
      <w:sz w:val="12"/>
      <w:szCs w:val="12"/>
    </w:rPr>
  </w:style>
  <w:style w:type="paragraph" w:customStyle="1" w:styleId="2074">
    <w:name w:val="样式 标题 3标题 3 Char CharH3h33rd level标题3 + 段前: 0.5 行"/>
    <w:basedOn w:val="5"/>
    <w:autoRedefine/>
    <w:qFormat/>
    <w:uiPriority w:val="0"/>
    <w:pPr>
      <w:keepNext w:val="0"/>
      <w:keepLines w:val="0"/>
      <w:widowControl/>
      <w:tabs>
        <w:tab w:val="left" w:pos="1418"/>
      </w:tabs>
      <w:spacing w:before="0" w:after="0" w:line="480" w:lineRule="exact"/>
      <w:ind w:firstLine="560" w:firstLineChars="200"/>
      <w:outlineLvl w:val="9"/>
    </w:pPr>
    <w:rPr>
      <w:rFonts w:ascii="楷体_GB2312" w:hAnsi="宋体" w:eastAsia="楷体_GB2312"/>
      <w:b w:val="0"/>
      <w:color w:val="FF0000"/>
      <w:sz w:val="28"/>
      <w:szCs w:val="28"/>
      <w:lang w:val="zh-CN"/>
    </w:rPr>
  </w:style>
  <w:style w:type="paragraph" w:customStyle="1" w:styleId="2075">
    <w:name w:val="8说明(治)"/>
    <w:basedOn w:val="1"/>
    <w:next w:val="484"/>
    <w:autoRedefine/>
    <w:qFormat/>
    <w:uiPriority w:val="0"/>
    <w:pPr>
      <w:ind w:firstLine="480" w:firstLineChars="200"/>
    </w:pPr>
    <w:rPr>
      <w:rFonts w:ascii="仿宋_GB2312" w:hAnsi="宋体" w:eastAsia="仿宋_GB2312"/>
      <w:color w:val="3366FF"/>
      <w:sz w:val="24"/>
      <w:szCs w:val="20"/>
    </w:rPr>
  </w:style>
  <w:style w:type="paragraph" w:customStyle="1" w:styleId="2076">
    <w:name w:val="Char Char1 Char Char Char Char"/>
    <w:basedOn w:val="1"/>
    <w:autoRedefine/>
    <w:qFormat/>
    <w:uiPriority w:val="0"/>
    <w:rPr>
      <w:sz w:val="24"/>
    </w:rPr>
  </w:style>
  <w:style w:type="paragraph" w:customStyle="1" w:styleId="2077">
    <w:name w:val="GM"/>
    <w:basedOn w:val="3"/>
    <w:autoRedefine/>
    <w:qFormat/>
    <w:uiPriority w:val="0"/>
    <w:pPr>
      <w:widowControl/>
      <w:tabs>
        <w:tab w:val="left" w:pos="425"/>
        <w:tab w:val="left" w:pos="2260"/>
        <w:tab w:val="left" w:pos="2820"/>
        <w:tab w:val="left" w:pos="3420"/>
      </w:tabs>
      <w:overflowPunct/>
      <w:adjustRightInd w:val="0"/>
      <w:spacing w:before="240" w:after="0" w:line="240" w:lineRule="auto"/>
      <w:ind w:left="851" w:right="-28" w:hanging="851"/>
    </w:pPr>
    <w:rPr>
      <w:rFonts w:ascii="Arial" w:hAnsi="Arial" w:eastAsia="宋体"/>
      <w:bCs w:val="0"/>
      <w:color w:val="auto"/>
      <w:kern w:val="0"/>
      <w:sz w:val="22"/>
      <w:szCs w:val="20"/>
      <w:lang w:val="en-GB"/>
    </w:rPr>
  </w:style>
  <w:style w:type="paragraph" w:customStyle="1" w:styleId="2078">
    <w:name w:val="正文11"/>
    <w:basedOn w:val="1"/>
    <w:autoRedefine/>
    <w:qFormat/>
    <w:uiPriority w:val="0"/>
    <w:pPr>
      <w:adjustRightInd w:val="0"/>
      <w:spacing w:before="120" w:after="120" w:line="360" w:lineRule="auto"/>
      <w:ind w:firstLine="539"/>
    </w:pPr>
    <w:rPr>
      <w:rFonts w:hint="eastAsia" w:ascii="宋体" w:hAnsi="宋体"/>
      <w:kern w:val="0"/>
      <w:sz w:val="28"/>
    </w:rPr>
  </w:style>
  <w:style w:type="paragraph" w:customStyle="1" w:styleId="2079">
    <w:name w:val="Char24"/>
    <w:basedOn w:val="1"/>
    <w:autoRedefine/>
    <w:qFormat/>
    <w:uiPriority w:val="0"/>
    <w:rPr>
      <w:sz w:val="24"/>
    </w:rPr>
  </w:style>
  <w:style w:type="paragraph" w:customStyle="1" w:styleId="2080">
    <w:name w:val="正文12"/>
    <w:basedOn w:val="1"/>
    <w:autoRedefine/>
    <w:qFormat/>
    <w:uiPriority w:val="0"/>
    <w:pPr>
      <w:adjustRightInd w:val="0"/>
      <w:spacing w:line="500" w:lineRule="exact"/>
      <w:ind w:firstLine="567"/>
    </w:pPr>
    <w:rPr>
      <w:sz w:val="28"/>
      <w:szCs w:val="20"/>
    </w:rPr>
  </w:style>
  <w:style w:type="paragraph" w:customStyle="1" w:styleId="2081">
    <w:name w:val="三级"/>
    <w:basedOn w:val="5"/>
    <w:next w:val="1"/>
    <w:autoRedefine/>
    <w:qFormat/>
    <w:uiPriority w:val="0"/>
    <w:pPr>
      <w:tabs>
        <w:tab w:val="left" w:pos="360"/>
        <w:tab w:val="left" w:pos="1418"/>
      </w:tabs>
      <w:spacing w:before="0" w:after="0" w:line="560" w:lineRule="exact"/>
      <w:ind w:left="360" w:hanging="360" w:hangingChars="200"/>
    </w:pPr>
    <w:rPr>
      <w:rFonts w:eastAsia="仿宋_GB2312"/>
      <w:b w:val="0"/>
      <w:spacing w:val="12"/>
      <w:sz w:val="28"/>
      <w:lang w:val="zh-CN"/>
    </w:rPr>
  </w:style>
  <w:style w:type="paragraph" w:customStyle="1" w:styleId="2082">
    <w:name w:val="xl149"/>
    <w:basedOn w:val="1"/>
    <w:autoRedefine/>
    <w:qFormat/>
    <w:uiPriority w:val="0"/>
    <w:pPr>
      <w:widowControl/>
      <w:pBdr>
        <w:bottom w:val="single" w:color="auto" w:sz="8" w:space="0"/>
        <w:right w:val="single" w:color="auto" w:sz="4" w:space="0"/>
      </w:pBdr>
      <w:spacing w:before="100" w:beforeAutospacing="1" w:after="100" w:afterAutospacing="1"/>
      <w:jc w:val="left"/>
    </w:pPr>
    <w:rPr>
      <w:rFonts w:ascii="Arial Unicode MS" w:hAnsi="Arial Unicode MS"/>
      <w:kern w:val="0"/>
    </w:rPr>
  </w:style>
  <w:style w:type="paragraph" w:customStyle="1" w:styleId="2083">
    <w:name w:val="样式1）"/>
    <w:basedOn w:val="7"/>
    <w:autoRedefine/>
    <w:qFormat/>
    <w:uiPriority w:val="0"/>
    <w:pPr>
      <w:keepNext/>
      <w:tabs>
        <w:tab w:val="left" w:pos="1226"/>
        <w:tab w:val="left" w:pos="2551"/>
      </w:tabs>
      <w:adjustRightInd/>
      <w:spacing w:before="0" w:beforeLines="50" w:afterLines="50" w:line="400" w:lineRule="exact"/>
      <w:ind w:left="821" w:leftChars="213" w:hanging="374" w:hangingChars="156"/>
    </w:pPr>
    <w:rPr>
      <w:rFonts w:ascii="Times New Roman" w:hAnsi="Times New Roman"/>
      <w:bCs/>
      <w:snapToGrid/>
      <w:kern w:val="2"/>
      <w:sz w:val="24"/>
      <w:szCs w:val="28"/>
      <w:lang w:val="zh-CN"/>
    </w:rPr>
  </w:style>
  <w:style w:type="paragraph" w:customStyle="1" w:styleId="2084">
    <w:name w:val="Char Char Char Char Char Char Char Char Char1 Char Char Char Char1"/>
    <w:basedOn w:val="1"/>
    <w:autoRedefine/>
    <w:qFormat/>
    <w:uiPriority w:val="0"/>
    <w:rPr>
      <w:szCs w:val="21"/>
    </w:rPr>
  </w:style>
  <w:style w:type="paragraph" w:customStyle="1" w:styleId="2085">
    <w:name w:val="样式 标题 1章标题 1H1Section HeadHeader1h11st levell1Heading 0...1"/>
    <w:basedOn w:val="3"/>
    <w:autoRedefine/>
    <w:qFormat/>
    <w:uiPriority w:val="0"/>
    <w:pPr>
      <w:tabs>
        <w:tab w:val="left" w:pos="425"/>
      </w:tabs>
      <w:overflowPunct/>
      <w:snapToGrid/>
      <w:spacing w:before="0" w:after="0" w:line="500" w:lineRule="exact"/>
      <w:ind w:left="425" w:hanging="425"/>
      <w:jc w:val="left"/>
    </w:pPr>
    <w:rPr>
      <w:rFonts w:eastAsia="宋体" w:cs="宋体"/>
      <w:b w:val="0"/>
      <w:bCs w:val="0"/>
      <w:kern w:val="2"/>
      <w:sz w:val="28"/>
      <w:szCs w:val="20"/>
      <w:lang w:val="zh-CN"/>
    </w:rPr>
  </w:style>
  <w:style w:type="paragraph" w:customStyle="1" w:styleId="2086">
    <w:name w:val="证书面段前25行"/>
    <w:basedOn w:val="1"/>
    <w:autoRedefine/>
    <w:qFormat/>
    <w:uiPriority w:val="0"/>
    <w:pPr>
      <w:spacing w:beforeLines="2500" w:line="360" w:lineRule="auto"/>
      <w:jc w:val="center"/>
    </w:pPr>
    <w:rPr>
      <w:rFonts w:ascii="黑体" w:hAnsi="黑体" w:eastAsia="黑体"/>
      <w:sz w:val="30"/>
      <w:szCs w:val="30"/>
    </w:rPr>
  </w:style>
  <w:style w:type="paragraph" w:customStyle="1" w:styleId="2087">
    <w:name w:val="列表段落2"/>
    <w:basedOn w:val="1"/>
    <w:autoRedefine/>
    <w:qFormat/>
    <w:uiPriority w:val="0"/>
    <w:pPr>
      <w:widowControl/>
      <w:ind w:firstLine="420" w:firstLineChars="200"/>
      <w:jc w:val="left"/>
    </w:pPr>
    <w:rPr>
      <w:kern w:val="0"/>
      <w:sz w:val="24"/>
      <w:szCs w:val="20"/>
    </w:rPr>
  </w:style>
  <w:style w:type="paragraph" w:customStyle="1" w:styleId="2088">
    <w:name w:val="xl199"/>
    <w:basedOn w:val="1"/>
    <w:autoRedefine/>
    <w:qFormat/>
    <w:uiPriority w:val="0"/>
    <w:pPr>
      <w:widowControl/>
      <w:pBdr>
        <w:left w:val="single" w:color="auto" w:sz="8" w:space="0"/>
        <w:bottom w:val="single" w:color="auto" w:sz="8" w:space="0"/>
      </w:pBdr>
      <w:spacing w:before="100" w:beforeAutospacing="1" w:after="100" w:afterAutospacing="1"/>
      <w:jc w:val="center"/>
    </w:pPr>
    <w:rPr>
      <w:rFonts w:ascii="宋体" w:hAnsi="宋体" w:cs="宋体"/>
      <w:color w:val="0000FF"/>
      <w:kern w:val="0"/>
      <w:sz w:val="18"/>
      <w:szCs w:val="18"/>
    </w:rPr>
  </w:style>
  <w:style w:type="paragraph" w:customStyle="1" w:styleId="2089">
    <w:name w:val="样式 标题 3 + 左侧:  0 毫米 首行缩进:  0 毫米 行距: 最小值 25 磅2"/>
    <w:basedOn w:val="5"/>
    <w:autoRedefine/>
    <w:qFormat/>
    <w:uiPriority w:val="0"/>
    <w:pPr>
      <w:keepLines w:val="0"/>
      <w:tabs>
        <w:tab w:val="left" w:pos="1418"/>
      </w:tabs>
      <w:spacing w:before="0" w:after="0" w:line="500" w:lineRule="atLeast"/>
    </w:pPr>
    <w:rPr>
      <w:rFonts w:cs="宋体"/>
      <w:b w:val="0"/>
      <w:bCs w:val="0"/>
      <w:kern w:val="0"/>
      <w:sz w:val="28"/>
      <w:szCs w:val="20"/>
      <w:lang w:val="zh-CN"/>
    </w:rPr>
  </w:style>
  <w:style w:type="paragraph" w:customStyle="1" w:styleId="2090">
    <w:name w:val="陈2"/>
    <w:basedOn w:val="1"/>
    <w:autoRedefine/>
    <w:qFormat/>
    <w:uiPriority w:val="0"/>
    <w:pPr>
      <w:widowControl/>
      <w:tabs>
        <w:tab w:val="left" w:pos="1729"/>
      </w:tabs>
      <w:ind w:firstLine="640" w:firstLineChars="200"/>
      <w:jc w:val="left"/>
      <w:outlineLvl w:val="1"/>
    </w:pPr>
    <w:rPr>
      <w:rFonts w:ascii="宋体" w:hAnsi="宋体" w:eastAsia="楷体_GB2312" w:cs="宋体"/>
      <w:kern w:val="0"/>
      <w:sz w:val="32"/>
    </w:rPr>
  </w:style>
  <w:style w:type="paragraph" w:customStyle="1" w:styleId="2091">
    <w:name w:val="xl209"/>
    <w:basedOn w:val="1"/>
    <w:autoRedefine/>
    <w:qFormat/>
    <w:uiPriority w:val="0"/>
    <w:pPr>
      <w:widowControl/>
      <w:pBdr>
        <w:left w:val="single" w:color="auto" w:sz="8" w:space="0"/>
        <w:bottom w:val="single" w:color="auto" w:sz="12" w:space="0"/>
        <w:right w:val="single" w:color="auto" w:sz="8" w:space="0"/>
      </w:pBdr>
      <w:spacing w:before="100" w:beforeAutospacing="1" w:after="100" w:afterAutospacing="1"/>
      <w:jc w:val="center"/>
    </w:pPr>
    <w:rPr>
      <w:kern w:val="0"/>
      <w:sz w:val="18"/>
      <w:szCs w:val="18"/>
    </w:rPr>
  </w:style>
  <w:style w:type="paragraph" w:customStyle="1" w:styleId="2092">
    <w:name w:val="表文_L5"/>
    <w:autoRedefine/>
    <w:qFormat/>
    <w:uiPriority w:val="0"/>
    <w:rPr>
      <w:rFonts w:ascii="Garamond" w:hAnsi="Garamond" w:eastAsia="楷体_GB2312" w:cs="Times New Roman"/>
      <w:bCs/>
      <w:kern w:val="2"/>
      <w:sz w:val="21"/>
      <w:szCs w:val="21"/>
      <w:lang w:val="en-US" w:eastAsia="zh-CN" w:bidi="ar-SA"/>
    </w:rPr>
  </w:style>
  <w:style w:type="paragraph" w:customStyle="1" w:styleId="2093">
    <w:name w:val="初设正文"/>
    <w:basedOn w:val="1"/>
    <w:autoRedefine/>
    <w:qFormat/>
    <w:uiPriority w:val="0"/>
    <w:pPr>
      <w:spacing w:after="120" w:line="440" w:lineRule="exact"/>
      <w:ind w:left="425" w:firstLine="425"/>
    </w:pPr>
    <w:rPr>
      <w:rFonts w:ascii="Arial" w:hAnsi="Arial" w:cs="宋体"/>
      <w:kern w:val="0"/>
      <w:sz w:val="24"/>
      <w:szCs w:val="20"/>
    </w:rPr>
  </w:style>
  <w:style w:type="paragraph" w:customStyle="1" w:styleId="2094">
    <w:name w:val="样式 标题 2 + 宋体 四号 两端对齐"/>
    <w:basedOn w:val="4"/>
    <w:autoRedefine/>
    <w:qFormat/>
    <w:uiPriority w:val="0"/>
    <w:pPr>
      <w:tabs>
        <w:tab w:val="left" w:pos="985"/>
      </w:tabs>
      <w:spacing w:before="240" w:after="60" w:line="412" w:lineRule="auto"/>
      <w:ind w:left="985" w:hanging="851"/>
    </w:pPr>
    <w:rPr>
      <w:rFonts w:ascii="宋体" w:hAnsi="宋体" w:eastAsia="Times New Roman" w:cs="宋体"/>
      <w:sz w:val="28"/>
      <w:szCs w:val="20"/>
      <w:lang w:val="zh-CN"/>
    </w:rPr>
  </w:style>
  <w:style w:type="paragraph" w:customStyle="1" w:styleId="2095">
    <w:name w:val="正文居中"/>
    <w:basedOn w:val="1"/>
    <w:next w:val="1"/>
    <w:autoRedefine/>
    <w:qFormat/>
    <w:uiPriority w:val="0"/>
    <w:pPr>
      <w:widowControl/>
      <w:ind w:left="113" w:right="113"/>
      <w:jc w:val="center"/>
    </w:pPr>
    <w:rPr>
      <w:rFonts w:ascii="楷体_GB2312" w:hAnsi="宋体" w:eastAsia="楷体_GB2312" w:cs="宋体"/>
      <w:color w:val="000000"/>
      <w:kern w:val="0"/>
      <w:sz w:val="24"/>
    </w:rPr>
  </w:style>
  <w:style w:type="paragraph" w:customStyle="1" w:styleId="2096">
    <w:name w:val="d新正文"/>
    <w:basedOn w:val="1"/>
    <w:autoRedefine/>
    <w:qFormat/>
    <w:uiPriority w:val="0"/>
    <w:pPr>
      <w:widowControl/>
      <w:spacing w:line="360" w:lineRule="auto"/>
      <w:ind w:firstLine="476"/>
      <w:jc w:val="left"/>
    </w:pPr>
    <w:rPr>
      <w:kern w:val="0"/>
      <w:sz w:val="24"/>
      <w:szCs w:val="20"/>
    </w:rPr>
  </w:style>
  <w:style w:type="paragraph" w:customStyle="1" w:styleId="2097">
    <w:name w:val="陈1"/>
    <w:basedOn w:val="1"/>
    <w:autoRedefine/>
    <w:qFormat/>
    <w:uiPriority w:val="0"/>
    <w:pPr>
      <w:widowControl/>
      <w:tabs>
        <w:tab w:val="left" w:pos="1729"/>
      </w:tabs>
      <w:spacing w:beforeLines="100" w:afterLines="100"/>
      <w:ind w:left="1164" w:hanging="1164"/>
      <w:jc w:val="center"/>
      <w:outlineLvl w:val="0"/>
    </w:pPr>
    <w:rPr>
      <w:rFonts w:ascii="宋体" w:hAnsi="宋体" w:eastAsia="黑体" w:cs="宋体"/>
      <w:kern w:val="0"/>
      <w:sz w:val="32"/>
      <w:szCs w:val="32"/>
    </w:rPr>
  </w:style>
  <w:style w:type="paragraph" w:customStyle="1" w:styleId="2098">
    <w:name w:val="正文样式11"/>
    <w:basedOn w:val="1"/>
    <w:autoRedefine/>
    <w:qFormat/>
    <w:uiPriority w:val="0"/>
    <w:pPr>
      <w:ind w:firstLine="548" w:firstLineChars="200"/>
      <w:jc w:val="left"/>
    </w:pPr>
    <w:rPr>
      <w:rFonts w:ascii="宋体" w:hAnsi="宋体" w:cs="Arial"/>
      <w:bCs/>
      <w:color w:val="000000"/>
      <w:sz w:val="24"/>
    </w:rPr>
  </w:style>
  <w:style w:type="paragraph" w:customStyle="1" w:styleId="2099">
    <w:name w:val="xl128"/>
    <w:basedOn w:val="1"/>
    <w:autoRedefine/>
    <w:qFormat/>
    <w:uiPriority w:val="0"/>
    <w:pPr>
      <w:widowControl/>
      <w:pBdr>
        <w:bottom w:val="single" w:color="auto" w:sz="8" w:space="0"/>
      </w:pBdr>
      <w:spacing w:before="100" w:beforeAutospacing="1" w:after="100" w:afterAutospacing="1"/>
      <w:jc w:val="center"/>
    </w:pPr>
    <w:rPr>
      <w:rFonts w:ascii="Arial Unicode MS" w:hAnsi="Arial Unicode MS"/>
      <w:kern w:val="0"/>
      <w:sz w:val="12"/>
      <w:szCs w:val="12"/>
    </w:rPr>
  </w:style>
  <w:style w:type="paragraph" w:customStyle="1" w:styleId="2100">
    <w:name w:val="In Table"/>
    <w:basedOn w:val="1"/>
    <w:autoRedefine/>
    <w:qFormat/>
    <w:uiPriority w:val="0"/>
    <w:pPr>
      <w:widowControl/>
      <w:tabs>
        <w:tab w:val="left" w:pos="3960"/>
        <w:tab w:val="left" w:pos="5280"/>
      </w:tabs>
      <w:spacing w:before="96" w:after="96" w:line="0" w:lineRule="atLeast"/>
      <w:jc w:val="center"/>
    </w:pPr>
    <w:rPr>
      <w:rFonts w:ascii="Tahoma" w:hAnsi="Tahoma" w:eastAsia="华文中宋" w:cs="宋体"/>
      <w:kern w:val="0"/>
      <w:sz w:val="24"/>
    </w:rPr>
  </w:style>
  <w:style w:type="paragraph" w:customStyle="1" w:styleId="2101">
    <w:name w:val="正文13"/>
    <w:autoRedefine/>
    <w:qFormat/>
    <w:uiPriority w:val="0"/>
    <w:pPr>
      <w:widowControl w:val="0"/>
      <w:adjustRightInd w:val="0"/>
      <w:spacing w:line="312" w:lineRule="atLeast"/>
      <w:jc w:val="both"/>
      <w:textAlignment w:val="baseline"/>
    </w:pPr>
    <w:rPr>
      <w:rFonts w:ascii="Arial" w:hAnsi="Times New Roman" w:eastAsia="楷体_GB2312" w:cs="Times New Roman"/>
      <w:spacing w:val="-6"/>
      <w:sz w:val="28"/>
      <w:lang w:val="en-US" w:eastAsia="zh-CN" w:bidi="ar-SA"/>
    </w:rPr>
  </w:style>
  <w:style w:type="paragraph" w:customStyle="1" w:styleId="2102">
    <w:name w:val="xl141"/>
    <w:basedOn w:val="1"/>
    <w:autoRedefine/>
    <w:qFormat/>
    <w:uiPriority w:val="0"/>
    <w:pPr>
      <w:widowControl/>
      <w:spacing w:before="100" w:beforeAutospacing="1" w:after="100" w:afterAutospacing="1"/>
      <w:jc w:val="left"/>
    </w:pPr>
    <w:rPr>
      <w:rFonts w:ascii="Arial Unicode MS" w:hAnsi="Arial Unicode MS"/>
      <w:kern w:val="0"/>
      <w:sz w:val="16"/>
      <w:szCs w:val="16"/>
    </w:rPr>
  </w:style>
  <w:style w:type="paragraph" w:customStyle="1" w:styleId="2103">
    <w:name w:val="页脚 Char Char"/>
    <w:basedOn w:val="1"/>
    <w:autoRedefine/>
    <w:qFormat/>
    <w:uiPriority w:val="0"/>
    <w:pPr>
      <w:tabs>
        <w:tab w:val="left" w:pos="4149"/>
        <w:tab w:val="left" w:pos="8016"/>
      </w:tabs>
      <w:spacing w:line="351" w:lineRule="atLeast"/>
      <w:ind w:firstLine="419"/>
      <w:jc w:val="left"/>
    </w:pPr>
    <w:rPr>
      <w:rFonts w:hint="eastAsia"/>
      <w:sz w:val="18"/>
      <w:szCs w:val="20"/>
    </w:rPr>
  </w:style>
  <w:style w:type="paragraph" w:customStyle="1" w:styleId="2104">
    <w:name w:val="Char Char Char1 Char6"/>
    <w:basedOn w:val="4"/>
    <w:autoRedefine/>
    <w:qFormat/>
    <w:uiPriority w:val="0"/>
    <w:pPr>
      <w:keepNext w:val="0"/>
      <w:keepLines w:val="0"/>
      <w:spacing w:before="0" w:after="0" w:line="520" w:lineRule="exact"/>
    </w:pPr>
    <w:rPr>
      <w:rFonts w:ascii="Times New Roman" w:hAnsi="Times New Roman"/>
      <w:kern w:val="0"/>
      <w:sz w:val="28"/>
      <w:szCs w:val="28"/>
      <w:lang w:val="zh-CN"/>
    </w:rPr>
  </w:style>
  <w:style w:type="paragraph" w:customStyle="1" w:styleId="2105">
    <w:name w:val="xl187"/>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center"/>
    </w:pPr>
    <w:rPr>
      <w:kern w:val="0"/>
      <w:sz w:val="16"/>
      <w:szCs w:val="16"/>
    </w:rPr>
  </w:style>
  <w:style w:type="paragraph" w:customStyle="1" w:styleId="2106">
    <w:name w:val="xl202"/>
    <w:basedOn w:val="1"/>
    <w:autoRedefine/>
    <w:qFormat/>
    <w:uiPriority w:val="0"/>
    <w:pPr>
      <w:widowControl/>
      <w:pBdr>
        <w:bottom w:val="single" w:color="auto" w:sz="8" w:space="0"/>
        <w:right w:val="single" w:color="auto" w:sz="8" w:space="0"/>
      </w:pBdr>
      <w:spacing w:before="100" w:beforeAutospacing="1" w:after="100" w:afterAutospacing="1"/>
      <w:jc w:val="center"/>
    </w:pPr>
    <w:rPr>
      <w:kern w:val="0"/>
      <w:sz w:val="18"/>
      <w:szCs w:val="18"/>
    </w:rPr>
  </w:style>
  <w:style w:type="paragraph" w:customStyle="1" w:styleId="2107">
    <w:name w:val="正文 + 小四"/>
    <w:basedOn w:val="1"/>
    <w:autoRedefine/>
    <w:qFormat/>
    <w:uiPriority w:val="0"/>
    <w:pPr>
      <w:jc w:val="center"/>
    </w:pPr>
    <w:rPr>
      <w:sz w:val="24"/>
    </w:rPr>
  </w:style>
  <w:style w:type="paragraph" w:customStyle="1" w:styleId="2108">
    <w:name w:val="文章总标题"/>
    <w:basedOn w:val="1"/>
    <w:next w:val="2109"/>
    <w:autoRedefine/>
    <w:qFormat/>
    <w:uiPriority w:val="0"/>
    <w:pPr>
      <w:widowControl/>
      <w:spacing w:before="566" w:after="544" w:line="566" w:lineRule="atLeast"/>
      <w:jc w:val="center"/>
      <w:textAlignment w:val="baseline"/>
    </w:pPr>
    <w:rPr>
      <w:rFonts w:ascii="Arial" w:eastAsia="黑体"/>
      <w:color w:val="000000"/>
      <w:kern w:val="0"/>
      <w:sz w:val="54"/>
      <w:szCs w:val="20"/>
    </w:rPr>
  </w:style>
  <w:style w:type="paragraph" w:customStyle="1" w:styleId="2109">
    <w:name w:val="文章附标题"/>
    <w:basedOn w:val="1"/>
    <w:next w:val="331"/>
    <w:autoRedefine/>
    <w:qFormat/>
    <w:uiPriority w:val="0"/>
    <w:pPr>
      <w:widowControl/>
      <w:spacing w:before="187" w:after="175" w:line="374" w:lineRule="atLeast"/>
      <w:jc w:val="center"/>
      <w:textAlignment w:val="baseline"/>
    </w:pPr>
    <w:rPr>
      <w:color w:val="000000"/>
      <w:kern w:val="0"/>
      <w:sz w:val="36"/>
      <w:szCs w:val="20"/>
    </w:rPr>
  </w:style>
  <w:style w:type="paragraph" w:customStyle="1" w:styleId="2110">
    <w:name w:val="图号"/>
    <w:basedOn w:val="73"/>
    <w:autoRedefine/>
    <w:qFormat/>
    <w:uiPriority w:val="0"/>
    <w:pPr>
      <w:adjustRightInd w:val="0"/>
      <w:ind w:left="198"/>
      <w:jc w:val="center"/>
      <w:textAlignment w:val="baseline"/>
    </w:pPr>
    <w:rPr>
      <w:b/>
      <w:bCs/>
      <w:kern w:val="32"/>
      <w:sz w:val="24"/>
    </w:rPr>
  </w:style>
  <w:style w:type="paragraph" w:customStyle="1" w:styleId="2111">
    <w:name w:val="样式 样式4 + 段前: 1 行"/>
    <w:basedOn w:val="6"/>
    <w:next w:val="6"/>
    <w:autoRedefine/>
    <w:qFormat/>
    <w:uiPriority w:val="0"/>
    <w:pPr>
      <w:keepLines/>
      <w:tabs>
        <w:tab w:val="left" w:pos="1178"/>
      </w:tabs>
      <w:spacing w:line="500" w:lineRule="exact"/>
      <w:ind w:right="0"/>
      <w:jc w:val="both"/>
    </w:pPr>
    <w:rPr>
      <w:rFonts w:ascii="宋体" w:hAnsi="宋体" w:eastAsia="宋体" w:cs="宋体"/>
      <w:b/>
      <w:color w:val="auto"/>
      <w:szCs w:val="20"/>
      <w:lang w:val="zh-CN"/>
    </w:rPr>
  </w:style>
  <w:style w:type="paragraph" w:customStyle="1" w:styleId="2112">
    <w:name w:val="p16"/>
    <w:basedOn w:val="1"/>
    <w:autoRedefine/>
    <w:qFormat/>
    <w:uiPriority w:val="0"/>
    <w:pPr>
      <w:widowControl/>
      <w:spacing w:line="320" w:lineRule="atLeast"/>
      <w:jc w:val="center"/>
    </w:pPr>
    <w:rPr>
      <w:rFonts w:ascii="宋体" w:hAnsi="宋体" w:cs="宋体"/>
      <w:kern w:val="0"/>
      <w:szCs w:val="21"/>
    </w:rPr>
  </w:style>
  <w:style w:type="paragraph" w:customStyle="1" w:styleId="2113">
    <w:name w:val="Char2 Char Char Char5"/>
    <w:basedOn w:val="1"/>
    <w:autoRedefine/>
    <w:qFormat/>
    <w:uiPriority w:val="0"/>
    <w:rPr>
      <w:sz w:val="24"/>
    </w:rPr>
  </w:style>
  <w:style w:type="paragraph" w:customStyle="1" w:styleId="2114">
    <w:name w:val="CM117"/>
    <w:basedOn w:val="143"/>
    <w:next w:val="143"/>
    <w:autoRedefine/>
    <w:qFormat/>
    <w:uiPriority w:val="0"/>
    <w:pPr>
      <w:spacing w:after="58"/>
    </w:pPr>
    <w:rPr>
      <w:rFonts w:ascii="楷体_GB2312" w:hAnsi="Times New Roman" w:eastAsia="楷体_GB2312" w:cs="Times New Roman"/>
      <w:color w:val="auto"/>
    </w:rPr>
  </w:style>
  <w:style w:type="paragraph" w:customStyle="1" w:styleId="2115">
    <w:name w:val="xl3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hint="eastAsia" w:ascii="幼圆" w:hAnsi="Arial Unicode MS" w:eastAsia="幼圆" w:cs="Arial Unicode MS"/>
      <w:kern w:val="0"/>
      <w:szCs w:val="21"/>
    </w:rPr>
  </w:style>
  <w:style w:type="paragraph" w:customStyle="1" w:styleId="2116">
    <w:name w:val="标题14"/>
    <w:basedOn w:val="1"/>
    <w:autoRedefine/>
    <w:qFormat/>
    <w:uiPriority w:val="0"/>
    <w:pPr>
      <w:spacing w:after="240"/>
      <w:outlineLvl w:val="0"/>
    </w:pPr>
    <w:rPr>
      <w:rFonts w:eastAsia="黑体"/>
      <w:sz w:val="44"/>
      <w:szCs w:val="44"/>
    </w:rPr>
  </w:style>
  <w:style w:type="paragraph" w:customStyle="1" w:styleId="2117">
    <w:name w:val="xl120"/>
    <w:basedOn w:val="1"/>
    <w:autoRedefine/>
    <w:qFormat/>
    <w:uiPriority w:val="0"/>
    <w:pPr>
      <w:widowControl/>
      <w:spacing w:before="100" w:beforeAutospacing="1" w:after="100" w:afterAutospacing="1"/>
      <w:jc w:val="left"/>
    </w:pPr>
    <w:rPr>
      <w:rFonts w:ascii="Arial Unicode MS" w:hAnsi="Arial Unicode MS"/>
      <w:kern w:val="0"/>
      <w:sz w:val="12"/>
      <w:szCs w:val="12"/>
    </w:rPr>
  </w:style>
  <w:style w:type="paragraph" w:customStyle="1" w:styleId="2118">
    <w:name w:val="Char Char Char Char Char Char Char Char Char Char Char1 Char Char Char Char Char Char1 Char Char Char Char Char Char Char Char Char Char Char Char"/>
    <w:basedOn w:val="1"/>
    <w:autoRedefine/>
    <w:qFormat/>
    <w:uiPriority w:val="0"/>
    <w:rPr>
      <w:sz w:val="24"/>
    </w:rPr>
  </w:style>
  <w:style w:type="paragraph" w:customStyle="1" w:styleId="2119">
    <w:name w:val="xl85"/>
    <w:basedOn w:val="1"/>
    <w:autoRedefine/>
    <w:qFormat/>
    <w:uiPriority w:val="0"/>
    <w:pPr>
      <w:widowControl/>
      <w:pBdr>
        <w:bottom w:val="single" w:color="auto" w:sz="12" w:space="0"/>
      </w:pBdr>
      <w:spacing w:before="100" w:beforeAutospacing="1" w:after="100" w:afterAutospacing="1"/>
      <w:jc w:val="center"/>
    </w:pPr>
    <w:rPr>
      <w:rFonts w:ascii="Arial Unicode MS" w:hAnsi="Arial Unicode MS"/>
      <w:kern w:val="0"/>
      <w:sz w:val="12"/>
      <w:szCs w:val="12"/>
    </w:rPr>
  </w:style>
  <w:style w:type="paragraph" w:customStyle="1" w:styleId="2120">
    <w:name w:val="小4黑居中行1"/>
    <w:autoRedefine/>
    <w:qFormat/>
    <w:uiPriority w:val="0"/>
    <w:pPr>
      <w:spacing w:line="360" w:lineRule="auto"/>
      <w:jc w:val="center"/>
    </w:pPr>
    <w:rPr>
      <w:rFonts w:ascii="Times New Roman" w:hAnsi="Times New Roman" w:eastAsia="宋体" w:cs="Times New Roman"/>
      <w:kern w:val="2"/>
      <w:sz w:val="21"/>
      <w:lang w:val="en-US" w:eastAsia="zh-CN" w:bidi="ar-SA"/>
    </w:rPr>
  </w:style>
  <w:style w:type="paragraph" w:customStyle="1" w:styleId="2121">
    <w:name w:val="p19"/>
    <w:basedOn w:val="1"/>
    <w:autoRedefine/>
    <w:qFormat/>
    <w:uiPriority w:val="0"/>
    <w:pPr>
      <w:widowControl/>
      <w:spacing w:line="320" w:lineRule="atLeast"/>
      <w:jc w:val="center"/>
    </w:pPr>
    <w:rPr>
      <w:rFonts w:ascii="宋体" w:hAnsi="宋体" w:cs="宋体"/>
      <w:kern w:val="0"/>
      <w:szCs w:val="21"/>
    </w:rPr>
  </w:style>
  <w:style w:type="paragraph" w:customStyle="1" w:styleId="2122">
    <w:name w:val="Char Char Char1 Char Char Char Char Char Char Char Char Char Char Char Char Char Char Char Char Char Char Char Char Char Char"/>
    <w:basedOn w:val="1"/>
    <w:autoRedefine/>
    <w:qFormat/>
    <w:uiPriority w:val="0"/>
    <w:rPr>
      <w:szCs w:val="20"/>
    </w:rPr>
  </w:style>
  <w:style w:type="paragraph" w:customStyle="1" w:styleId="2123">
    <w:name w:val="样式 标题 3 + (西文)粗体"/>
    <w:basedOn w:val="5"/>
    <w:autoRedefine/>
    <w:qFormat/>
    <w:uiPriority w:val="0"/>
    <w:pPr>
      <w:tabs>
        <w:tab w:val="left" w:pos="1418"/>
      </w:tabs>
      <w:spacing w:line="416" w:lineRule="auto"/>
    </w:pPr>
    <w:rPr>
      <w:rFonts w:ascii="Arial" w:hAnsi="Arial" w:eastAsia="仿宋_GB2312" w:cs="Angsana New"/>
      <w:sz w:val="24"/>
      <w:lang w:val="zh-CN" w:bidi="th-TH"/>
    </w:rPr>
  </w:style>
  <w:style w:type="paragraph" w:customStyle="1" w:styleId="2124">
    <w:name w:val="样式7"/>
    <w:basedOn w:val="1"/>
    <w:next w:val="1"/>
    <w:autoRedefine/>
    <w:qFormat/>
    <w:uiPriority w:val="0"/>
    <w:pPr>
      <w:spacing w:line="360" w:lineRule="auto"/>
      <w:ind w:firstLine="480" w:firstLineChars="200"/>
    </w:pPr>
    <w:rPr>
      <w:rFonts w:ascii="宋体" w:hAnsi="宋体" w:cs="宋体"/>
      <w:color w:val="000000"/>
      <w:sz w:val="24"/>
    </w:rPr>
  </w:style>
  <w:style w:type="paragraph" w:customStyle="1" w:styleId="2125">
    <w:name w:val="条题"/>
    <w:basedOn w:val="1"/>
    <w:autoRedefine/>
    <w:qFormat/>
    <w:uiPriority w:val="0"/>
    <w:pPr>
      <w:tabs>
        <w:tab w:val="left" w:pos="360"/>
      </w:tabs>
      <w:spacing w:line="420" w:lineRule="exact"/>
      <w:ind w:firstLine="560" w:firstLineChars="200"/>
    </w:pPr>
    <w:rPr>
      <w:sz w:val="24"/>
      <w:szCs w:val="20"/>
    </w:rPr>
  </w:style>
  <w:style w:type="paragraph" w:customStyle="1" w:styleId="2126">
    <w:name w:val="正文文本 23"/>
    <w:basedOn w:val="1"/>
    <w:autoRedefine/>
    <w:qFormat/>
    <w:uiPriority w:val="0"/>
    <w:pPr>
      <w:autoSpaceDE w:val="0"/>
      <w:autoSpaceDN w:val="0"/>
      <w:adjustRightInd w:val="0"/>
      <w:spacing w:line="360" w:lineRule="atLeast"/>
      <w:ind w:firstLine="425"/>
    </w:pPr>
    <w:rPr>
      <w:rFonts w:ascii="宋体" w:hAnsi="Tms Rmn"/>
      <w:kern w:val="0"/>
      <w:sz w:val="28"/>
      <w:szCs w:val="20"/>
    </w:rPr>
  </w:style>
  <w:style w:type="paragraph" w:customStyle="1" w:styleId="2127">
    <w:name w:val="文本框文字"/>
    <w:basedOn w:val="1"/>
    <w:autoRedefine/>
    <w:qFormat/>
    <w:uiPriority w:val="0"/>
    <w:pPr>
      <w:adjustRightInd w:val="0"/>
      <w:jc w:val="center"/>
      <w:textAlignment w:val="baseline"/>
    </w:pPr>
    <w:rPr>
      <w:kern w:val="0"/>
      <w:szCs w:val="20"/>
    </w:rPr>
  </w:style>
  <w:style w:type="paragraph" w:customStyle="1" w:styleId="2128">
    <w:name w:val="附录五级条标题"/>
    <w:basedOn w:val="2129"/>
    <w:next w:val="257"/>
    <w:autoRedefine/>
    <w:qFormat/>
    <w:uiPriority w:val="0"/>
    <w:pPr>
      <w:tabs>
        <w:tab w:val="left" w:pos="360"/>
        <w:tab w:val="left" w:pos="435"/>
        <w:tab w:val="left" w:pos="828"/>
        <w:tab w:val="left" w:pos="960"/>
        <w:tab w:val="left" w:pos="1068"/>
      </w:tabs>
      <w:ind w:left="435" w:hanging="165"/>
      <w:outlineLvl w:val="6"/>
    </w:pPr>
  </w:style>
  <w:style w:type="paragraph" w:customStyle="1" w:styleId="2129">
    <w:name w:val="附录四级条标题"/>
    <w:basedOn w:val="1505"/>
    <w:next w:val="257"/>
    <w:autoRedefine/>
    <w:qFormat/>
    <w:uiPriority w:val="0"/>
    <w:pPr>
      <w:tabs>
        <w:tab w:val="left" w:pos="960"/>
      </w:tabs>
      <w:ind w:left="960"/>
      <w:outlineLvl w:val="5"/>
    </w:pPr>
  </w:style>
  <w:style w:type="paragraph" w:customStyle="1" w:styleId="2130">
    <w:name w:val="Char1 Char Char Char Char Char Char2"/>
    <w:basedOn w:val="1"/>
    <w:autoRedefine/>
    <w:qFormat/>
    <w:uiPriority w:val="0"/>
    <w:pPr>
      <w:spacing w:line="360" w:lineRule="auto"/>
      <w:ind w:firstLine="200" w:firstLineChars="200"/>
    </w:pPr>
    <w:rPr>
      <w:rFonts w:ascii="宋体" w:hAnsi="宋体" w:cs="宋体"/>
      <w:sz w:val="24"/>
    </w:rPr>
  </w:style>
  <w:style w:type="paragraph" w:customStyle="1" w:styleId="2131">
    <w:name w:val="列出段落11"/>
    <w:basedOn w:val="1"/>
    <w:autoRedefine/>
    <w:qFormat/>
    <w:uiPriority w:val="99"/>
    <w:pPr>
      <w:ind w:firstLine="420" w:firstLineChars="200"/>
    </w:pPr>
  </w:style>
  <w:style w:type="paragraph" w:customStyle="1" w:styleId="2132">
    <w:name w:val="+列表编号"/>
    <w:basedOn w:val="1"/>
    <w:autoRedefine/>
    <w:qFormat/>
    <w:uiPriority w:val="0"/>
    <w:pPr>
      <w:tabs>
        <w:tab w:val="center" w:pos="525"/>
        <w:tab w:val="right" w:pos="8400"/>
      </w:tabs>
      <w:spacing w:before="120" w:after="120"/>
      <w:jc w:val="center"/>
    </w:pPr>
    <w:rPr>
      <w:b/>
      <w:sz w:val="24"/>
      <w:szCs w:val="28"/>
    </w:rPr>
  </w:style>
  <w:style w:type="paragraph" w:customStyle="1" w:styleId="2133">
    <w:name w:val="Char Char Char Char12"/>
    <w:basedOn w:val="1"/>
    <w:autoRedefine/>
    <w:qFormat/>
    <w:uiPriority w:val="0"/>
    <w:pPr>
      <w:widowControl/>
      <w:jc w:val="left"/>
    </w:pPr>
    <w:rPr>
      <w:kern w:val="0"/>
      <w:sz w:val="24"/>
      <w:szCs w:val="20"/>
    </w:rPr>
  </w:style>
  <w:style w:type="paragraph" w:customStyle="1" w:styleId="2134">
    <w:name w:val="文件名称"/>
    <w:basedOn w:val="1"/>
    <w:next w:val="1"/>
    <w:autoRedefine/>
    <w:qFormat/>
    <w:uiPriority w:val="0"/>
    <w:pPr>
      <w:spacing w:beforeLines="100"/>
      <w:jc w:val="center"/>
    </w:pPr>
    <w:rPr>
      <w:rFonts w:ascii="黑体" w:eastAsia="黑体"/>
      <w:sz w:val="84"/>
      <w:szCs w:val="84"/>
    </w:rPr>
  </w:style>
  <w:style w:type="paragraph" w:customStyle="1" w:styleId="2135">
    <w:name w:val="样式（大表格）"/>
    <w:basedOn w:val="131"/>
    <w:autoRedefine/>
    <w:qFormat/>
    <w:uiPriority w:val="0"/>
    <w:pPr>
      <w:widowControl/>
      <w:tabs>
        <w:tab w:val="left" w:pos="425"/>
        <w:tab w:val="left" w:pos="780"/>
      </w:tabs>
      <w:spacing w:beforeLines="0" w:afterLines="0" w:line="240" w:lineRule="auto"/>
      <w:ind w:left="780" w:hanging="360"/>
      <w:jc w:val="both"/>
    </w:pPr>
    <w:rPr>
      <w:rFonts w:ascii="Times New Roman" w:cs="宋体"/>
      <w:kern w:val="2"/>
      <w:szCs w:val="24"/>
      <w:lang w:val="zh-CN"/>
    </w:rPr>
  </w:style>
  <w:style w:type="paragraph" w:customStyle="1" w:styleId="2136">
    <w:name w:val="wj12"/>
    <w:basedOn w:val="1"/>
    <w:autoRedefine/>
    <w:qFormat/>
    <w:uiPriority w:val="0"/>
    <w:pPr>
      <w:widowControl/>
      <w:spacing w:before="100" w:beforeAutospacing="1" w:after="100" w:afterAutospacing="1"/>
      <w:jc w:val="left"/>
    </w:pPr>
    <w:rPr>
      <w:rFonts w:ascii="宋体" w:hAnsi="宋体" w:cs="宋体"/>
      <w:kern w:val="0"/>
      <w:sz w:val="18"/>
      <w:szCs w:val="18"/>
    </w:rPr>
  </w:style>
  <w:style w:type="paragraph" w:customStyle="1" w:styleId="2137">
    <w:name w:val="表第一列"/>
    <w:basedOn w:val="1181"/>
    <w:autoRedefine/>
    <w:qFormat/>
    <w:uiPriority w:val="0"/>
    <w:pPr>
      <w:keepLines/>
      <w:widowControl w:val="0"/>
      <w:tabs>
        <w:tab w:val="left" w:pos="1727"/>
        <w:tab w:val="left" w:pos="1884"/>
        <w:tab w:val="left" w:pos="2940"/>
      </w:tabs>
      <w:adjustRightInd w:val="0"/>
      <w:snapToGrid w:val="0"/>
      <w:spacing w:after="0" w:line="0" w:lineRule="atLeast"/>
      <w:ind w:firstLine="0" w:firstLineChars="0"/>
      <w:jc w:val="center"/>
    </w:pPr>
    <w:rPr>
      <w:rFonts w:ascii="宋体" w:hAnsi="宋体"/>
      <w:color w:val="000000"/>
      <w:spacing w:val="-4"/>
      <w:sz w:val="21"/>
    </w:rPr>
  </w:style>
  <w:style w:type="paragraph" w:customStyle="1" w:styleId="2138">
    <w:name w:val="普通 (Web)17"/>
    <w:basedOn w:val="1"/>
    <w:autoRedefine/>
    <w:qFormat/>
    <w:uiPriority w:val="0"/>
    <w:pPr>
      <w:widowControl/>
      <w:spacing w:before="100" w:beforeAutospacing="1" w:after="100" w:afterAutospacing="1"/>
      <w:jc w:val="left"/>
    </w:pPr>
    <w:rPr>
      <w:rFonts w:ascii="Arial Unicode MS" w:hAnsi="Arial Unicode MS" w:eastAsia="Times New Roman"/>
      <w:kern w:val="0"/>
      <w:sz w:val="18"/>
      <w:szCs w:val="18"/>
    </w:rPr>
  </w:style>
  <w:style w:type="paragraph" w:customStyle="1" w:styleId="2139">
    <w:name w:val="Char Char Char1 Char4"/>
    <w:basedOn w:val="4"/>
    <w:autoRedefine/>
    <w:qFormat/>
    <w:uiPriority w:val="0"/>
    <w:pPr>
      <w:keepNext w:val="0"/>
      <w:keepLines w:val="0"/>
      <w:widowControl/>
      <w:spacing w:before="0" w:after="0" w:line="520" w:lineRule="exact"/>
    </w:pPr>
    <w:rPr>
      <w:rFonts w:ascii="Times New Roman" w:hAnsi="Times New Roman"/>
      <w:kern w:val="0"/>
      <w:sz w:val="28"/>
      <w:szCs w:val="28"/>
      <w:lang w:val="zh-CN"/>
    </w:rPr>
  </w:style>
  <w:style w:type="paragraph" w:customStyle="1" w:styleId="2140">
    <w:name w:val="样式 标题 3 + 左侧:  0 毫米 首行缩进:  0 毫米 行距: 最小值 25 磅"/>
    <w:basedOn w:val="5"/>
    <w:autoRedefine/>
    <w:qFormat/>
    <w:uiPriority w:val="0"/>
    <w:pPr>
      <w:keepLines w:val="0"/>
      <w:tabs>
        <w:tab w:val="right" w:pos="0"/>
      </w:tabs>
      <w:spacing w:before="0" w:after="0" w:line="500" w:lineRule="atLeast"/>
      <w:jc w:val="left"/>
    </w:pPr>
    <w:rPr>
      <w:b w:val="0"/>
      <w:bCs w:val="0"/>
      <w:sz w:val="28"/>
      <w:szCs w:val="28"/>
      <w:lang w:val="zh-CN"/>
    </w:rPr>
  </w:style>
  <w:style w:type="paragraph" w:customStyle="1" w:styleId="2141">
    <w:name w:val="样式 标题 4 + 黑体 小四 非加粗"/>
    <w:basedOn w:val="6"/>
    <w:autoRedefine/>
    <w:qFormat/>
    <w:uiPriority w:val="0"/>
    <w:pPr>
      <w:keepLines/>
      <w:tabs>
        <w:tab w:val="left" w:pos="864"/>
        <w:tab w:val="left" w:pos="1984"/>
      </w:tabs>
      <w:adjustRightInd w:val="0"/>
      <w:spacing w:line="500" w:lineRule="exact"/>
      <w:ind w:left="864" w:right="0" w:hanging="864"/>
      <w:jc w:val="both"/>
      <w:textAlignment w:val="baseline"/>
    </w:pPr>
    <w:rPr>
      <w:rFonts w:ascii="黑体" w:hAnsi="黑体" w:eastAsia="宋体"/>
      <w:b/>
      <w:bCs/>
      <w:color w:val="auto"/>
      <w:spacing w:val="10"/>
      <w:kern w:val="0"/>
      <w:sz w:val="24"/>
      <w:szCs w:val="24"/>
      <w:lang w:val="zh-CN"/>
    </w:rPr>
  </w:style>
  <w:style w:type="paragraph" w:customStyle="1" w:styleId="2142">
    <w:name w:val="xl53"/>
    <w:basedOn w:val="1"/>
    <w:autoRedefine/>
    <w:qFormat/>
    <w:uiPriority w:val="0"/>
    <w:pPr>
      <w:widowControl/>
      <w:pBdr>
        <w:top w:val="single" w:color="auto" w:sz="12" w:space="0"/>
        <w:bottom w:val="single" w:color="auto" w:sz="12" w:space="0"/>
      </w:pBdr>
      <w:spacing w:before="100" w:beforeAutospacing="1" w:after="100" w:afterAutospacing="1"/>
      <w:jc w:val="center"/>
    </w:pPr>
    <w:rPr>
      <w:rFonts w:ascii="Arial Unicode MS" w:hAnsi="Arial Unicode MS"/>
      <w:kern w:val="0"/>
      <w:sz w:val="16"/>
      <w:szCs w:val="16"/>
    </w:rPr>
  </w:style>
  <w:style w:type="paragraph" w:customStyle="1" w:styleId="2143">
    <w:name w:val="InstÀÀll7"/>
    <w:autoRedefine/>
    <w:qFormat/>
    <w:uiPriority w:val="0"/>
    <w:pPr>
      <w:tabs>
        <w:tab w:val="left" w:pos="-720"/>
      </w:tabs>
      <w:suppressAutoHyphens/>
      <w:jc w:val="both"/>
    </w:pPr>
    <w:rPr>
      <w:rFonts w:ascii="Courier" w:hAnsi="Courier" w:eastAsia="宋体" w:cs="Times New Roman"/>
      <w:spacing w:val="-3"/>
      <w:sz w:val="24"/>
      <w:lang w:val="en-US" w:eastAsia="sv-SE" w:bidi="ar-SA"/>
    </w:rPr>
  </w:style>
  <w:style w:type="paragraph" w:customStyle="1" w:styleId="2144">
    <w:name w:val="xl176"/>
    <w:basedOn w:val="1"/>
    <w:autoRedefine/>
    <w:qFormat/>
    <w:uiPriority w:val="0"/>
    <w:pPr>
      <w:widowControl/>
      <w:pBdr>
        <w:top w:val="single" w:color="auto" w:sz="12" w:space="0"/>
        <w:left w:val="single" w:color="auto" w:sz="12" w:space="0"/>
      </w:pBdr>
      <w:spacing w:before="100" w:beforeAutospacing="1" w:after="100" w:afterAutospacing="1"/>
      <w:jc w:val="left"/>
    </w:pPr>
    <w:rPr>
      <w:rFonts w:ascii="Arial Unicode MS" w:hAnsi="Arial Unicode MS"/>
      <w:kern w:val="0"/>
    </w:rPr>
  </w:style>
  <w:style w:type="paragraph" w:customStyle="1" w:styleId="2145">
    <w:name w:val="Char Char Char1 Char Char Char Char Char Char Char Char Char Char Char Char Char Char Char1 Char Char Char Char Char Char Char Char Char Char Char Char Char Char Char Char Char Char Char Char Char Char Char Char Char Char Char"/>
    <w:basedOn w:val="1"/>
    <w:autoRedefine/>
    <w:qFormat/>
    <w:uiPriority w:val="0"/>
    <w:pPr>
      <w:spacing w:line="240" w:lineRule="exact"/>
      <w:ind w:firstLine="200" w:firstLineChars="200"/>
    </w:pPr>
    <w:rPr>
      <w:sz w:val="28"/>
      <w:szCs w:val="28"/>
    </w:rPr>
  </w:style>
  <w:style w:type="paragraph" w:customStyle="1" w:styleId="2146">
    <w:name w:val="xl73"/>
    <w:basedOn w:val="1"/>
    <w:autoRedefine/>
    <w:qFormat/>
    <w:uiPriority w:val="0"/>
    <w:pPr>
      <w:widowControl/>
      <w:spacing w:before="100" w:beforeAutospacing="1" w:after="100" w:afterAutospacing="1"/>
      <w:jc w:val="left"/>
    </w:pPr>
    <w:rPr>
      <w:rFonts w:ascii="Arial Unicode MS" w:hAnsi="Arial Unicode MS"/>
      <w:kern w:val="0"/>
    </w:rPr>
  </w:style>
  <w:style w:type="paragraph" w:customStyle="1" w:styleId="2147">
    <w:name w:val="样式11"/>
    <w:basedOn w:val="53"/>
    <w:autoRedefine/>
    <w:qFormat/>
    <w:uiPriority w:val="0"/>
    <w:pPr>
      <w:widowControl/>
    </w:pPr>
    <w:rPr>
      <w:kern w:val="2"/>
      <w:szCs w:val="18"/>
      <w:lang w:val="zh-CN"/>
    </w:rPr>
  </w:style>
  <w:style w:type="paragraph" w:customStyle="1" w:styleId="2148">
    <w:name w:val="qilu"/>
    <w:basedOn w:val="1"/>
    <w:autoRedefine/>
    <w:qFormat/>
    <w:uiPriority w:val="0"/>
    <w:pPr>
      <w:autoSpaceDE w:val="0"/>
      <w:autoSpaceDN w:val="0"/>
      <w:adjustRightInd w:val="0"/>
      <w:jc w:val="left"/>
      <w:textAlignment w:val="baseline"/>
    </w:pPr>
    <w:rPr>
      <w:rFonts w:ascii="宋体"/>
      <w:b/>
      <w:kern w:val="0"/>
      <w:sz w:val="28"/>
      <w:szCs w:val="20"/>
    </w:rPr>
  </w:style>
  <w:style w:type="paragraph" w:customStyle="1" w:styleId="2149">
    <w:name w:val="样式 标题 3 + 宋体 Char Char"/>
    <w:basedOn w:val="5"/>
    <w:autoRedefine/>
    <w:qFormat/>
    <w:uiPriority w:val="0"/>
    <w:pPr>
      <w:tabs>
        <w:tab w:val="left" w:pos="1418"/>
      </w:tabs>
      <w:spacing w:line="360" w:lineRule="auto"/>
    </w:pPr>
    <w:rPr>
      <w:rFonts w:ascii="宋体" w:hAnsi="宋体"/>
      <w:sz w:val="30"/>
      <w:szCs w:val="30"/>
      <w:lang w:val="zh-CN"/>
    </w:rPr>
  </w:style>
  <w:style w:type="paragraph" w:customStyle="1" w:styleId="2150">
    <w:name w:val="Body Text Indent2"/>
    <w:basedOn w:val="1"/>
    <w:autoRedefine/>
    <w:qFormat/>
    <w:uiPriority w:val="0"/>
    <w:pPr>
      <w:spacing w:after="120" w:line="360" w:lineRule="auto"/>
      <w:ind w:left="420" w:leftChars="200" w:firstLine="200" w:firstLineChars="200"/>
    </w:pPr>
    <w:rPr>
      <w:sz w:val="24"/>
    </w:rPr>
  </w:style>
  <w:style w:type="paragraph" w:customStyle="1" w:styleId="2151">
    <w:name w:val="font18"/>
    <w:basedOn w:val="1"/>
    <w:autoRedefine/>
    <w:qFormat/>
    <w:uiPriority w:val="0"/>
    <w:pPr>
      <w:widowControl/>
      <w:spacing w:before="100" w:beforeAutospacing="1" w:after="100" w:afterAutospacing="1"/>
      <w:jc w:val="left"/>
    </w:pPr>
    <w:rPr>
      <w:rFonts w:ascii="宋体" w:hAnsi="宋体" w:cs="宋体"/>
      <w:color w:val="CC99FF"/>
      <w:kern w:val="0"/>
      <w:sz w:val="18"/>
      <w:szCs w:val="18"/>
    </w:rPr>
  </w:style>
  <w:style w:type="paragraph" w:customStyle="1" w:styleId="2152">
    <w:name w:val="Char Char Char1 Char8"/>
    <w:basedOn w:val="4"/>
    <w:autoRedefine/>
    <w:qFormat/>
    <w:uiPriority w:val="0"/>
    <w:pPr>
      <w:keepNext w:val="0"/>
      <w:keepLines w:val="0"/>
      <w:widowControl/>
      <w:spacing w:before="0" w:after="0" w:line="520" w:lineRule="exact"/>
    </w:pPr>
    <w:rPr>
      <w:rFonts w:ascii="Times New Roman" w:hAnsi="Times New Roman"/>
      <w:kern w:val="0"/>
      <w:sz w:val="28"/>
      <w:szCs w:val="28"/>
      <w:lang w:val="zh-CN"/>
    </w:rPr>
  </w:style>
  <w:style w:type="paragraph" w:customStyle="1" w:styleId="2153">
    <w:name w:val="Char19"/>
    <w:basedOn w:val="1"/>
    <w:autoRedefine/>
    <w:qFormat/>
    <w:uiPriority w:val="0"/>
    <w:rPr>
      <w:szCs w:val="21"/>
    </w:rPr>
  </w:style>
  <w:style w:type="paragraph" w:customStyle="1" w:styleId="2154">
    <w:name w:val="Char Char Char Char111"/>
    <w:basedOn w:val="1"/>
    <w:autoRedefine/>
    <w:qFormat/>
    <w:uiPriority w:val="0"/>
    <w:pPr>
      <w:widowControl/>
      <w:jc w:val="left"/>
    </w:pPr>
    <w:rPr>
      <w:kern w:val="0"/>
      <w:sz w:val="24"/>
      <w:szCs w:val="20"/>
    </w:rPr>
  </w:style>
  <w:style w:type="paragraph" w:customStyle="1" w:styleId="2155">
    <w:name w:val="能评章节"/>
    <w:basedOn w:val="1851"/>
    <w:autoRedefine/>
    <w:qFormat/>
    <w:uiPriority w:val="0"/>
    <w:rPr>
      <w:kern w:val="4"/>
    </w:rPr>
  </w:style>
  <w:style w:type="paragraph" w:customStyle="1" w:styleId="2156">
    <w:name w:val="Char Char Char Char1 Char Char Char Char Char Char Char"/>
    <w:basedOn w:val="1"/>
    <w:autoRedefine/>
    <w:qFormat/>
    <w:uiPriority w:val="0"/>
    <w:pPr>
      <w:tabs>
        <w:tab w:val="left" w:pos="360"/>
      </w:tabs>
      <w:snapToGrid w:val="0"/>
      <w:spacing w:line="360" w:lineRule="auto"/>
    </w:pPr>
    <w:rPr>
      <w:rFonts w:eastAsia="仿宋_GB2312" w:cs="宋体"/>
      <w:sz w:val="24"/>
    </w:rPr>
  </w:style>
  <w:style w:type="paragraph" w:customStyle="1" w:styleId="2157">
    <w:name w:val="正文10"/>
    <w:autoRedefine/>
    <w:qFormat/>
    <w:uiPriority w:val="0"/>
    <w:pPr>
      <w:widowControl w:val="0"/>
      <w:adjustRightInd w:val="0"/>
      <w:spacing w:line="312" w:lineRule="atLeast"/>
      <w:jc w:val="both"/>
    </w:pPr>
    <w:rPr>
      <w:rFonts w:ascii="Arial" w:hAnsi="Times New Roman" w:eastAsia="楷体_GB2312" w:cs="Times New Roman"/>
      <w:spacing w:val="-6"/>
      <w:sz w:val="28"/>
      <w:lang w:val="en-US" w:eastAsia="zh-CN" w:bidi="ar-SA"/>
    </w:rPr>
  </w:style>
  <w:style w:type="paragraph" w:customStyle="1" w:styleId="2158">
    <w:name w:val="封面标准号2"/>
    <w:basedOn w:val="1"/>
    <w:autoRedefine/>
    <w:qFormat/>
    <w:uiPriority w:val="0"/>
    <w:pPr>
      <w:framePr w:w="9138" w:h="1244" w:hRule="exact" w:wrap="around" w:vAnchor="page" w:hAnchor="margin" w:y="2908" w:anchorLock="1"/>
      <w:kinsoku w:val="0"/>
      <w:overflowPunct w:val="0"/>
      <w:autoSpaceDE w:val="0"/>
      <w:autoSpaceDN w:val="0"/>
      <w:adjustRightInd w:val="0"/>
      <w:spacing w:before="357" w:line="280" w:lineRule="exact"/>
      <w:jc w:val="right"/>
      <w:textAlignment w:val="center"/>
    </w:pPr>
    <w:rPr>
      <w:kern w:val="0"/>
      <w:sz w:val="28"/>
      <w:szCs w:val="20"/>
    </w:rPr>
  </w:style>
  <w:style w:type="paragraph" w:customStyle="1" w:styleId="2159">
    <w:name w:val="日期2"/>
    <w:basedOn w:val="1"/>
    <w:next w:val="1"/>
    <w:autoRedefine/>
    <w:qFormat/>
    <w:uiPriority w:val="0"/>
    <w:pPr>
      <w:adjustRightInd w:val="0"/>
      <w:jc w:val="left"/>
    </w:pPr>
    <w:rPr>
      <w:rFonts w:ascii="宋体"/>
      <w:spacing w:val="24"/>
      <w:kern w:val="24"/>
      <w:sz w:val="24"/>
      <w:szCs w:val="20"/>
    </w:rPr>
  </w:style>
  <w:style w:type="paragraph" w:customStyle="1" w:styleId="2160">
    <w:name w:val="gb1"/>
    <w:basedOn w:val="1"/>
    <w:autoRedefine/>
    <w:qFormat/>
    <w:uiPriority w:val="0"/>
    <w:pPr>
      <w:widowControl/>
      <w:tabs>
        <w:tab w:val="left" w:pos="227"/>
      </w:tabs>
      <w:overflowPunct w:val="0"/>
      <w:autoSpaceDE w:val="0"/>
      <w:autoSpaceDN w:val="0"/>
      <w:adjustRightInd w:val="0"/>
      <w:spacing w:before="120" w:after="120"/>
      <w:jc w:val="left"/>
      <w:textAlignment w:val="baseline"/>
    </w:pPr>
    <w:rPr>
      <w:rFonts w:ascii="Arial" w:hAnsi="Arial" w:eastAsia="仿宋体" w:cs="Arial"/>
      <w:kern w:val="0"/>
      <w:sz w:val="20"/>
    </w:rPr>
  </w:style>
  <w:style w:type="paragraph" w:customStyle="1" w:styleId="2161">
    <w:name w:val="小圈序列"/>
    <w:basedOn w:val="1"/>
    <w:autoRedefine/>
    <w:qFormat/>
    <w:uiPriority w:val="0"/>
    <w:pPr>
      <w:ind w:left="560"/>
    </w:pPr>
    <w:rPr>
      <w:rFonts w:cs="宋体"/>
      <w:sz w:val="28"/>
      <w:szCs w:val="28"/>
    </w:rPr>
  </w:style>
  <w:style w:type="paragraph" w:customStyle="1" w:styleId="2162">
    <w:name w:val="样式 图号 + 宋体"/>
    <w:basedOn w:val="2110"/>
    <w:autoRedefine/>
    <w:qFormat/>
    <w:uiPriority w:val="0"/>
    <w:pPr>
      <w:ind w:firstLine="200" w:firstLineChars="200"/>
    </w:pPr>
    <w:rPr>
      <w:rFonts w:ascii="宋体" w:hAnsi="宋体"/>
    </w:rPr>
  </w:style>
  <w:style w:type="paragraph" w:customStyle="1" w:styleId="2163">
    <w:name w:val="Char27"/>
    <w:basedOn w:val="1"/>
    <w:autoRedefine/>
    <w:qFormat/>
    <w:uiPriority w:val="0"/>
    <w:rPr>
      <w:sz w:val="24"/>
    </w:rPr>
  </w:style>
  <w:style w:type="paragraph" w:customStyle="1" w:styleId="2164">
    <w:name w:val="Char Char Char1 Char Char Char Char Char Char1 Char Char Char Char Char Char Char Char Char Char2"/>
    <w:basedOn w:val="1"/>
    <w:autoRedefine/>
    <w:qFormat/>
    <w:uiPriority w:val="0"/>
    <w:rPr>
      <w:rFonts w:ascii="宋体" w:hAnsi="宋体"/>
      <w:sz w:val="24"/>
    </w:rPr>
  </w:style>
  <w:style w:type="paragraph" w:customStyle="1" w:styleId="2165">
    <w:name w:val="样式 表格文字 + (西文) 宋体 (中文) 华文仿宋 小四 黑色"/>
    <w:basedOn w:val="124"/>
    <w:autoRedefine/>
    <w:qFormat/>
    <w:uiPriority w:val="0"/>
    <w:pPr>
      <w:widowControl w:val="0"/>
      <w:suppressLineNumbers w:val="0"/>
      <w:tabs>
        <w:tab w:val="left" w:pos="560"/>
      </w:tabs>
      <w:suppressAutoHyphens w:val="0"/>
      <w:overflowPunct w:val="0"/>
      <w:spacing w:before="0" w:beforeLines="0" w:after="0" w:afterLines="0" w:line="400" w:lineRule="exact"/>
      <w:jc w:val="center"/>
    </w:pPr>
    <w:rPr>
      <w:rFonts w:ascii="Times New Roman" w:hAnsi="宋体" w:cs="宋体"/>
      <w:bCs w:val="0"/>
      <w:color w:val="000000"/>
      <w:szCs w:val="20"/>
    </w:rPr>
  </w:style>
  <w:style w:type="paragraph" w:customStyle="1" w:styleId="2166">
    <w:name w:val="样式 表格内容 + 居中"/>
    <w:basedOn w:val="320"/>
    <w:autoRedefine/>
    <w:qFormat/>
    <w:uiPriority w:val="0"/>
    <w:pPr>
      <w:widowControl/>
      <w:spacing w:line="300" w:lineRule="exact"/>
    </w:pPr>
    <w:rPr>
      <w:rFonts w:ascii="Times New Roman" w:hAnsi="Times New Roman" w:eastAsia="楷体_GB2312"/>
      <w:color w:val="000000"/>
    </w:rPr>
  </w:style>
  <w:style w:type="paragraph" w:customStyle="1" w:styleId="2167">
    <w:name w:val="my"/>
    <w:autoRedefine/>
    <w:qFormat/>
    <w:uiPriority w:val="0"/>
    <w:pPr>
      <w:widowControl w:val="0"/>
      <w:spacing w:before="60" w:line="460" w:lineRule="exact"/>
      <w:ind w:firstLine="200" w:firstLineChars="200"/>
    </w:pPr>
    <w:rPr>
      <w:rFonts w:ascii="Times New Roman" w:hAnsi="Times New Roman" w:eastAsia="宋体" w:cs="Times New Roman"/>
      <w:kern w:val="2"/>
      <w:sz w:val="24"/>
      <w:szCs w:val="24"/>
      <w:lang w:val="en-US" w:eastAsia="zh-CN" w:bidi="ar-SA"/>
    </w:rPr>
  </w:style>
  <w:style w:type="paragraph" w:customStyle="1" w:styleId="2168">
    <w:name w:val="列表段落5"/>
    <w:basedOn w:val="1"/>
    <w:autoRedefine/>
    <w:qFormat/>
    <w:uiPriority w:val="0"/>
    <w:pPr>
      <w:widowControl/>
      <w:ind w:firstLine="420" w:firstLineChars="200"/>
      <w:jc w:val="left"/>
    </w:pPr>
    <w:rPr>
      <w:kern w:val="0"/>
      <w:sz w:val="24"/>
      <w:szCs w:val="20"/>
    </w:rPr>
  </w:style>
  <w:style w:type="paragraph" w:customStyle="1" w:styleId="2169">
    <w:name w:val="c12"/>
    <w:basedOn w:val="1"/>
    <w:autoRedefine/>
    <w:qFormat/>
    <w:uiPriority w:val="0"/>
    <w:pPr>
      <w:widowControl/>
      <w:spacing w:before="100" w:beforeAutospacing="1" w:after="100" w:afterAutospacing="1" w:line="405" w:lineRule="atLeast"/>
      <w:jc w:val="left"/>
    </w:pPr>
    <w:rPr>
      <w:rFonts w:ascii="宋体" w:hAnsi="宋体" w:cs="宋体"/>
      <w:color w:val="666666"/>
      <w:kern w:val="0"/>
      <w:sz w:val="18"/>
    </w:rPr>
  </w:style>
  <w:style w:type="paragraph" w:customStyle="1" w:styleId="2170">
    <w:name w:val="条文"/>
    <w:basedOn w:val="7"/>
    <w:next w:val="1"/>
    <w:autoRedefine/>
    <w:qFormat/>
    <w:uiPriority w:val="0"/>
    <w:pPr>
      <w:tabs>
        <w:tab w:val="left" w:pos="1008"/>
      </w:tabs>
      <w:adjustRightInd/>
      <w:spacing w:before="0" w:beforeLines="0" w:line="400" w:lineRule="exact"/>
      <w:jc w:val="center"/>
    </w:pPr>
    <w:rPr>
      <w:rFonts w:ascii="仿宋_GB2312" w:hAnsi="Times New Roman" w:eastAsia="仿宋_GB2312"/>
      <w:snapToGrid/>
      <w:kern w:val="2"/>
      <w:sz w:val="21"/>
      <w:lang w:val="zh-CN"/>
    </w:rPr>
  </w:style>
  <w:style w:type="paragraph" w:customStyle="1" w:styleId="2171">
    <w:name w:val="chenxutu"/>
    <w:basedOn w:val="1"/>
    <w:autoRedefine/>
    <w:qFormat/>
    <w:uiPriority w:val="0"/>
    <w:pPr>
      <w:widowControl/>
      <w:adjustRightInd w:val="0"/>
      <w:snapToGrid w:val="0"/>
      <w:spacing w:line="480" w:lineRule="exact"/>
      <w:jc w:val="center"/>
    </w:pPr>
    <w:rPr>
      <w:rFonts w:ascii="宋体" w:hAnsi="宋体" w:cs="宋体"/>
      <w:kern w:val="0"/>
      <w:sz w:val="24"/>
    </w:rPr>
  </w:style>
  <w:style w:type="paragraph" w:customStyle="1" w:styleId="2172">
    <w:name w:val="xl185"/>
    <w:basedOn w:val="1"/>
    <w:autoRedefine/>
    <w:qFormat/>
    <w:uiPriority w:val="0"/>
    <w:pPr>
      <w:widowControl/>
      <w:pBdr>
        <w:bottom w:val="single" w:color="auto" w:sz="12" w:space="0"/>
        <w:right w:val="single" w:color="auto" w:sz="4" w:space="0"/>
      </w:pBdr>
      <w:spacing w:before="100" w:beforeAutospacing="1" w:after="100" w:afterAutospacing="1"/>
      <w:jc w:val="center"/>
    </w:pPr>
    <w:rPr>
      <w:rFonts w:ascii="Arial Unicode MS" w:hAnsi="Arial Unicode MS"/>
      <w:kern w:val="0"/>
      <w:sz w:val="12"/>
      <w:szCs w:val="12"/>
    </w:rPr>
  </w:style>
  <w:style w:type="paragraph" w:customStyle="1" w:styleId="2173">
    <w:name w:val="little"/>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2174">
    <w:name w:val="标题15"/>
    <w:basedOn w:val="1"/>
    <w:next w:val="1"/>
    <w:autoRedefine/>
    <w:qFormat/>
    <w:uiPriority w:val="0"/>
    <w:pPr>
      <w:tabs>
        <w:tab w:val="left" w:pos="9193"/>
        <w:tab w:val="left" w:pos="9827"/>
      </w:tabs>
      <w:autoSpaceDE w:val="0"/>
      <w:autoSpaceDN w:val="0"/>
      <w:snapToGrid w:val="0"/>
      <w:spacing w:line="700" w:lineRule="atLeast"/>
      <w:jc w:val="center"/>
    </w:pPr>
    <w:rPr>
      <w:rFonts w:eastAsia="方正小标宋_GBK"/>
      <w:snapToGrid w:val="0"/>
      <w:kern w:val="0"/>
      <w:sz w:val="44"/>
      <w:szCs w:val="20"/>
    </w:rPr>
  </w:style>
  <w:style w:type="paragraph" w:customStyle="1" w:styleId="2175">
    <w:name w:val="正文缩进1"/>
    <w:basedOn w:val="1"/>
    <w:autoRedefine/>
    <w:qFormat/>
    <w:uiPriority w:val="0"/>
    <w:pPr>
      <w:spacing w:beforeLines="50" w:afterLines="50"/>
      <w:ind w:firstLine="435" w:firstLineChars="435"/>
    </w:pPr>
    <w:rPr>
      <w:rFonts w:ascii="黑体" w:eastAsia="黑体"/>
      <w:sz w:val="24"/>
      <w:szCs w:val="20"/>
    </w:rPr>
  </w:style>
  <w:style w:type="paragraph" w:customStyle="1" w:styleId="2176">
    <w:name w:val="_Style 10"/>
    <w:basedOn w:val="1"/>
    <w:next w:val="33"/>
    <w:autoRedefine/>
    <w:qFormat/>
    <w:uiPriority w:val="0"/>
    <w:pPr>
      <w:spacing w:line="360" w:lineRule="auto"/>
    </w:pPr>
    <w:rPr>
      <w:sz w:val="24"/>
      <w:szCs w:val="20"/>
    </w:rPr>
  </w:style>
  <w:style w:type="paragraph" w:customStyle="1" w:styleId="2177">
    <w:name w:val="tt1"/>
    <w:basedOn w:val="1"/>
    <w:autoRedefine/>
    <w:qFormat/>
    <w:uiPriority w:val="0"/>
    <w:pPr>
      <w:widowControl/>
      <w:spacing w:before="100" w:beforeAutospacing="1" w:after="100" w:afterAutospacing="1"/>
      <w:jc w:val="left"/>
    </w:pPr>
    <w:rPr>
      <w:rFonts w:ascii="Arial Unicode MS" w:hAnsi="Arial Unicode MS" w:eastAsia="Arial Unicode MS"/>
      <w:kern w:val="0"/>
      <w:sz w:val="24"/>
    </w:rPr>
  </w:style>
  <w:style w:type="paragraph" w:customStyle="1" w:styleId="2178">
    <w:name w:val="Normal1"/>
    <w:autoRedefine/>
    <w:qFormat/>
    <w:uiPriority w:val="0"/>
    <w:pPr>
      <w:widowControl w:val="0"/>
      <w:adjustRightInd w:val="0"/>
      <w:spacing w:line="312" w:lineRule="atLeast"/>
      <w:jc w:val="both"/>
      <w:textAlignment w:val="baseline"/>
    </w:pPr>
    <w:rPr>
      <w:rFonts w:ascii="Arial" w:hAnsi="Times New Roman" w:eastAsia="楷体_GB2312" w:cs="Times New Roman"/>
      <w:spacing w:val="-6"/>
      <w:sz w:val="28"/>
      <w:lang w:val="en-US" w:eastAsia="zh-CN" w:bidi="ar-SA"/>
    </w:rPr>
  </w:style>
  <w:style w:type="paragraph" w:customStyle="1" w:styleId="2179">
    <w:name w:val="无间隔6"/>
    <w:autoRedefine/>
    <w:qFormat/>
    <w:uiPriority w:val="0"/>
    <w:pPr>
      <w:widowControl w:val="0"/>
      <w:jc w:val="both"/>
    </w:pPr>
    <w:rPr>
      <w:rFonts w:ascii="Arial" w:hAnsi="Arial" w:eastAsia="仿宋" w:cs="Times New Roman"/>
      <w:w w:val="90"/>
      <w:kern w:val="2"/>
      <w:sz w:val="24"/>
      <w:szCs w:val="24"/>
      <w:lang w:val="en-US" w:eastAsia="zh-CN" w:bidi="ar-SA"/>
    </w:rPr>
  </w:style>
  <w:style w:type="paragraph" w:customStyle="1" w:styleId="2180">
    <w:name w:val="xl126"/>
    <w:basedOn w:val="1"/>
    <w:autoRedefine/>
    <w:qFormat/>
    <w:uiPriority w:val="0"/>
    <w:pPr>
      <w:widowControl/>
      <w:pBdr>
        <w:left w:val="single" w:color="auto" w:sz="4" w:space="0"/>
        <w:bottom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2181">
    <w:name w:val="表格内文字格式"/>
    <w:basedOn w:val="1"/>
    <w:next w:val="1"/>
    <w:autoRedefine/>
    <w:qFormat/>
    <w:uiPriority w:val="0"/>
    <w:pPr>
      <w:widowControl/>
      <w:autoSpaceDE w:val="0"/>
      <w:autoSpaceDN w:val="0"/>
      <w:adjustRightInd w:val="0"/>
      <w:spacing w:line="420" w:lineRule="exact"/>
      <w:jc w:val="center"/>
    </w:pPr>
    <w:rPr>
      <w:rFonts w:ascii="宋体" w:hAnsi="宋体" w:cs="宋体"/>
      <w:kern w:val="0"/>
      <w:sz w:val="24"/>
      <w:szCs w:val="32"/>
    </w:rPr>
  </w:style>
  <w:style w:type="paragraph" w:customStyle="1" w:styleId="2182">
    <w:name w:val="EIA正文"/>
    <w:basedOn w:val="1"/>
    <w:autoRedefine/>
    <w:qFormat/>
    <w:uiPriority w:val="0"/>
    <w:pPr>
      <w:ind w:firstLine="200" w:firstLineChars="200"/>
    </w:pPr>
    <w:rPr>
      <w:color w:val="000000"/>
      <w:sz w:val="24"/>
      <w:szCs w:val="20"/>
    </w:rPr>
  </w:style>
  <w:style w:type="paragraph" w:customStyle="1" w:styleId="2183">
    <w:name w:val="Char2 Char Char Char1"/>
    <w:basedOn w:val="1"/>
    <w:autoRedefine/>
    <w:qFormat/>
    <w:uiPriority w:val="0"/>
    <w:rPr>
      <w:sz w:val="24"/>
    </w:rPr>
  </w:style>
  <w:style w:type="paragraph" w:customStyle="1" w:styleId="2184">
    <w:name w:val="xl110"/>
    <w:basedOn w:val="1"/>
    <w:autoRedefine/>
    <w:qFormat/>
    <w:uiPriority w:val="0"/>
    <w:pPr>
      <w:widowControl/>
      <w:pBdr>
        <w:top w:val="single" w:color="auto" w:sz="12" w:space="0"/>
        <w:bottom w:val="single" w:color="auto" w:sz="8" w:space="0"/>
      </w:pBdr>
      <w:spacing w:before="100" w:beforeAutospacing="1" w:after="100" w:afterAutospacing="1"/>
      <w:jc w:val="center"/>
    </w:pPr>
    <w:rPr>
      <w:rFonts w:ascii="Arial Unicode MS" w:hAnsi="Arial Unicode MS"/>
      <w:kern w:val="0"/>
    </w:rPr>
  </w:style>
  <w:style w:type="paragraph" w:customStyle="1" w:styleId="2185">
    <w:name w:val="样式 章标题单学凯 + 段后: 0.5 行"/>
    <w:basedOn w:val="1611"/>
    <w:autoRedefine/>
    <w:qFormat/>
    <w:uiPriority w:val="0"/>
    <w:pPr>
      <w:spacing w:afterLines="0"/>
    </w:pPr>
    <w:rPr>
      <w:rFonts w:cs="宋体"/>
      <w:bCs/>
      <w:szCs w:val="20"/>
    </w:rPr>
  </w:style>
  <w:style w:type="paragraph" w:customStyle="1" w:styleId="2186">
    <w:name w:val="Char Char6 Char Char Char Char2"/>
    <w:basedOn w:val="1"/>
    <w:autoRedefine/>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2187">
    <w:name w:val="M"/>
    <w:basedOn w:val="3"/>
    <w:autoRedefine/>
    <w:qFormat/>
    <w:uiPriority w:val="0"/>
    <w:pPr>
      <w:widowControl/>
      <w:tabs>
        <w:tab w:val="left" w:pos="425"/>
        <w:tab w:val="left" w:pos="2260"/>
        <w:tab w:val="left" w:pos="2820"/>
        <w:tab w:val="left" w:pos="3420"/>
      </w:tabs>
      <w:overflowPunct/>
      <w:adjustRightInd w:val="0"/>
      <w:spacing w:before="440" w:after="0" w:line="240" w:lineRule="auto"/>
      <w:ind w:left="851" w:right="-28" w:hanging="851"/>
    </w:pPr>
    <w:rPr>
      <w:rFonts w:ascii="Arial" w:hAnsi="Arial" w:eastAsia="宋体"/>
      <w:b w:val="0"/>
      <w:bCs w:val="0"/>
      <w:color w:val="auto"/>
      <w:kern w:val="0"/>
      <w:sz w:val="22"/>
      <w:szCs w:val="20"/>
      <w:lang w:val="en-GB"/>
    </w:rPr>
  </w:style>
  <w:style w:type="character" w:customStyle="1" w:styleId="2188">
    <w:name w:val="正文首行缩进 2 + Times New Roman Char1"/>
    <w:autoRedefine/>
    <w:qFormat/>
    <w:locked/>
    <w:uiPriority w:val="0"/>
    <w:rPr>
      <w:sz w:val="24"/>
      <w:szCs w:val="24"/>
      <w:lang w:val="zh-CN"/>
    </w:rPr>
  </w:style>
  <w:style w:type="paragraph" w:customStyle="1" w:styleId="2189">
    <w:name w:val="mytext1"/>
    <w:basedOn w:val="1"/>
    <w:autoRedefine/>
    <w:qFormat/>
    <w:uiPriority w:val="0"/>
    <w:pPr>
      <w:widowControl/>
      <w:spacing w:before="100" w:beforeAutospacing="1" w:after="100" w:afterAutospacing="1"/>
      <w:jc w:val="left"/>
    </w:pPr>
    <w:rPr>
      <w:rFonts w:ascii="宋体" w:hAnsi="宋体" w:cs="宋体"/>
      <w:color w:val="000000"/>
      <w:kern w:val="0"/>
      <w:sz w:val="24"/>
    </w:rPr>
  </w:style>
  <w:style w:type="paragraph" w:customStyle="1" w:styleId="2190">
    <w:name w:val="001"/>
    <w:basedOn w:val="1"/>
    <w:autoRedefine/>
    <w:qFormat/>
    <w:uiPriority w:val="0"/>
    <w:pPr>
      <w:spacing w:line="360" w:lineRule="auto"/>
    </w:pPr>
    <w:rPr>
      <w:rFonts w:eastAsia="华文中宋"/>
      <w:sz w:val="28"/>
      <w:szCs w:val="28"/>
    </w:rPr>
  </w:style>
  <w:style w:type="paragraph" w:customStyle="1" w:styleId="2191">
    <w:name w:val="xl151"/>
    <w:basedOn w:val="1"/>
    <w:autoRedefine/>
    <w:qFormat/>
    <w:uiPriority w:val="0"/>
    <w:pPr>
      <w:widowControl/>
      <w:spacing w:before="100" w:beforeAutospacing="1" w:after="100" w:afterAutospacing="1"/>
      <w:jc w:val="left"/>
    </w:pPr>
    <w:rPr>
      <w:kern w:val="0"/>
      <w:sz w:val="16"/>
      <w:szCs w:val="16"/>
    </w:rPr>
  </w:style>
  <w:style w:type="paragraph" w:customStyle="1" w:styleId="2192">
    <w:name w:val="自定义缩进"/>
    <w:basedOn w:val="1"/>
    <w:autoRedefine/>
    <w:qFormat/>
    <w:uiPriority w:val="0"/>
    <w:pPr>
      <w:keepNext/>
      <w:spacing w:line="300" w:lineRule="exact"/>
      <w:ind w:firstLine="360" w:firstLineChars="200"/>
    </w:pPr>
    <w:rPr>
      <w:rFonts w:ascii="宋体" w:hAnsi="宋体"/>
      <w:color w:val="000000"/>
      <w:kern w:val="0"/>
      <w:sz w:val="18"/>
      <w:szCs w:val="18"/>
    </w:rPr>
  </w:style>
  <w:style w:type="paragraph" w:customStyle="1" w:styleId="2193">
    <w:name w:val="标题符"/>
    <w:basedOn w:val="1"/>
    <w:autoRedefine/>
    <w:qFormat/>
    <w:uiPriority w:val="0"/>
    <w:pPr>
      <w:tabs>
        <w:tab w:val="left" w:pos="360"/>
      </w:tabs>
      <w:overflowPunct w:val="0"/>
      <w:snapToGrid w:val="0"/>
      <w:spacing w:line="480" w:lineRule="exact"/>
      <w:ind w:firstLine="560" w:firstLineChars="200"/>
    </w:pPr>
    <w:rPr>
      <w:rFonts w:ascii="Arial" w:hAnsi="Arial" w:eastAsia="仿宋_GB2312"/>
      <w:sz w:val="28"/>
      <w:szCs w:val="20"/>
    </w:rPr>
  </w:style>
  <w:style w:type="paragraph" w:customStyle="1" w:styleId="2194">
    <w:name w:val="Char Char55"/>
    <w:basedOn w:val="1"/>
    <w:autoRedefine/>
    <w:qFormat/>
    <w:uiPriority w:val="0"/>
    <w:pPr>
      <w:widowControl/>
      <w:spacing w:after="160" w:line="240" w:lineRule="exact"/>
      <w:jc w:val="left"/>
    </w:pPr>
    <w:rPr>
      <w:rFonts w:ascii="Verdana" w:hAnsi="Verdana" w:cs="Verdana"/>
      <w:kern w:val="0"/>
      <w:szCs w:val="21"/>
      <w:lang w:eastAsia="en-US"/>
    </w:rPr>
  </w:style>
  <w:style w:type="paragraph" w:customStyle="1" w:styleId="2195">
    <w:name w:val="xl142"/>
    <w:basedOn w:val="1"/>
    <w:autoRedefine/>
    <w:qFormat/>
    <w:uiPriority w:val="0"/>
    <w:pPr>
      <w:widowControl/>
      <w:pBdr>
        <w:left w:val="single" w:color="auto" w:sz="4" w:space="0"/>
        <w:bottom w:val="single" w:color="auto" w:sz="8" w:space="0"/>
      </w:pBdr>
      <w:spacing w:before="100" w:beforeAutospacing="1" w:after="100" w:afterAutospacing="1"/>
      <w:jc w:val="center"/>
    </w:pPr>
    <w:rPr>
      <w:rFonts w:ascii="Arial Unicode MS" w:hAnsi="Arial Unicode MS"/>
      <w:kern w:val="0"/>
      <w:sz w:val="16"/>
      <w:szCs w:val="16"/>
    </w:rPr>
  </w:style>
  <w:style w:type="paragraph" w:customStyle="1" w:styleId="2196">
    <w:name w:val="Char Char Char Char Char Char Char Char Char Char Char Char Char Char Char Char Char Char Char Char Char Char Char Char Char Char"/>
    <w:basedOn w:val="1"/>
    <w:autoRedefine/>
    <w:qFormat/>
    <w:uiPriority w:val="0"/>
    <w:rPr>
      <w:sz w:val="24"/>
    </w:rPr>
  </w:style>
  <w:style w:type="paragraph" w:customStyle="1" w:styleId="2197">
    <w:name w:val="tu"/>
    <w:basedOn w:val="65"/>
    <w:autoRedefine/>
    <w:qFormat/>
    <w:uiPriority w:val="0"/>
    <w:pPr>
      <w:spacing w:line="360" w:lineRule="auto"/>
      <w:ind w:left="0" w:firstLine="0"/>
      <w:jc w:val="center"/>
    </w:pPr>
    <w:rPr>
      <w:b/>
      <w:smallCaps w:val="0"/>
      <w:sz w:val="28"/>
      <w:szCs w:val="24"/>
    </w:rPr>
  </w:style>
  <w:style w:type="paragraph" w:customStyle="1" w:styleId="2198">
    <w:name w:val="正文-使用"/>
    <w:basedOn w:val="1"/>
    <w:autoRedefine/>
    <w:qFormat/>
    <w:uiPriority w:val="0"/>
    <w:pPr>
      <w:spacing w:line="360" w:lineRule="auto"/>
      <w:ind w:firstLine="482"/>
    </w:pPr>
    <w:rPr>
      <w:sz w:val="24"/>
      <w:szCs w:val="20"/>
    </w:rPr>
  </w:style>
  <w:style w:type="paragraph" w:customStyle="1" w:styleId="2199">
    <w:name w:val="标题B"/>
    <w:basedOn w:val="1"/>
    <w:autoRedefine/>
    <w:qFormat/>
    <w:uiPriority w:val="0"/>
    <w:pPr>
      <w:spacing w:beforeLines="50" w:afterLines="50" w:line="420" w:lineRule="exact"/>
    </w:pPr>
    <w:rPr>
      <w:rFonts w:eastAsia="黑体"/>
      <w:sz w:val="32"/>
    </w:rPr>
  </w:style>
  <w:style w:type="paragraph" w:customStyle="1" w:styleId="2200">
    <w:name w:val="样式 标题 4 + 黑体 非加粗 黑色"/>
    <w:basedOn w:val="6"/>
    <w:autoRedefine/>
    <w:qFormat/>
    <w:uiPriority w:val="0"/>
    <w:pPr>
      <w:keepLines/>
      <w:spacing w:line="560" w:lineRule="exact"/>
      <w:ind w:right="0" w:firstLine="200" w:firstLineChars="200"/>
      <w:jc w:val="both"/>
    </w:pPr>
    <w:rPr>
      <w:rFonts w:ascii="黑体" w:hAnsi="黑体" w:eastAsia="黑体"/>
      <w:color w:val="000000"/>
      <w:lang w:val="zh-CN"/>
    </w:rPr>
  </w:style>
  <w:style w:type="paragraph" w:customStyle="1" w:styleId="2201">
    <w:name w:val="三级无标题条"/>
    <w:basedOn w:val="1"/>
    <w:autoRedefine/>
    <w:qFormat/>
    <w:uiPriority w:val="0"/>
  </w:style>
  <w:style w:type="paragraph" w:customStyle="1" w:styleId="2202">
    <w:name w:val="xl135"/>
    <w:basedOn w:val="1"/>
    <w:autoRedefine/>
    <w:qFormat/>
    <w:uiPriority w:val="0"/>
    <w:pPr>
      <w:widowControl/>
      <w:spacing w:before="100" w:beforeAutospacing="1" w:after="100" w:afterAutospacing="1"/>
      <w:jc w:val="center"/>
    </w:pPr>
    <w:rPr>
      <w:rFonts w:ascii="Arial Unicode MS" w:hAnsi="Arial Unicode MS"/>
      <w:kern w:val="0"/>
      <w:sz w:val="16"/>
      <w:szCs w:val="16"/>
    </w:rPr>
  </w:style>
  <w:style w:type="paragraph" w:customStyle="1" w:styleId="2203">
    <w:name w:val="Char Char6 Char Char2"/>
    <w:basedOn w:val="1"/>
    <w:autoRedefine/>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2204">
    <w:name w:val="表格名称"/>
    <w:basedOn w:val="1"/>
    <w:autoRedefine/>
    <w:qFormat/>
    <w:uiPriority w:val="0"/>
    <w:pPr>
      <w:keepLines/>
      <w:tabs>
        <w:tab w:val="left" w:pos="1123"/>
      </w:tabs>
      <w:spacing w:beforeLines="20" w:afterLines="20" w:line="440" w:lineRule="exact"/>
      <w:ind w:firstLine="403"/>
    </w:pPr>
    <w:rPr>
      <w:rFonts w:eastAsia="黑体"/>
      <w:sz w:val="24"/>
      <w:szCs w:val="20"/>
    </w:rPr>
  </w:style>
  <w:style w:type="paragraph" w:customStyle="1" w:styleId="2205">
    <w:name w:val="正文 New New New New New New New New New New New New New New New New New New New New New"/>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206">
    <w:name w:val="xl69"/>
    <w:basedOn w:val="1"/>
    <w:autoRedefine/>
    <w:qFormat/>
    <w:uiPriority w:val="0"/>
    <w:pPr>
      <w:widowControl/>
      <w:pBdr>
        <w:bottom w:val="single" w:color="auto" w:sz="12" w:space="0"/>
      </w:pBdr>
      <w:spacing w:before="100" w:beforeAutospacing="1" w:after="100" w:afterAutospacing="1"/>
      <w:jc w:val="left"/>
    </w:pPr>
    <w:rPr>
      <w:kern w:val="0"/>
      <w:sz w:val="12"/>
      <w:szCs w:val="12"/>
    </w:rPr>
  </w:style>
  <w:style w:type="paragraph" w:customStyle="1" w:styleId="2207">
    <w:name w:val="xl55"/>
    <w:basedOn w:val="1"/>
    <w:autoRedefine/>
    <w:qFormat/>
    <w:uiPriority w:val="0"/>
    <w:pPr>
      <w:widowControl/>
      <w:pBdr>
        <w:bottom w:val="single" w:color="auto" w:sz="12" w:space="0"/>
      </w:pBdr>
      <w:spacing w:before="100" w:beforeAutospacing="1" w:after="100" w:afterAutospacing="1"/>
      <w:jc w:val="left"/>
    </w:pPr>
    <w:rPr>
      <w:rFonts w:ascii="Arial Unicode MS" w:hAnsi="Arial Unicode MS"/>
      <w:kern w:val="0"/>
      <w:sz w:val="12"/>
      <w:szCs w:val="12"/>
    </w:rPr>
  </w:style>
  <w:style w:type="paragraph" w:customStyle="1" w:styleId="2208">
    <w:name w:val="font9"/>
    <w:basedOn w:val="1"/>
    <w:autoRedefine/>
    <w:qFormat/>
    <w:uiPriority w:val="0"/>
    <w:pPr>
      <w:widowControl/>
      <w:spacing w:before="100" w:beforeAutospacing="1" w:after="100" w:afterAutospacing="1"/>
      <w:jc w:val="left"/>
    </w:pPr>
    <w:rPr>
      <w:rFonts w:eastAsia="Arial Unicode MS"/>
      <w:kern w:val="0"/>
      <w:szCs w:val="21"/>
    </w:rPr>
  </w:style>
  <w:style w:type="paragraph" w:customStyle="1" w:styleId="2209">
    <w:name w:val="Char Char Char1 Char Char Char1 Char Char Char1 Char"/>
    <w:basedOn w:val="1"/>
    <w:autoRedefine/>
    <w:qFormat/>
    <w:uiPriority w:val="0"/>
    <w:pPr>
      <w:spacing w:line="400" w:lineRule="exact"/>
      <w:ind w:firstLine="200" w:firstLineChars="200"/>
    </w:pPr>
    <w:rPr>
      <w:sz w:val="28"/>
      <w:szCs w:val="28"/>
    </w:rPr>
  </w:style>
  <w:style w:type="paragraph" w:customStyle="1" w:styleId="2210">
    <w:name w:val="19"/>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211">
    <w:name w:val="批注框文本 Char Char"/>
    <w:basedOn w:val="1"/>
    <w:autoRedefine/>
    <w:qFormat/>
    <w:uiPriority w:val="0"/>
    <w:rPr>
      <w:sz w:val="18"/>
      <w:szCs w:val="20"/>
    </w:rPr>
  </w:style>
  <w:style w:type="paragraph" w:customStyle="1" w:styleId="2212">
    <w:name w:val="表内5S"/>
    <w:basedOn w:val="1"/>
    <w:autoRedefine/>
    <w:qFormat/>
    <w:uiPriority w:val="0"/>
    <w:pPr>
      <w:spacing w:line="300" w:lineRule="atLeast"/>
      <w:jc w:val="center"/>
    </w:pPr>
    <w:rPr>
      <w:rFonts w:eastAsia="方正宋三简体"/>
      <w:szCs w:val="20"/>
    </w:rPr>
  </w:style>
  <w:style w:type="paragraph" w:customStyle="1" w:styleId="2213">
    <w:name w:val="样式 标题 2节 + 段前: 1 行 段后: 0.5 行1"/>
    <w:basedOn w:val="1"/>
    <w:autoRedefine/>
    <w:qFormat/>
    <w:uiPriority w:val="0"/>
    <w:pPr>
      <w:tabs>
        <w:tab w:val="left" w:pos="720"/>
      </w:tabs>
    </w:pPr>
    <w:rPr>
      <w:szCs w:val="20"/>
    </w:rPr>
  </w:style>
  <w:style w:type="paragraph" w:customStyle="1" w:styleId="2214">
    <w:name w:val="小四表文左齐"/>
    <w:basedOn w:val="1"/>
    <w:autoRedefine/>
    <w:qFormat/>
    <w:uiPriority w:val="0"/>
    <w:pPr>
      <w:jc w:val="center"/>
    </w:pPr>
    <w:rPr>
      <w:rFonts w:hint="eastAsia" w:ascii="仿宋_GB2312" w:hAnsi="宋体" w:eastAsia="仿宋_GB2312"/>
    </w:rPr>
  </w:style>
  <w:style w:type="paragraph" w:customStyle="1" w:styleId="2215">
    <w:name w:val="Char Char Char Char Char Char Char Char Char Char Char Char Char Char Char Char Char Char Char Char Char Char Char Char Char Char Char Char"/>
    <w:basedOn w:val="1"/>
    <w:autoRedefine/>
    <w:qFormat/>
    <w:uiPriority w:val="0"/>
    <w:rPr>
      <w:sz w:val="24"/>
    </w:rPr>
  </w:style>
  <w:style w:type="paragraph" w:customStyle="1" w:styleId="2216">
    <w:name w:val="表格文字居中"/>
    <w:basedOn w:val="1181"/>
    <w:autoRedefine/>
    <w:qFormat/>
    <w:uiPriority w:val="0"/>
    <w:pPr>
      <w:widowControl w:val="0"/>
      <w:tabs>
        <w:tab w:val="left" w:pos="628"/>
        <w:tab w:val="left" w:pos="1727"/>
        <w:tab w:val="left" w:pos="1884"/>
      </w:tabs>
      <w:adjustRightInd w:val="0"/>
      <w:snapToGrid w:val="0"/>
      <w:spacing w:before="100" w:beforeAutospacing="1" w:after="0"/>
      <w:ind w:left="26" w:firstLine="0" w:firstLineChars="0"/>
      <w:jc w:val="center"/>
      <w:outlineLvl w:val="0"/>
    </w:pPr>
    <w:rPr>
      <w:rFonts w:ascii="宋体" w:hAnsi="宋体"/>
      <w:szCs w:val="28"/>
    </w:rPr>
  </w:style>
  <w:style w:type="paragraph" w:customStyle="1" w:styleId="2217">
    <w:name w:val="InstÀÀll4"/>
    <w:autoRedefine/>
    <w:qFormat/>
    <w:uiPriority w:val="0"/>
    <w:pPr>
      <w:tabs>
        <w:tab w:val="left" w:pos="-720"/>
      </w:tabs>
      <w:suppressAutoHyphens/>
      <w:jc w:val="both"/>
    </w:pPr>
    <w:rPr>
      <w:rFonts w:ascii="Courier" w:hAnsi="Courier" w:eastAsia="宋体" w:cs="Times New Roman"/>
      <w:spacing w:val="-3"/>
      <w:sz w:val="24"/>
      <w:lang w:val="en-US" w:eastAsia="sv-SE" w:bidi="ar-SA"/>
    </w:rPr>
  </w:style>
  <w:style w:type="paragraph" w:customStyle="1" w:styleId="2218">
    <w:name w:val="Char Char Char1 Char Char Char Char Char Char Char6"/>
    <w:basedOn w:val="1"/>
    <w:autoRedefine/>
    <w:qFormat/>
    <w:uiPriority w:val="0"/>
    <w:rPr>
      <w:rFonts w:ascii="Tahoma" w:hAnsi="Tahoma"/>
      <w:sz w:val="24"/>
      <w:szCs w:val="20"/>
    </w:rPr>
  </w:style>
  <w:style w:type="paragraph" w:customStyle="1" w:styleId="2219">
    <w:name w:val="列表标题"/>
    <w:basedOn w:val="1"/>
    <w:next w:val="1"/>
    <w:autoRedefine/>
    <w:qFormat/>
    <w:uiPriority w:val="0"/>
    <w:pPr>
      <w:jc w:val="center"/>
    </w:pPr>
    <w:rPr>
      <w:sz w:val="24"/>
      <w:szCs w:val="20"/>
    </w:rPr>
  </w:style>
  <w:style w:type="paragraph" w:customStyle="1" w:styleId="2220">
    <w:name w:val="Char25"/>
    <w:basedOn w:val="1"/>
    <w:autoRedefine/>
    <w:qFormat/>
    <w:uiPriority w:val="0"/>
    <w:rPr>
      <w:sz w:val="24"/>
    </w:rPr>
  </w:style>
  <w:style w:type="paragraph" w:customStyle="1" w:styleId="2221">
    <w:name w:val="目录 31"/>
    <w:basedOn w:val="1"/>
    <w:next w:val="1"/>
    <w:autoRedefine/>
    <w:qFormat/>
    <w:uiPriority w:val="0"/>
    <w:pPr>
      <w:ind w:left="210"/>
      <w:jc w:val="left"/>
    </w:pPr>
    <w:rPr>
      <w:sz w:val="20"/>
      <w:szCs w:val="20"/>
    </w:rPr>
  </w:style>
  <w:style w:type="paragraph" w:customStyle="1" w:styleId="2222">
    <w:name w:val="大纲封面"/>
    <w:basedOn w:val="1"/>
    <w:autoRedefine/>
    <w:qFormat/>
    <w:uiPriority w:val="0"/>
    <w:pPr>
      <w:spacing w:line="360" w:lineRule="auto"/>
      <w:jc w:val="center"/>
    </w:pPr>
    <w:rPr>
      <w:rFonts w:ascii="宋体" w:eastAsia="楷体_GB2312"/>
      <w:b/>
      <w:spacing w:val="100"/>
      <w:sz w:val="72"/>
    </w:rPr>
  </w:style>
  <w:style w:type="paragraph" w:customStyle="1" w:styleId="2223">
    <w:name w:val="我的表格标题标题"/>
    <w:basedOn w:val="1"/>
    <w:autoRedefine/>
    <w:qFormat/>
    <w:uiPriority w:val="0"/>
    <w:pPr>
      <w:spacing w:line="500" w:lineRule="exact"/>
      <w:jc w:val="center"/>
    </w:pPr>
    <w:rPr>
      <w:rFonts w:ascii="宋体" w:hAnsi="宋体"/>
      <w:color w:val="000000"/>
      <w:sz w:val="24"/>
    </w:rPr>
  </w:style>
  <w:style w:type="paragraph" w:customStyle="1" w:styleId="2224">
    <w:name w:val="xl61"/>
    <w:basedOn w:val="1"/>
    <w:autoRedefine/>
    <w:qFormat/>
    <w:uiPriority w:val="0"/>
    <w:pPr>
      <w:widowControl/>
      <w:spacing w:before="100" w:beforeAutospacing="1" w:after="100" w:afterAutospacing="1"/>
      <w:jc w:val="left"/>
    </w:pPr>
    <w:rPr>
      <w:rFonts w:ascii="Arial Unicode MS" w:hAnsi="Arial Unicode MS"/>
      <w:kern w:val="0"/>
      <w:sz w:val="12"/>
      <w:szCs w:val="12"/>
    </w:rPr>
  </w:style>
  <w:style w:type="paragraph" w:customStyle="1" w:styleId="2225">
    <w:name w:val="z-Bottom of Form1"/>
    <w:basedOn w:val="1"/>
    <w:next w:val="1"/>
    <w:autoRedefine/>
    <w:qFormat/>
    <w:uiPriority w:val="0"/>
    <w:pPr>
      <w:widowControl/>
      <w:pBdr>
        <w:top w:val="single" w:color="auto" w:sz="6" w:space="1"/>
      </w:pBdr>
      <w:jc w:val="center"/>
    </w:pPr>
    <w:rPr>
      <w:rFonts w:ascii="Arial" w:hAnsi="Arial" w:eastAsia="Arial Unicode MS"/>
      <w:vanish/>
      <w:kern w:val="0"/>
      <w:sz w:val="16"/>
      <w:szCs w:val="20"/>
    </w:rPr>
  </w:style>
  <w:style w:type="paragraph" w:customStyle="1" w:styleId="2226">
    <w:name w:val="条款"/>
    <w:basedOn w:val="1"/>
    <w:autoRedefine/>
    <w:qFormat/>
    <w:uiPriority w:val="0"/>
    <w:pPr>
      <w:widowControl/>
      <w:jc w:val="left"/>
    </w:pPr>
    <w:rPr>
      <w:rFonts w:ascii="宋体" w:hAnsi="宋体" w:cs="宋体"/>
      <w:kern w:val="0"/>
      <w:sz w:val="24"/>
    </w:rPr>
  </w:style>
  <w:style w:type="paragraph" w:customStyle="1" w:styleId="2227">
    <w:name w:val="xl208"/>
    <w:basedOn w:val="1"/>
    <w:autoRedefine/>
    <w:qFormat/>
    <w:uiPriority w:val="0"/>
    <w:pPr>
      <w:widowControl/>
      <w:pBdr>
        <w:bottom w:val="single" w:color="auto" w:sz="12" w:space="0"/>
        <w:right w:val="single" w:color="auto" w:sz="8" w:space="0"/>
      </w:pBdr>
      <w:spacing w:before="100" w:beforeAutospacing="1" w:after="100" w:afterAutospacing="1"/>
      <w:jc w:val="center"/>
    </w:pPr>
    <w:rPr>
      <w:rFonts w:ascii="宋体" w:hAnsi="宋体" w:cs="宋体"/>
      <w:kern w:val="0"/>
      <w:sz w:val="18"/>
      <w:szCs w:val="18"/>
    </w:rPr>
  </w:style>
  <w:style w:type="paragraph" w:customStyle="1" w:styleId="2228">
    <w:name w:val="新标题样式"/>
    <w:basedOn w:val="1"/>
    <w:autoRedefine/>
    <w:qFormat/>
    <w:uiPriority w:val="0"/>
    <w:pPr>
      <w:tabs>
        <w:tab w:val="left" w:pos="567"/>
      </w:tabs>
      <w:spacing w:line="360" w:lineRule="auto"/>
    </w:pPr>
    <w:rPr>
      <w:rFonts w:eastAsia="黑体"/>
      <w:b/>
      <w:spacing w:val="20"/>
      <w:sz w:val="24"/>
      <w:szCs w:val="20"/>
    </w:rPr>
  </w:style>
  <w:style w:type="paragraph" w:customStyle="1" w:styleId="2229">
    <w:name w:val="xl83"/>
    <w:basedOn w:val="1"/>
    <w:autoRedefine/>
    <w:qFormat/>
    <w:uiPriority w:val="0"/>
    <w:pPr>
      <w:widowControl/>
      <w:pBdr>
        <w:top w:val="single" w:color="auto" w:sz="12" w:space="0"/>
        <w:left w:val="single" w:color="auto" w:sz="12" w:space="0"/>
      </w:pBdr>
      <w:spacing w:before="100" w:beforeAutospacing="1" w:after="100" w:afterAutospacing="1"/>
      <w:jc w:val="center"/>
    </w:pPr>
    <w:rPr>
      <w:rFonts w:ascii="Arial Unicode MS" w:hAnsi="Arial Unicode MS"/>
      <w:kern w:val="0"/>
      <w:sz w:val="12"/>
      <w:szCs w:val="12"/>
    </w:rPr>
  </w:style>
  <w:style w:type="paragraph" w:customStyle="1" w:styleId="2230">
    <w:name w:val="样式 正文文本缩进 + 左侧:  0.95 厘米 首行缩进:  0.63 厘米"/>
    <w:basedOn w:val="34"/>
    <w:autoRedefine/>
    <w:qFormat/>
    <w:uiPriority w:val="0"/>
    <w:pPr>
      <w:spacing w:after="0" w:line="480" w:lineRule="exact"/>
      <w:ind w:left="0" w:leftChars="0" w:firstLine="480" w:firstLineChars="200"/>
    </w:pPr>
    <w:rPr>
      <w:rFonts w:ascii="宋体" w:hAnsi="宋体"/>
      <w:color w:val="000000"/>
      <w:kern w:val="2"/>
      <w:lang w:val="zh-CN"/>
    </w:rPr>
  </w:style>
  <w:style w:type="paragraph" w:customStyle="1" w:styleId="2231">
    <w:name w:val="font30"/>
    <w:basedOn w:val="1"/>
    <w:autoRedefine/>
    <w:qFormat/>
    <w:uiPriority w:val="0"/>
    <w:pPr>
      <w:widowControl/>
      <w:spacing w:before="100" w:beforeAutospacing="1" w:after="100" w:afterAutospacing="1"/>
      <w:jc w:val="left"/>
    </w:pPr>
    <w:rPr>
      <w:kern w:val="0"/>
      <w:sz w:val="15"/>
      <w:szCs w:val="15"/>
    </w:rPr>
  </w:style>
  <w:style w:type="paragraph" w:customStyle="1" w:styleId="2232">
    <w:name w:val="Char Char Char Char Char Char Char Char Char Char Char1 Char Char Char Char Char Char1"/>
    <w:basedOn w:val="1"/>
    <w:autoRedefine/>
    <w:qFormat/>
    <w:uiPriority w:val="0"/>
    <w:rPr>
      <w:sz w:val="24"/>
    </w:rPr>
  </w:style>
  <w:style w:type="paragraph" w:customStyle="1" w:styleId="2233">
    <w:name w:val="cdb"/>
    <w:basedOn w:val="1"/>
    <w:autoRedefine/>
    <w:qFormat/>
    <w:uiPriority w:val="0"/>
    <w:pPr>
      <w:spacing w:before="120"/>
      <w:ind w:left="851" w:firstLine="482"/>
    </w:pPr>
    <w:rPr>
      <w:szCs w:val="20"/>
    </w:rPr>
  </w:style>
  <w:style w:type="paragraph" w:customStyle="1" w:styleId="2234">
    <w:name w:val="样式 c2 +"/>
    <w:basedOn w:val="989"/>
    <w:autoRedefine/>
    <w:qFormat/>
    <w:uiPriority w:val="0"/>
  </w:style>
  <w:style w:type="paragraph" w:customStyle="1" w:styleId="2235">
    <w:name w:val="样式 四号 行距: 固定值 25 磅"/>
    <w:basedOn w:val="1"/>
    <w:autoRedefine/>
    <w:qFormat/>
    <w:uiPriority w:val="0"/>
    <w:pPr>
      <w:spacing w:line="480" w:lineRule="atLeast"/>
      <w:ind w:firstLine="200" w:firstLineChars="200"/>
    </w:pPr>
    <w:rPr>
      <w:sz w:val="24"/>
    </w:rPr>
  </w:style>
  <w:style w:type="paragraph" w:customStyle="1" w:styleId="2236">
    <w:name w:val="Char Char Char Char24"/>
    <w:basedOn w:val="1"/>
    <w:autoRedefine/>
    <w:qFormat/>
    <w:uiPriority w:val="0"/>
    <w:rPr>
      <w:sz w:val="24"/>
    </w:rPr>
  </w:style>
  <w:style w:type="paragraph" w:customStyle="1" w:styleId="2237">
    <w:name w:val="表格内"/>
    <w:basedOn w:val="1"/>
    <w:autoRedefine/>
    <w:qFormat/>
    <w:uiPriority w:val="0"/>
    <w:pPr>
      <w:adjustRightInd w:val="0"/>
      <w:spacing w:line="240" w:lineRule="atLeast"/>
      <w:jc w:val="center"/>
      <w:textAlignment w:val="baseline"/>
    </w:pPr>
    <w:rPr>
      <w:rFonts w:ascii="宋体"/>
      <w:kern w:val="0"/>
      <w:sz w:val="28"/>
      <w:szCs w:val="28"/>
    </w:rPr>
  </w:style>
  <w:style w:type="paragraph" w:customStyle="1" w:styleId="2238">
    <w:name w:val="font16"/>
    <w:basedOn w:val="1"/>
    <w:autoRedefine/>
    <w:qFormat/>
    <w:uiPriority w:val="0"/>
    <w:pPr>
      <w:widowControl/>
      <w:spacing w:before="100" w:beforeAutospacing="1" w:after="100" w:afterAutospacing="1"/>
      <w:jc w:val="left"/>
    </w:pPr>
    <w:rPr>
      <w:rFonts w:ascii="宋体" w:hAnsi="宋体" w:cs="宋体"/>
      <w:color w:val="FF6600"/>
      <w:kern w:val="0"/>
      <w:sz w:val="18"/>
      <w:szCs w:val="18"/>
    </w:rPr>
  </w:style>
  <w:style w:type="paragraph" w:customStyle="1" w:styleId="2239">
    <w:name w:val="图标题"/>
    <w:basedOn w:val="1"/>
    <w:autoRedefine/>
    <w:qFormat/>
    <w:uiPriority w:val="0"/>
    <w:pPr>
      <w:framePr w:hSpace="181" w:vSpace="181" w:wrap="around" w:vAnchor="text" w:hAnchor="text" w:y="1"/>
      <w:spacing w:line="260" w:lineRule="exact"/>
      <w:jc w:val="center"/>
    </w:pPr>
    <w:rPr>
      <w:b/>
      <w:bCs/>
      <w:sz w:val="24"/>
      <w:szCs w:val="20"/>
    </w:rPr>
  </w:style>
  <w:style w:type="paragraph" w:customStyle="1" w:styleId="2240">
    <w:name w:val="CM105"/>
    <w:basedOn w:val="143"/>
    <w:next w:val="143"/>
    <w:autoRedefine/>
    <w:qFormat/>
    <w:uiPriority w:val="0"/>
    <w:pPr>
      <w:spacing w:after="125"/>
    </w:pPr>
    <w:rPr>
      <w:rFonts w:ascii="楷体_GB2312" w:hAnsi="Times New Roman" w:eastAsia="楷体_GB2312" w:cs="Times New Roman"/>
      <w:color w:val="auto"/>
    </w:rPr>
  </w:style>
  <w:style w:type="paragraph" w:customStyle="1" w:styleId="2241">
    <w:name w:val="11ft"/>
    <w:basedOn w:val="1"/>
    <w:autoRedefine/>
    <w:qFormat/>
    <w:uiPriority w:val="0"/>
    <w:pPr>
      <w:widowControl/>
      <w:spacing w:before="100" w:beforeAutospacing="1" w:after="100" w:afterAutospacing="1"/>
      <w:jc w:val="left"/>
    </w:pPr>
    <w:rPr>
      <w:rFonts w:ascii="Arial Unicode MS" w:hAnsi="Arial Unicode MS" w:eastAsia="Arial Unicode MS" w:cs="Arial Unicode MS"/>
      <w:color w:val="005680"/>
      <w:kern w:val="0"/>
      <w:sz w:val="22"/>
      <w:szCs w:val="22"/>
    </w:rPr>
  </w:style>
  <w:style w:type="paragraph" w:customStyle="1" w:styleId="2242">
    <w:name w:val="Char34"/>
    <w:basedOn w:val="1"/>
    <w:autoRedefine/>
    <w:qFormat/>
    <w:uiPriority w:val="0"/>
    <w:rPr>
      <w:sz w:val="24"/>
    </w:rPr>
  </w:style>
  <w:style w:type="paragraph" w:customStyle="1" w:styleId="2243">
    <w:name w:val="Char Char Char11"/>
    <w:basedOn w:val="1"/>
    <w:autoRedefine/>
    <w:qFormat/>
    <w:uiPriority w:val="0"/>
    <w:rPr>
      <w:sz w:val="24"/>
    </w:rPr>
  </w:style>
  <w:style w:type="paragraph" w:customStyle="1" w:styleId="2244">
    <w:name w:val="样式 样式 标题 2节 + (西文) Times New Roman (中文) 宋体 四号 段前: 0.5 行 段后: 0......"/>
    <w:basedOn w:val="1"/>
    <w:autoRedefine/>
    <w:qFormat/>
    <w:uiPriority w:val="0"/>
    <w:pPr>
      <w:keepNext/>
      <w:keepLines/>
      <w:tabs>
        <w:tab w:val="left" w:pos="720"/>
      </w:tabs>
      <w:adjustRightInd w:val="0"/>
      <w:snapToGrid w:val="0"/>
      <w:spacing w:beforeLines="90" w:afterLines="90" w:line="300" w:lineRule="auto"/>
      <w:ind w:left="397" w:hanging="397"/>
      <w:outlineLvl w:val="1"/>
    </w:pPr>
    <w:rPr>
      <w:rFonts w:ascii="楷体_GB2312" w:eastAsia="楷体_GB2312"/>
      <w:b/>
      <w:bCs/>
      <w:sz w:val="28"/>
      <w:szCs w:val="28"/>
    </w:rPr>
  </w:style>
  <w:style w:type="paragraph" w:customStyle="1" w:styleId="2245">
    <w:name w:val="Char Char2 Char Char Char Char"/>
    <w:basedOn w:val="1"/>
    <w:autoRedefine/>
    <w:qFormat/>
    <w:uiPriority w:val="0"/>
    <w:rPr>
      <w:rFonts w:eastAsia="仿宋_GB2312"/>
      <w:sz w:val="24"/>
    </w:rPr>
  </w:style>
  <w:style w:type="paragraph" w:customStyle="1" w:styleId="2246">
    <w:name w:val="样式14"/>
    <w:basedOn w:val="33"/>
    <w:next w:val="1810"/>
    <w:autoRedefine/>
    <w:qFormat/>
    <w:uiPriority w:val="0"/>
    <w:pPr>
      <w:widowControl w:val="0"/>
      <w:snapToGrid/>
      <w:spacing w:before="0" w:after="120" w:line="240" w:lineRule="auto"/>
      <w:ind w:right="0"/>
    </w:pPr>
    <w:rPr>
      <w:kern w:val="2"/>
      <w:sz w:val="21"/>
      <w:szCs w:val="24"/>
      <w:lang w:val="zh-CN"/>
    </w:rPr>
  </w:style>
  <w:style w:type="paragraph" w:customStyle="1" w:styleId="2247">
    <w:name w:val="text-black"/>
    <w:basedOn w:val="1"/>
    <w:autoRedefine/>
    <w:qFormat/>
    <w:uiPriority w:val="0"/>
    <w:pPr>
      <w:widowControl/>
      <w:spacing w:before="100" w:beforeAutospacing="1" w:after="100" w:afterAutospacing="1" w:line="384" w:lineRule="atLeast"/>
      <w:jc w:val="left"/>
    </w:pPr>
    <w:rPr>
      <w:rFonts w:ascii="ˎ̥" w:hAnsi="ˎ̥" w:cs="宋体"/>
      <w:color w:val="000000"/>
      <w:kern w:val="0"/>
      <w:sz w:val="20"/>
      <w:szCs w:val="20"/>
    </w:rPr>
  </w:style>
  <w:style w:type="paragraph" w:customStyle="1" w:styleId="2248">
    <w:name w:val="新表"/>
    <w:basedOn w:val="1"/>
    <w:autoRedefine/>
    <w:qFormat/>
    <w:uiPriority w:val="0"/>
    <w:pPr>
      <w:spacing w:line="360" w:lineRule="exact"/>
    </w:pPr>
    <w:rPr>
      <w:rFonts w:eastAsia="仿宋_GB2312"/>
      <w:bCs/>
      <w:kern w:val="0"/>
      <w:sz w:val="24"/>
      <w:szCs w:val="20"/>
    </w:rPr>
  </w:style>
  <w:style w:type="paragraph" w:customStyle="1" w:styleId="2249">
    <w:name w:val="样式 表蕊 + 四号 黑色 居中"/>
    <w:basedOn w:val="1"/>
    <w:autoRedefine/>
    <w:qFormat/>
    <w:uiPriority w:val="0"/>
    <w:pPr>
      <w:adjustRightInd w:val="0"/>
      <w:spacing w:line="280" w:lineRule="atLeast"/>
      <w:jc w:val="center"/>
      <w:textAlignment w:val="baseline"/>
    </w:pPr>
    <w:rPr>
      <w:rFonts w:cs="宋体"/>
      <w:color w:val="000000"/>
      <w:sz w:val="28"/>
      <w:szCs w:val="28"/>
    </w:rPr>
  </w:style>
  <w:style w:type="paragraph" w:customStyle="1" w:styleId="2250">
    <w:name w:val="Char22"/>
    <w:basedOn w:val="1"/>
    <w:autoRedefine/>
    <w:qFormat/>
    <w:uiPriority w:val="0"/>
    <w:pPr>
      <w:spacing w:line="240" w:lineRule="exact"/>
      <w:ind w:firstLine="200" w:firstLineChars="200"/>
    </w:pPr>
    <w:rPr>
      <w:sz w:val="28"/>
      <w:szCs w:val="28"/>
    </w:rPr>
  </w:style>
  <w:style w:type="paragraph" w:customStyle="1" w:styleId="2251">
    <w:name w:val="列表段落1"/>
    <w:basedOn w:val="1"/>
    <w:autoRedefine/>
    <w:qFormat/>
    <w:uiPriority w:val="0"/>
    <w:pPr>
      <w:widowControl/>
      <w:ind w:firstLine="420" w:firstLineChars="200"/>
      <w:jc w:val="left"/>
    </w:pPr>
    <w:rPr>
      <w:kern w:val="0"/>
      <w:sz w:val="24"/>
      <w:szCs w:val="20"/>
    </w:rPr>
  </w:style>
  <w:style w:type="paragraph" w:customStyle="1" w:styleId="2252">
    <w:name w:val="表小5"/>
    <w:basedOn w:val="1"/>
    <w:autoRedefine/>
    <w:qFormat/>
    <w:uiPriority w:val="0"/>
    <w:pPr>
      <w:widowControl/>
      <w:tabs>
        <w:tab w:val="left" w:pos="0"/>
        <w:tab w:val="left" w:pos="2619"/>
      </w:tabs>
      <w:jc w:val="center"/>
    </w:pPr>
    <w:rPr>
      <w:rFonts w:ascii="宋体" w:hAnsi="宋体"/>
      <w:szCs w:val="20"/>
    </w:rPr>
  </w:style>
  <w:style w:type="paragraph" w:customStyle="1" w:styleId="2253">
    <w:name w:val="标题003"/>
    <w:basedOn w:val="1"/>
    <w:autoRedefine/>
    <w:qFormat/>
    <w:uiPriority w:val="0"/>
    <w:pPr>
      <w:spacing w:before="120" w:line="440" w:lineRule="exact"/>
      <w:outlineLvl w:val="2"/>
    </w:pPr>
    <w:rPr>
      <w:b/>
      <w:sz w:val="27"/>
      <w:szCs w:val="20"/>
    </w:rPr>
  </w:style>
  <w:style w:type="paragraph" w:customStyle="1" w:styleId="2254">
    <w:name w:val="目录 411"/>
    <w:basedOn w:val="1"/>
    <w:next w:val="1"/>
    <w:autoRedefine/>
    <w:qFormat/>
    <w:uiPriority w:val="0"/>
    <w:pPr>
      <w:ind w:left="420"/>
      <w:jc w:val="left"/>
    </w:pPr>
    <w:rPr>
      <w:sz w:val="20"/>
      <w:szCs w:val="20"/>
    </w:rPr>
  </w:style>
  <w:style w:type="paragraph" w:customStyle="1" w:styleId="2255">
    <w:name w:val="页眉 Char Char"/>
    <w:basedOn w:val="1"/>
    <w:autoRedefine/>
    <w:qFormat/>
    <w:uiPriority w:val="0"/>
    <w:pPr>
      <w:tabs>
        <w:tab w:val="left" w:pos="4149"/>
        <w:tab w:val="left" w:pos="8016"/>
      </w:tabs>
      <w:spacing w:line="351" w:lineRule="atLeast"/>
      <w:ind w:firstLine="419"/>
      <w:jc w:val="center"/>
    </w:pPr>
    <w:rPr>
      <w:rFonts w:hint="eastAsia"/>
      <w:sz w:val="18"/>
      <w:szCs w:val="20"/>
    </w:rPr>
  </w:style>
  <w:style w:type="paragraph" w:customStyle="1" w:styleId="2256">
    <w:name w:val="默认段落字体 Para Char Char Char1 Char1"/>
    <w:basedOn w:val="1"/>
    <w:autoRedefine/>
    <w:qFormat/>
    <w:uiPriority w:val="0"/>
    <w:rPr>
      <w:sz w:val="24"/>
    </w:rPr>
  </w:style>
  <w:style w:type="paragraph" w:customStyle="1" w:styleId="2257">
    <w:name w:val="font19"/>
    <w:basedOn w:val="1"/>
    <w:autoRedefine/>
    <w:qFormat/>
    <w:uiPriority w:val="0"/>
    <w:pPr>
      <w:widowControl/>
      <w:spacing w:before="100" w:beforeAutospacing="1" w:after="100" w:afterAutospacing="1"/>
      <w:jc w:val="left"/>
    </w:pPr>
    <w:rPr>
      <w:color w:val="CC99FF"/>
      <w:kern w:val="0"/>
      <w:sz w:val="18"/>
      <w:szCs w:val="18"/>
    </w:rPr>
  </w:style>
  <w:style w:type="paragraph" w:customStyle="1" w:styleId="2258">
    <w:name w:val="Char17"/>
    <w:basedOn w:val="1"/>
    <w:autoRedefine/>
    <w:qFormat/>
    <w:uiPriority w:val="0"/>
    <w:rPr>
      <w:szCs w:val="21"/>
    </w:rPr>
  </w:style>
  <w:style w:type="paragraph" w:customStyle="1" w:styleId="2259">
    <w:name w:val="xl138"/>
    <w:basedOn w:val="1"/>
    <w:autoRedefine/>
    <w:qFormat/>
    <w:uiPriority w:val="0"/>
    <w:pPr>
      <w:widowControl/>
      <w:pBdr>
        <w:left w:val="single" w:color="auto" w:sz="4" w:space="0"/>
        <w:bottom w:val="single" w:color="auto" w:sz="8" w:space="0"/>
      </w:pBdr>
      <w:spacing w:before="100" w:beforeAutospacing="1" w:after="100" w:afterAutospacing="1"/>
      <w:jc w:val="center"/>
    </w:pPr>
    <w:rPr>
      <w:kern w:val="0"/>
      <w:sz w:val="12"/>
      <w:szCs w:val="12"/>
    </w:rPr>
  </w:style>
  <w:style w:type="paragraph" w:customStyle="1" w:styleId="2260">
    <w:name w:val="目次、标准名称标题"/>
    <w:basedOn w:val="1017"/>
    <w:next w:val="257"/>
    <w:autoRedefine/>
    <w:qFormat/>
    <w:uiPriority w:val="0"/>
    <w:pPr>
      <w:tabs>
        <w:tab w:val="clear" w:pos="903"/>
      </w:tabs>
      <w:spacing w:line="460" w:lineRule="exact"/>
      <w:ind w:left="0" w:firstLine="0"/>
    </w:pPr>
  </w:style>
  <w:style w:type="paragraph" w:customStyle="1" w:styleId="2261">
    <w:name w:val="3xi1"/>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2262">
    <w:name w:val="Char Char Char Char Char Char Char Char Char Char Char Char Char Char Char Char"/>
    <w:basedOn w:val="1"/>
    <w:autoRedefine/>
    <w:qFormat/>
    <w:uiPriority w:val="0"/>
  </w:style>
  <w:style w:type="paragraph" w:customStyle="1" w:styleId="2263">
    <w:name w:val="样式 标题 1章标题 1H1Section HeadHeader1h11st levell1Heading 0...3"/>
    <w:basedOn w:val="3"/>
    <w:autoRedefine/>
    <w:qFormat/>
    <w:uiPriority w:val="0"/>
    <w:pPr>
      <w:tabs>
        <w:tab w:val="left" w:pos="425"/>
      </w:tabs>
      <w:overflowPunct/>
      <w:snapToGrid/>
      <w:spacing w:before="0" w:after="0" w:line="360" w:lineRule="auto"/>
      <w:ind w:left="425" w:hanging="425"/>
    </w:pPr>
    <w:rPr>
      <w:rFonts w:hAnsi="宋体" w:eastAsia="宋体" w:cs="宋体"/>
      <w:b w:val="0"/>
      <w:kern w:val="2"/>
      <w:sz w:val="32"/>
      <w:szCs w:val="20"/>
      <w:lang w:val="zh-CN"/>
    </w:rPr>
  </w:style>
  <w:style w:type="paragraph" w:customStyle="1" w:styleId="2264">
    <w:name w:val="xl3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kern w:val="0"/>
      <w:sz w:val="24"/>
    </w:rPr>
  </w:style>
  <w:style w:type="paragraph" w:customStyle="1" w:styleId="2265">
    <w:name w:val="正文段落"/>
    <w:basedOn w:val="1"/>
    <w:autoRedefine/>
    <w:qFormat/>
    <w:uiPriority w:val="0"/>
    <w:pPr>
      <w:autoSpaceDE w:val="0"/>
      <w:autoSpaceDN w:val="0"/>
      <w:adjustRightInd w:val="0"/>
      <w:spacing w:line="500" w:lineRule="exact"/>
      <w:ind w:firstLine="200" w:firstLineChars="200"/>
      <w:textAlignment w:val="baseline"/>
    </w:pPr>
    <w:rPr>
      <w:rFonts w:ascii="宋体" w:hAnsi="Tms Rmn"/>
      <w:kern w:val="0"/>
      <w:sz w:val="28"/>
      <w:szCs w:val="20"/>
    </w:rPr>
  </w:style>
  <w:style w:type="paragraph" w:customStyle="1" w:styleId="2266">
    <w:name w:val="高表内"/>
    <w:basedOn w:val="42"/>
    <w:autoRedefine/>
    <w:qFormat/>
    <w:uiPriority w:val="0"/>
    <w:pPr>
      <w:autoSpaceDE w:val="0"/>
      <w:adjustRightInd w:val="0"/>
      <w:snapToGrid w:val="0"/>
      <w:jc w:val="center"/>
      <w:textAlignment w:val="baseline"/>
    </w:pPr>
    <w:rPr>
      <w:rFonts w:ascii="Arial" w:hAnsi="Arial" w:eastAsia="楷体_GB2312"/>
      <w:sz w:val="24"/>
      <w:szCs w:val="24"/>
    </w:rPr>
  </w:style>
  <w:style w:type="paragraph" w:customStyle="1" w:styleId="2267">
    <w:name w:val="xl43"/>
    <w:basedOn w:val="1"/>
    <w:autoRedefine/>
    <w:qFormat/>
    <w:uiPriority w:val="0"/>
    <w:pPr>
      <w:widowControl/>
      <w:pBdr>
        <w:right w:val="single" w:color="auto" w:sz="12" w:space="0"/>
      </w:pBdr>
      <w:spacing w:before="100" w:beforeAutospacing="1" w:after="100" w:afterAutospacing="1"/>
      <w:jc w:val="center"/>
    </w:pPr>
    <w:rPr>
      <w:rFonts w:ascii="Arial Unicode MS" w:hAnsi="Arial Unicode MS"/>
      <w:kern w:val="0"/>
      <w:sz w:val="16"/>
      <w:szCs w:val="16"/>
    </w:rPr>
  </w:style>
  <w:style w:type="paragraph" w:customStyle="1" w:styleId="2268">
    <w:name w:val="Char Char Char Char Char Char Char Char Char Char Char Char Char"/>
    <w:basedOn w:val="1"/>
    <w:autoRedefine/>
    <w:qFormat/>
    <w:uiPriority w:val="0"/>
    <w:pPr>
      <w:widowControl/>
      <w:spacing w:after="160" w:line="240" w:lineRule="exact"/>
      <w:jc w:val="left"/>
    </w:pPr>
    <w:rPr>
      <w:rFonts w:ascii="Arial" w:hAnsi="Arial" w:cs="Verdana"/>
      <w:b/>
      <w:kern w:val="0"/>
      <w:sz w:val="24"/>
      <w:lang w:eastAsia="en-US"/>
    </w:rPr>
  </w:style>
  <w:style w:type="paragraph" w:customStyle="1" w:styleId="2269">
    <w:name w:val="WPS Plain"/>
    <w:autoRedefine/>
    <w:qFormat/>
    <w:uiPriority w:val="0"/>
    <w:rPr>
      <w:rFonts w:ascii="Times New Roman" w:hAnsi="Times New Roman" w:eastAsia="宋体" w:cs="Times New Roman"/>
      <w:lang w:val="en-US" w:eastAsia="zh-CN" w:bidi="ar-SA"/>
    </w:rPr>
  </w:style>
  <w:style w:type="paragraph" w:customStyle="1" w:styleId="2270">
    <w:name w:val="med1"/>
    <w:basedOn w:val="1"/>
    <w:autoRedefine/>
    <w:qFormat/>
    <w:uiPriority w:val="0"/>
    <w:pPr>
      <w:widowControl/>
      <w:spacing w:before="100" w:beforeAutospacing="1" w:after="100" w:afterAutospacing="1"/>
      <w:jc w:val="left"/>
    </w:pPr>
    <w:rPr>
      <w:rFonts w:ascii="宋体" w:hAnsi="宋体"/>
      <w:color w:val="000000"/>
      <w:kern w:val="0"/>
      <w:sz w:val="24"/>
    </w:rPr>
  </w:style>
  <w:style w:type="paragraph" w:customStyle="1" w:styleId="2271">
    <w:name w:val="ENUM"/>
    <w:basedOn w:val="1"/>
    <w:autoRedefine/>
    <w:qFormat/>
    <w:uiPriority w:val="0"/>
    <w:pPr>
      <w:widowControl/>
      <w:tabs>
        <w:tab w:val="left" w:pos="840"/>
        <w:tab w:val="left" w:pos="1418"/>
      </w:tabs>
      <w:spacing w:before="60" w:after="60"/>
      <w:ind w:left="1418" w:hanging="284" w:firstLineChars="200"/>
    </w:pPr>
    <w:rPr>
      <w:rFonts w:ascii="Arial" w:hAnsi="Arial"/>
      <w:kern w:val="0"/>
      <w:sz w:val="22"/>
      <w:szCs w:val="20"/>
      <w:lang w:val="en-GB"/>
    </w:rPr>
  </w:style>
  <w:style w:type="paragraph" w:customStyle="1" w:styleId="2272">
    <w:name w:val="样式 样式 左侧:  2 字符 + 首行缩进:  2 字符"/>
    <w:basedOn w:val="1"/>
    <w:autoRedefine/>
    <w:qFormat/>
    <w:uiPriority w:val="0"/>
    <w:pPr>
      <w:spacing w:line="360" w:lineRule="auto"/>
      <w:ind w:firstLine="480" w:firstLineChars="200"/>
    </w:pPr>
    <w:rPr>
      <w:sz w:val="24"/>
      <w:szCs w:val="20"/>
    </w:rPr>
  </w:style>
  <w:style w:type="paragraph" w:customStyle="1" w:styleId="2273">
    <w:name w:val="font20"/>
    <w:basedOn w:val="1"/>
    <w:autoRedefine/>
    <w:qFormat/>
    <w:uiPriority w:val="0"/>
    <w:pPr>
      <w:widowControl/>
      <w:spacing w:before="100" w:beforeAutospacing="1" w:after="100" w:afterAutospacing="1"/>
      <w:jc w:val="left"/>
    </w:pPr>
    <w:rPr>
      <w:color w:val="CC99FF"/>
      <w:kern w:val="0"/>
      <w:sz w:val="18"/>
      <w:szCs w:val="18"/>
    </w:rPr>
  </w:style>
  <w:style w:type="paragraph" w:customStyle="1" w:styleId="2274">
    <w:name w:val="Char Char Char Char Char Char Char Char Char Char Char Char Char Char Char Char Char Char Char Char Char Char Char Char Char Char Char Char Char Char"/>
    <w:basedOn w:val="1"/>
    <w:autoRedefine/>
    <w:qFormat/>
    <w:uiPriority w:val="0"/>
    <w:rPr>
      <w:sz w:val="24"/>
    </w:rPr>
  </w:style>
  <w:style w:type="paragraph" w:customStyle="1" w:styleId="2275">
    <w:name w:val="样式 表格内容 + 小五 加粗（lulu）"/>
    <w:basedOn w:val="320"/>
    <w:autoRedefine/>
    <w:qFormat/>
    <w:uiPriority w:val="0"/>
    <w:rPr>
      <w:b/>
      <w:bCs/>
      <w:sz w:val="18"/>
    </w:rPr>
  </w:style>
  <w:style w:type="paragraph" w:customStyle="1" w:styleId="2276">
    <w:name w:val="xl166"/>
    <w:basedOn w:val="1"/>
    <w:autoRedefine/>
    <w:qFormat/>
    <w:uiPriority w:val="0"/>
    <w:pPr>
      <w:widowControl/>
      <w:pBdr>
        <w:left w:val="single" w:color="auto" w:sz="12" w:space="0"/>
        <w:bottom w:val="single" w:color="auto" w:sz="12" w:space="0"/>
      </w:pBdr>
      <w:spacing w:before="100" w:beforeAutospacing="1" w:after="100" w:afterAutospacing="1"/>
      <w:jc w:val="center"/>
    </w:pPr>
    <w:rPr>
      <w:rFonts w:ascii="Arial Unicode MS" w:hAnsi="Arial Unicode MS"/>
      <w:kern w:val="0"/>
    </w:rPr>
  </w:style>
  <w:style w:type="paragraph" w:customStyle="1" w:styleId="2277">
    <w:name w:val="说明正文"/>
    <w:basedOn w:val="33"/>
    <w:autoRedefine/>
    <w:qFormat/>
    <w:uiPriority w:val="0"/>
    <w:pPr>
      <w:widowControl w:val="0"/>
      <w:spacing w:before="0" w:after="120" w:line="400" w:lineRule="exact"/>
      <w:ind w:right="0" w:firstLine="488" w:firstLineChars="200"/>
    </w:pPr>
    <w:rPr>
      <w:rFonts w:hint="eastAsia" w:ascii="宋体"/>
      <w:spacing w:val="2"/>
      <w:kern w:val="28"/>
      <w:sz w:val="24"/>
      <w:lang w:val="zh-CN"/>
    </w:rPr>
  </w:style>
  <w:style w:type="paragraph" w:customStyle="1" w:styleId="2278">
    <w:name w:val="康达正文"/>
    <w:basedOn w:val="1"/>
    <w:autoRedefine/>
    <w:qFormat/>
    <w:uiPriority w:val="0"/>
    <w:pPr>
      <w:wordWrap w:val="0"/>
      <w:topLinePunct/>
      <w:ind w:firstLine="200" w:firstLineChars="200"/>
      <w:jc w:val="left"/>
    </w:pPr>
    <w:rPr>
      <w:spacing w:val="20"/>
      <w:sz w:val="28"/>
      <w:szCs w:val="20"/>
    </w:rPr>
  </w:style>
  <w:style w:type="paragraph" w:customStyle="1" w:styleId="2279">
    <w:name w:val="xl212"/>
    <w:basedOn w:val="1"/>
    <w:autoRedefine/>
    <w:qFormat/>
    <w:uiPriority w:val="0"/>
    <w:pPr>
      <w:widowControl/>
      <w:pBdr>
        <w:bottom w:val="single" w:color="auto" w:sz="12" w:space="0"/>
        <w:right w:val="single" w:color="auto" w:sz="8" w:space="0"/>
      </w:pBdr>
      <w:spacing w:before="100" w:beforeAutospacing="1" w:after="100" w:afterAutospacing="1"/>
      <w:jc w:val="center"/>
    </w:pPr>
    <w:rPr>
      <w:kern w:val="0"/>
      <w:sz w:val="18"/>
      <w:szCs w:val="18"/>
    </w:rPr>
  </w:style>
  <w:style w:type="paragraph" w:customStyle="1" w:styleId="2280">
    <w:name w:val="预评价二"/>
    <w:basedOn w:val="1"/>
    <w:autoRedefine/>
    <w:qFormat/>
    <w:uiPriority w:val="0"/>
    <w:pPr>
      <w:spacing w:line="360" w:lineRule="auto"/>
      <w:ind w:right="-22" w:rightChars="-22"/>
      <w:jc w:val="left"/>
    </w:pPr>
    <w:rPr>
      <w:rFonts w:ascii="宋体" w:hAnsi="宋体" w:eastAsia="楷体_GB2312"/>
      <w:b/>
      <w:bCs/>
      <w:sz w:val="32"/>
    </w:rPr>
  </w:style>
  <w:style w:type="paragraph" w:customStyle="1" w:styleId="2281">
    <w:name w:val="样式 标题 3 + 段前: 6 磅 段后: 6 磅 行距: 多倍行距 1.73 字行"/>
    <w:basedOn w:val="5"/>
    <w:autoRedefine/>
    <w:qFormat/>
    <w:uiPriority w:val="0"/>
    <w:pPr>
      <w:tabs>
        <w:tab w:val="left" w:pos="1418"/>
      </w:tabs>
      <w:spacing w:before="120" w:after="120" w:line="415" w:lineRule="auto"/>
    </w:pPr>
    <w:rPr>
      <w:rFonts w:cs="宋体"/>
      <w:szCs w:val="20"/>
      <w:lang w:val="zh-CN"/>
    </w:rPr>
  </w:style>
  <w:style w:type="paragraph" w:customStyle="1" w:styleId="2282">
    <w:name w:val="样式 样式 标题 2 + 首行缩进:  0.62 字符 段前: 0 磅 段后: 0 磅 + 首行缩进:  4 字符2"/>
    <w:basedOn w:val="1"/>
    <w:autoRedefine/>
    <w:qFormat/>
    <w:uiPriority w:val="0"/>
    <w:pPr>
      <w:keepLines/>
      <w:spacing w:line="480" w:lineRule="exact"/>
      <w:ind w:firstLine="200" w:firstLineChars="200"/>
      <w:jc w:val="left"/>
      <w:outlineLvl w:val="1"/>
    </w:pPr>
    <w:rPr>
      <w:rFonts w:eastAsia="文鼎CS大宋" w:cs="宋体"/>
      <w:color w:val="000000"/>
      <w:sz w:val="28"/>
      <w:szCs w:val="20"/>
    </w:rPr>
  </w:style>
  <w:style w:type="paragraph" w:customStyle="1" w:styleId="2283">
    <w:name w:val="样式 标题 3 + 仿宋_GB2312"/>
    <w:basedOn w:val="5"/>
    <w:autoRedefine/>
    <w:qFormat/>
    <w:uiPriority w:val="0"/>
    <w:pPr>
      <w:tabs>
        <w:tab w:val="left" w:pos="1418"/>
      </w:tabs>
      <w:spacing w:before="0" w:after="0" w:line="360" w:lineRule="auto"/>
      <w:ind w:firstLine="200" w:firstLineChars="200"/>
    </w:pPr>
    <w:rPr>
      <w:rFonts w:ascii="仿宋_GB2312" w:hAnsi="仿宋_GB2312" w:eastAsia="仿宋_GB2312"/>
      <w:b w:val="0"/>
      <w:bCs w:val="0"/>
      <w:sz w:val="24"/>
      <w:szCs w:val="24"/>
      <w:lang w:val="zh-CN"/>
    </w:rPr>
  </w:style>
  <w:style w:type="paragraph" w:customStyle="1" w:styleId="2284">
    <w:name w:val="日期 Char Char"/>
    <w:basedOn w:val="1"/>
    <w:next w:val="1"/>
    <w:autoRedefine/>
    <w:qFormat/>
    <w:uiPriority w:val="0"/>
    <w:pPr>
      <w:spacing w:line="351" w:lineRule="atLeast"/>
      <w:ind w:firstLine="419"/>
    </w:pPr>
    <w:rPr>
      <w:rFonts w:hint="eastAsia" w:eastAsia="仿宋_GB2312"/>
      <w:sz w:val="31"/>
      <w:szCs w:val="20"/>
    </w:rPr>
  </w:style>
  <w:style w:type="paragraph" w:customStyle="1" w:styleId="2285">
    <w:name w:val="xl211"/>
    <w:basedOn w:val="1"/>
    <w:autoRedefine/>
    <w:qFormat/>
    <w:uiPriority w:val="0"/>
    <w:pPr>
      <w:widowControl/>
      <w:pBdr>
        <w:bottom w:val="single" w:color="auto" w:sz="12" w:space="0"/>
        <w:right w:val="single" w:color="auto" w:sz="8" w:space="0"/>
      </w:pBdr>
      <w:spacing w:before="100" w:beforeAutospacing="1" w:after="100" w:afterAutospacing="1"/>
      <w:jc w:val="center"/>
    </w:pPr>
    <w:rPr>
      <w:kern w:val="0"/>
      <w:sz w:val="18"/>
      <w:szCs w:val="18"/>
    </w:rPr>
  </w:style>
  <w:style w:type="paragraph" w:customStyle="1" w:styleId="2286">
    <w:name w:val="正文6"/>
    <w:autoRedefine/>
    <w:qFormat/>
    <w:uiPriority w:val="0"/>
    <w:pPr>
      <w:jc w:val="both"/>
    </w:pPr>
    <w:rPr>
      <w:rFonts w:ascii="Calibri" w:hAnsi="Calibri" w:eastAsia="宋体" w:cs="Calibri"/>
      <w:kern w:val="2"/>
      <w:sz w:val="21"/>
      <w:szCs w:val="21"/>
      <w:lang w:val="en-US" w:eastAsia="zh-CN" w:bidi="ar-SA"/>
    </w:rPr>
  </w:style>
  <w:style w:type="paragraph" w:customStyle="1" w:styleId="2287">
    <w:name w:val="样式 一级 + 段前: 1 行 段后: 1 行"/>
    <w:basedOn w:val="1"/>
    <w:autoRedefine/>
    <w:qFormat/>
    <w:uiPriority w:val="0"/>
    <w:pPr>
      <w:keepNext/>
      <w:tabs>
        <w:tab w:val="left" w:pos="0"/>
      </w:tabs>
      <w:spacing w:beforeLines="100" w:afterLines="100" w:line="500" w:lineRule="exact"/>
      <w:outlineLvl w:val="0"/>
    </w:pPr>
    <w:rPr>
      <w:rFonts w:eastAsia="黑体"/>
      <w:b/>
      <w:bCs/>
      <w:spacing w:val="12"/>
      <w:sz w:val="32"/>
      <w:szCs w:val="20"/>
    </w:rPr>
  </w:style>
  <w:style w:type="paragraph" w:customStyle="1" w:styleId="2288">
    <w:name w:val="款"/>
    <w:basedOn w:val="1"/>
    <w:autoRedefine/>
    <w:qFormat/>
    <w:uiPriority w:val="0"/>
    <w:pPr>
      <w:spacing w:line="360" w:lineRule="auto"/>
    </w:pPr>
    <w:rPr>
      <w:szCs w:val="20"/>
    </w:rPr>
  </w:style>
  <w:style w:type="paragraph" w:customStyle="1" w:styleId="2289">
    <w:name w:val="Char Char6 Char Char Char Char3"/>
    <w:basedOn w:val="1"/>
    <w:autoRedefine/>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2290">
    <w:name w:val="1 Char Char Char1 Char"/>
    <w:basedOn w:val="1"/>
    <w:autoRedefine/>
    <w:qFormat/>
    <w:uiPriority w:val="0"/>
    <w:rPr>
      <w:rFonts w:eastAsia="仿宋_GB2312"/>
      <w:color w:val="000000"/>
      <w:sz w:val="24"/>
      <w:szCs w:val="20"/>
    </w:rPr>
  </w:style>
  <w:style w:type="paragraph" w:customStyle="1" w:styleId="2291">
    <w:name w:val="列表段落4"/>
    <w:basedOn w:val="1"/>
    <w:autoRedefine/>
    <w:qFormat/>
    <w:uiPriority w:val="0"/>
    <w:pPr>
      <w:ind w:firstLine="420" w:firstLineChars="200"/>
    </w:pPr>
    <w:rPr>
      <w:rFonts w:ascii="Calibri" w:hAnsi="Calibri"/>
      <w:szCs w:val="22"/>
    </w:rPr>
  </w:style>
  <w:style w:type="paragraph" w:customStyle="1" w:styleId="2292">
    <w:name w:val="TOC Heading1"/>
    <w:basedOn w:val="3"/>
    <w:next w:val="1"/>
    <w:autoRedefine/>
    <w:qFormat/>
    <w:uiPriority w:val="0"/>
    <w:pPr>
      <w:keepLines/>
      <w:widowControl/>
      <w:tabs>
        <w:tab w:val="left" w:pos="425"/>
        <w:tab w:val="left" w:pos="780"/>
      </w:tabs>
      <w:overflowPunct/>
      <w:snapToGrid/>
      <w:spacing w:before="480" w:after="0" w:line="276" w:lineRule="auto"/>
      <w:ind w:left="780" w:hanging="360"/>
      <w:jc w:val="left"/>
      <w:outlineLvl w:val="9"/>
    </w:pPr>
    <w:rPr>
      <w:rFonts w:ascii="Cambria" w:hAnsi="Cambria" w:eastAsia="宋体"/>
      <w:color w:val="365F91"/>
      <w:kern w:val="0"/>
      <w:sz w:val="28"/>
      <w:szCs w:val="28"/>
      <w:lang w:val="zh-CN"/>
    </w:rPr>
  </w:style>
  <w:style w:type="paragraph" w:customStyle="1" w:styleId="2293">
    <w:name w:val="xl175"/>
    <w:basedOn w:val="1"/>
    <w:autoRedefine/>
    <w:qFormat/>
    <w:uiPriority w:val="0"/>
    <w:pPr>
      <w:widowControl/>
      <w:pBdr>
        <w:left w:val="single" w:color="auto" w:sz="12" w:space="0"/>
        <w:right w:val="single" w:color="auto" w:sz="4" w:space="0"/>
      </w:pBdr>
      <w:spacing w:before="100" w:beforeAutospacing="1" w:after="100" w:afterAutospacing="1"/>
      <w:jc w:val="left"/>
    </w:pPr>
    <w:rPr>
      <w:rFonts w:ascii="Arial Unicode MS" w:hAnsi="Arial Unicode MS"/>
      <w:kern w:val="0"/>
    </w:rPr>
  </w:style>
  <w:style w:type="paragraph" w:customStyle="1" w:styleId="2294">
    <w:name w:val="默认段落字体 Para Char Char Char1 Char Char Char Char Char Char Char Char Char Char Char Char"/>
    <w:basedOn w:val="1"/>
    <w:autoRedefine/>
    <w:qFormat/>
    <w:uiPriority w:val="0"/>
    <w:rPr>
      <w:sz w:val="24"/>
    </w:rPr>
  </w:style>
  <w:style w:type="paragraph" w:customStyle="1" w:styleId="2295">
    <w:name w:val="Char1 Char Char Char"/>
    <w:basedOn w:val="1"/>
    <w:autoRedefine/>
    <w:qFormat/>
    <w:uiPriority w:val="0"/>
    <w:rPr>
      <w:szCs w:val="21"/>
    </w:rPr>
  </w:style>
  <w:style w:type="paragraph" w:customStyle="1" w:styleId="2296">
    <w:name w:val="正文编号小标题次"/>
    <w:basedOn w:val="1"/>
    <w:autoRedefine/>
    <w:qFormat/>
    <w:uiPriority w:val="0"/>
    <w:pPr>
      <w:widowControl/>
      <w:kinsoku w:val="0"/>
      <w:autoSpaceDE w:val="0"/>
      <w:autoSpaceDN w:val="0"/>
      <w:adjustRightInd w:val="0"/>
      <w:snapToGrid w:val="0"/>
      <w:jc w:val="center"/>
    </w:pPr>
    <w:rPr>
      <w:rFonts w:ascii="宋体" w:hAnsi="宋体"/>
      <w:spacing w:val="10"/>
      <w:kern w:val="0"/>
      <w:sz w:val="24"/>
    </w:rPr>
  </w:style>
  <w:style w:type="paragraph" w:customStyle="1" w:styleId="2297">
    <w:name w:val="默认段落字体 Para"/>
    <w:basedOn w:val="1"/>
    <w:autoRedefine/>
    <w:qFormat/>
    <w:uiPriority w:val="0"/>
    <w:rPr>
      <w:sz w:val="24"/>
    </w:rPr>
  </w:style>
  <w:style w:type="paragraph" w:customStyle="1" w:styleId="2298">
    <w:name w:val="MTDisplayEquation"/>
    <w:basedOn w:val="950"/>
    <w:next w:val="1"/>
    <w:autoRedefine/>
    <w:qFormat/>
    <w:uiPriority w:val="0"/>
    <w:pPr>
      <w:tabs>
        <w:tab w:val="center" w:pos="4160"/>
        <w:tab w:val="right" w:pos="8300"/>
      </w:tabs>
    </w:pPr>
  </w:style>
  <w:style w:type="paragraph" w:customStyle="1" w:styleId="2299">
    <w:name w:val="环标3"/>
    <w:basedOn w:val="5"/>
    <w:link w:val="2300"/>
    <w:autoRedefine/>
    <w:qFormat/>
    <w:uiPriority w:val="0"/>
    <w:pPr>
      <w:keepNext w:val="0"/>
      <w:keepLines w:val="0"/>
      <w:adjustRightInd w:val="0"/>
      <w:spacing w:before="0" w:after="0" w:line="312" w:lineRule="atLeast"/>
      <w:jc w:val="left"/>
      <w:textAlignment w:val="baseline"/>
    </w:pPr>
    <w:rPr>
      <w:rFonts w:ascii="宋体" w:hAnsi="宋体"/>
      <w:b w:val="0"/>
      <w:bCs w:val="0"/>
      <w:kern w:val="0"/>
      <w:sz w:val="24"/>
      <w:szCs w:val="20"/>
      <w:lang w:val="zh-CN"/>
    </w:rPr>
  </w:style>
  <w:style w:type="character" w:customStyle="1" w:styleId="2300">
    <w:name w:val="环标3 Char Char"/>
    <w:link w:val="2299"/>
    <w:autoRedefine/>
    <w:qFormat/>
    <w:locked/>
    <w:uiPriority w:val="0"/>
    <w:rPr>
      <w:rFonts w:ascii="宋体" w:hAnsi="宋体"/>
      <w:sz w:val="24"/>
      <w:lang w:val="zh-CN"/>
    </w:rPr>
  </w:style>
  <w:style w:type="paragraph" w:customStyle="1" w:styleId="2301">
    <w:name w:val="图形"/>
    <w:basedOn w:val="1"/>
    <w:autoRedefine/>
    <w:qFormat/>
    <w:uiPriority w:val="0"/>
    <w:rPr>
      <w:sz w:val="18"/>
    </w:rPr>
  </w:style>
  <w:style w:type="paragraph" w:customStyle="1" w:styleId="2302">
    <w:name w:val="xl144"/>
    <w:basedOn w:val="1"/>
    <w:autoRedefine/>
    <w:qFormat/>
    <w:uiPriority w:val="0"/>
    <w:pPr>
      <w:widowControl/>
      <w:pBdr>
        <w:left w:val="single" w:color="auto" w:sz="4" w:space="0"/>
        <w:bottom w:val="single" w:color="auto" w:sz="8" w:space="0"/>
      </w:pBdr>
      <w:spacing w:before="100" w:beforeAutospacing="1" w:after="100" w:afterAutospacing="1"/>
      <w:jc w:val="center"/>
    </w:pPr>
    <w:rPr>
      <w:rFonts w:ascii="Arial Unicode MS" w:hAnsi="Arial Unicode MS"/>
      <w:kern w:val="0"/>
      <w:sz w:val="16"/>
      <w:szCs w:val="16"/>
    </w:rPr>
  </w:style>
  <w:style w:type="paragraph" w:customStyle="1" w:styleId="2303">
    <w:name w:val="示例"/>
    <w:next w:val="257"/>
    <w:autoRedefine/>
    <w:qFormat/>
    <w:uiPriority w:val="0"/>
    <w:pPr>
      <w:tabs>
        <w:tab w:val="left" w:pos="816"/>
      </w:tabs>
      <w:ind w:firstLine="419" w:firstLineChars="233"/>
      <w:jc w:val="both"/>
    </w:pPr>
    <w:rPr>
      <w:rFonts w:ascii="宋体" w:hAnsi="Times New Roman" w:eastAsia="宋体" w:cs="Times New Roman"/>
      <w:sz w:val="18"/>
      <w:lang w:val="en-US" w:eastAsia="zh-CN" w:bidi="ar-SA"/>
    </w:rPr>
  </w:style>
  <w:style w:type="paragraph" w:customStyle="1" w:styleId="2304">
    <w:name w:val="CM74"/>
    <w:basedOn w:val="1"/>
    <w:next w:val="1"/>
    <w:autoRedefine/>
    <w:qFormat/>
    <w:uiPriority w:val="0"/>
    <w:pPr>
      <w:autoSpaceDE w:val="0"/>
      <w:autoSpaceDN w:val="0"/>
      <w:adjustRightInd w:val="0"/>
      <w:spacing w:after="180"/>
      <w:jc w:val="left"/>
    </w:pPr>
    <w:rPr>
      <w:rFonts w:ascii="Sim Sun+ 2" w:eastAsia="Sim Sun+ 2" w:cs="Sim Sun+ 2"/>
      <w:kern w:val="0"/>
      <w:sz w:val="24"/>
    </w:rPr>
  </w:style>
  <w:style w:type="paragraph" w:customStyle="1" w:styleId="2305">
    <w:name w:val="淮安正文样式 小四 行距: 1.5 倍行距 首行缩进:  2 字符"/>
    <w:basedOn w:val="1"/>
    <w:autoRedefine/>
    <w:qFormat/>
    <w:uiPriority w:val="0"/>
    <w:pPr>
      <w:adjustRightInd w:val="0"/>
      <w:snapToGrid w:val="0"/>
      <w:ind w:firstLine="480" w:firstLineChars="200"/>
    </w:pPr>
    <w:rPr>
      <w:color w:val="0000FF"/>
      <w:kern w:val="0"/>
      <w:sz w:val="24"/>
      <w:szCs w:val="28"/>
    </w:rPr>
  </w:style>
  <w:style w:type="paragraph" w:customStyle="1" w:styleId="2306">
    <w:name w:val="Char Char Char Char Char Char Char Char Char Char Char Char Char Char Char"/>
    <w:basedOn w:val="1"/>
    <w:autoRedefine/>
    <w:qFormat/>
    <w:uiPriority w:val="0"/>
    <w:rPr>
      <w:sz w:val="24"/>
    </w:rPr>
  </w:style>
  <w:style w:type="paragraph" w:customStyle="1" w:styleId="2307">
    <w:name w:val="00000000000000"/>
    <w:basedOn w:val="4"/>
    <w:autoRedefine/>
    <w:qFormat/>
    <w:uiPriority w:val="0"/>
    <w:pPr>
      <w:keepNext w:val="0"/>
      <w:keepLines w:val="0"/>
      <w:tabs>
        <w:tab w:val="left" w:pos="1419"/>
      </w:tabs>
      <w:adjustRightInd w:val="0"/>
      <w:snapToGrid w:val="0"/>
      <w:spacing w:before="0" w:after="0" w:line="360" w:lineRule="auto"/>
      <w:ind w:firstLine="480" w:firstLineChars="200"/>
      <w:outlineLvl w:val="9"/>
    </w:pPr>
    <w:rPr>
      <w:rFonts w:ascii="宋体" w:hAnsi="宋体"/>
      <w:b w:val="0"/>
      <w:bCs w:val="0"/>
      <w:kern w:val="18"/>
      <w:sz w:val="24"/>
      <w:szCs w:val="20"/>
      <w:lang w:val="zh-CN"/>
    </w:rPr>
  </w:style>
  <w:style w:type="paragraph" w:customStyle="1" w:styleId="2308">
    <w:name w:val="节以下标题样式"/>
    <w:basedOn w:val="1896"/>
    <w:autoRedefine/>
    <w:qFormat/>
    <w:uiPriority w:val="0"/>
    <w:pPr>
      <w:ind w:firstLine="0"/>
    </w:pPr>
  </w:style>
  <w:style w:type="paragraph" w:customStyle="1" w:styleId="2309">
    <w:name w:val="菲薄1"/>
    <w:basedOn w:val="1"/>
    <w:autoRedefine/>
    <w:qFormat/>
    <w:uiPriority w:val="0"/>
    <w:pPr>
      <w:spacing w:line="720" w:lineRule="exact"/>
      <w:ind w:firstLine="570"/>
    </w:pPr>
    <w:rPr>
      <w:sz w:val="28"/>
      <w:szCs w:val="28"/>
    </w:rPr>
  </w:style>
  <w:style w:type="paragraph" w:customStyle="1" w:styleId="2310">
    <w:name w:val="Char Char Char1 Char Char Char Char Char Char Char3"/>
    <w:basedOn w:val="1"/>
    <w:autoRedefine/>
    <w:qFormat/>
    <w:uiPriority w:val="0"/>
    <w:rPr>
      <w:rFonts w:ascii="Tahoma" w:hAnsi="Tahoma"/>
      <w:sz w:val="24"/>
      <w:szCs w:val="20"/>
    </w:rPr>
  </w:style>
  <w:style w:type="paragraph" w:customStyle="1" w:styleId="2311">
    <w:name w:val="首页页眉样式"/>
    <w:basedOn w:val="1"/>
    <w:autoRedefine/>
    <w:qFormat/>
    <w:uiPriority w:val="0"/>
    <w:pPr>
      <w:snapToGrid w:val="0"/>
      <w:spacing w:line="240" w:lineRule="atLeast"/>
      <w:jc w:val="center"/>
    </w:pPr>
    <w:rPr>
      <w:rFonts w:ascii="宋体" w:hAnsi="宋体" w:eastAsia="仿宋_GB2312"/>
      <w:b/>
      <w:kern w:val="0"/>
      <w:szCs w:val="20"/>
    </w:rPr>
  </w:style>
  <w:style w:type="paragraph" w:customStyle="1" w:styleId="2312">
    <w:name w:val="奉读大示，心折殊深。"/>
    <w:autoRedefine/>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2313">
    <w:name w:val="word"/>
    <w:basedOn w:val="1"/>
    <w:autoRedefine/>
    <w:qFormat/>
    <w:uiPriority w:val="0"/>
    <w:pPr>
      <w:widowControl/>
      <w:spacing w:before="100" w:beforeAutospacing="1" w:after="100" w:afterAutospacing="1" w:line="360" w:lineRule="auto"/>
      <w:jc w:val="left"/>
    </w:pPr>
    <w:rPr>
      <w:rFonts w:ascii="宋体" w:hAnsi="宋体" w:cs="宋体"/>
      <w:kern w:val="0"/>
      <w:sz w:val="18"/>
    </w:rPr>
  </w:style>
  <w:style w:type="paragraph" w:customStyle="1" w:styleId="2314">
    <w:name w:val="正文样式100"/>
    <w:basedOn w:val="1"/>
    <w:autoRedefine/>
    <w:qFormat/>
    <w:uiPriority w:val="0"/>
    <w:pPr>
      <w:adjustRightInd w:val="0"/>
      <w:spacing w:line="360" w:lineRule="auto"/>
      <w:ind w:firstLine="510"/>
      <w:jc w:val="left"/>
      <w:textAlignment w:val="baseline"/>
    </w:pPr>
    <w:rPr>
      <w:sz w:val="24"/>
    </w:rPr>
  </w:style>
  <w:style w:type="paragraph" w:customStyle="1" w:styleId="2315">
    <w:name w:val="样式 行距: 最小值 25 磅"/>
    <w:basedOn w:val="1"/>
    <w:autoRedefine/>
    <w:qFormat/>
    <w:uiPriority w:val="0"/>
    <w:pPr>
      <w:tabs>
        <w:tab w:val="left" w:pos="425"/>
      </w:tabs>
      <w:spacing w:line="500" w:lineRule="atLeast"/>
      <w:ind w:left="425" w:hanging="425"/>
    </w:pPr>
    <w:rPr>
      <w:rFonts w:cs="宋体"/>
      <w:sz w:val="28"/>
      <w:szCs w:val="20"/>
    </w:rPr>
  </w:style>
  <w:style w:type="paragraph" w:customStyle="1" w:styleId="2316">
    <w:name w:val="标题3  2.6.1"/>
    <w:basedOn w:val="4"/>
    <w:autoRedefine/>
    <w:qFormat/>
    <w:uiPriority w:val="0"/>
    <w:pPr>
      <w:tabs>
        <w:tab w:val="left" w:pos="1419"/>
      </w:tabs>
      <w:spacing w:beforeLines="50" w:after="0" w:line="360" w:lineRule="auto"/>
    </w:pPr>
    <w:rPr>
      <w:rFonts w:ascii="Times New Roman" w:hAnsi="Times New Roman" w:eastAsia="黑体" w:cs="宋体"/>
      <w:sz w:val="28"/>
      <w:szCs w:val="20"/>
      <w:lang w:val="zh-CN"/>
    </w:rPr>
  </w:style>
  <w:style w:type="paragraph" w:customStyle="1" w:styleId="2317">
    <w:name w:val="普通(网站)3"/>
    <w:basedOn w:val="1"/>
    <w:autoRedefine/>
    <w:qFormat/>
    <w:uiPriority w:val="0"/>
    <w:pPr>
      <w:widowControl/>
      <w:spacing w:before="100" w:beforeAutospacing="1" w:after="100" w:afterAutospacing="1"/>
      <w:jc w:val="left"/>
    </w:pPr>
    <w:rPr>
      <w:rFonts w:ascii="宋体" w:hAnsi="宋体"/>
      <w:kern w:val="0"/>
      <w:sz w:val="18"/>
      <w:szCs w:val="18"/>
    </w:rPr>
  </w:style>
  <w:style w:type="paragraph" w:customStyle="1" w:styleId="2318">
    <w:name w:val="xl168"/>
    <w:basedOn w:val="1"/>
    <w:autoRedefine/>
    <w:qFormat/>
    <w:uiPriority w:val="0"/>
    <w:pPr>
      <w:widowControl/>
      <w:pBdr>
        <w:bottom w:val="single" w:color="auto" w:sz="12" w:space="0"/>
        <w:right w:val="single" w:color="auto" w:sz="4" w:space="0"/>
      </w:pBdr>
      <w:spacing w:before="100" w:beforeAutospacing="1" w:after="100" w:afterAutospacing="1"/>
      <w:jc w:val="center"/>
    </w:pPr>
    <w:rPr>
      <w:rFonts w:ascii="Arial Unicode MS" w:hAnsi="Arial Unicode MS"/>
      <w:kern w:val="0"/>
    </w:rPr>
  </w:style>
  <w:style w:type="paragraph" w:customStyle="1" w:styleId="2319">
    <w:name w:val="xl79"/>
    <w:basedOn w:val="1"/>
    <w:autoRedefine/>
    <w:qFormat/>
    <w:uiPriority w:val="0"/>
    <w:pPr>
      <w:widowControl/>
      <w:pBdr>
        <w:bottom w:val="single" w:color="auto" w:sz="12" w:space="0"/>
      </w:pBdr>
      <w:spacing w:before="100" w:beforeAutospacing="1" w:after="100" w:afterAutospacing="1"/>
      <w:jc w:val="left"/>
    </w:pPr>
    <w:rPr>
      <w:kern w:val="0"/>
      <w:sz w:val="12"/>
      <w:szCs w:val="12"/>
    </w:rPr>
  </w:style>
  <w:style w:type="paragraph" w:customStyle="1" w:styleId="2320">
    <w:name w:val="2 Char Char Char Char Char Char Char"/>
    <w:basedOn w:val="1"/>
    <w:autoRedefine/>
    <w:qFormat/>
    <w:uiPriority w:val="0"/>
  </w:style>
  <w:style w:type="paragraph" w:customStyle="1" w:styleId="2321">
    <w:name w:val="xl97"/>
    <w:basedOn w:val="1"/>
    <w:autoRedefine/>
    <w:qFormat/>
    <w:uiPriority w:val="0"/>
    <w:pPr>
      <w:widowControl/>
      <w:pBdr>
        <w:top w:val="single" w:color="auto" w:sz="12" w:space="0"/>
        <w:right w:val="single" w:color="auto" w:sz="12" w:space="0"/>
      </w:pBdr>
      <w:spacing w:before="100" w:beforeAutospacing="1" w:after="100" w:afterAutospacing="1"/>
      <w:jc w:val="center"/>
    </w:pPr>
    <w:rPr>
      <w:rFonts w:ascii="Arial Unicode MS" w:hAnsi="Arial Unicode MS"/>
      <w:kern w:val="0"/>
      <w:sz w:val="12"/>
      <w:szCs w:val="12"/>
    </w:rPr>
  </w:style>
  <w:style w:type="paragraph" w:customStyle="1" w:styleId="2322">
    <w:name w:val="Content"/>
    <w:basedOn w:val="1"/>
    <w:autoRedefine/>
    <w:qFormat/>
    <w:uiPriority w:val="0"/>
    <w:pPr>
      <w:widowControl/>
      <w:tabs>
        <w:tab w:val="left" w:pos="9480"/>
        <w:tab w:val="left" w:pos="9600"/>
      </w:tabs>
      <w:spacing w:before="120" w:after="120" w:line="240" w:lineRule="atLeast"/>
      <w:jc w:val="center"/>
    </w:pPr>
    <w:rPr>
      <w:rFonts w:ascii="Arial" w:hAnsi="Arial"/>
      <w:b/>
      <w:kern w:val="0"/>
      <w:sz w:val="28"/>
      <w:szCs w:val="20"/>
      <w:lang w:val="fr-FR"/>
    </w:rPr>
  </w:style>
  <w:style w:type="paragraph" w:customStyle="1" w:styleId="2323">
    <w:name w:val="五号表格"/>
    <w:next w:val="1"/>
    <w:autoRedefine/>
    <w:qFormat/>
    <w:uiPriority w:val="0"/>
    <w:rPr>
      <w:rFonts w:ascii="宋体" w:hAnsi="Times New Roman" w:eastAsia="宋体" w:cs="Times New Roman"/>
      <w:sz w:val="21"/>
      <w:lang w:val="en-US" w:eastAsia="zh-CN" w:bidi="ar-SA"/>
    </w:rPr>
  </w:style>
  <w:style w:type="paragraph" w:customStyle="1" w:styleId="2324">
    <w:name w:val="表文_M5"/>
    <w:autoRedefine/>
    <w:qFormat/>
    <w:uiPriority w:val="0"/>
    <w:pPr>
      <w:widowControl w:val="0"/>
      <w:tabs>
        <w:tab w:val="left" w:pos="1260"/>
      </w:tabs>
      <w:adjustRightInd w:val="0"/>
      <w:snapToGrid w:val="0"/>
      <w:jc w:val="center"/>
    </w:pPr>
    <w:rPr>
      <w:rFonts w:ascii="Garamond" w:hAnsi="Garamond" w:eastAsia="楷体_GB2312" w:cs="Times New Roman"/>
      <w:spacing w:val="-8"/>
      <w:kern w:val="2"/>
      <w:sz w:val="24"/>
      <w:szCs w:val="24"/>
      <w:lang w:val="en-US" w:eastAsia="zh-CN" w:bidi="ar-SA"/>
    </w:rPr>
  </w:style>
  <w:style w:type="paragraph" w:customStyle="1" w:styleId="2325">
    <w:name w:val="序列"/>
    <w:autoRedefine/>
    <w:qFormat/>
    <w:uiPriority w:val="0"/>
    <w:pPr>
      <w:widowControl w:val="0"/>
    </w:pPr>
    <w:rPr>
      <w:rFonts w:ascii="Times New Roman" w:hAnsi="Times New Roman" w:eastAsia="宋体" w:cs="Times New Roman"/>
      <w:sz w:val="28"/>
      <w:lang w:val="en-US" w:eastAsia="zh-CN" w:bidi="ar-SA"/>
    </w:rPr>
  </w:style>
  <w:style w:type="paragraph" w:customStyle="1" w:styleId="2326">
    <w:name w:val="Char Char Char Char Char Char Char Char Char Char Char Char Char Char Char Char Char"/>
    <w:basedOn w:val="1"/>
    <w:autoRedefine/>
    <w:qFormat/>
    <w:uiPriority w:val="0"/>
    <w:rPr>
      <w:sz w:val="24"/>
    </w:rPr>
  </w:style>
  <w:style w:type="paragraph" w:customStyle="1" w:styleId="2327">
    <w:name w:val="xl146"/>
    <w:basedOn w:val="1"/>
    <w:autoRedefine/>
    <w:qFormat/>
    <w:uiPriority w:val="0"/>
    <w:pPr>
      <w:widowControl/>
      <w:spacing w:before="100" w:beforeAutospacing="1" w:after="100" w:afterAutospacing="1"/>
      <w:jc w:val="left"/>
    </w:pPr>
    <w:rPr>
      <w:rFonts w:ascii="Arial Unicode MS" w:hAnsi="Arial Unicode MS"/>
      <w:kern w:val="0"/>
      <w:sz w:val="16"/>
      <w:szCs w:val="16"/>
    </w:rPr>
  </w:style>
  <w:style w:type="paragraph" w:customStyle="1" w:styleId="2328">
    <w:name w:val="15 style13"/>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2329">
    <w:name w:val="Style1"/>
    <w:basedOn w:val="3"/>
    <w:autoRedefine/>
    <w:qFormat/>
    <w:uiPriority w:val="0"/>
    <w:pPr>
      <w:keepLines/>
      <w:tabs>
        <w:tab w:val="left" w:pos="425"/>
        <w:tab w:val="left" w:pos="480"/>
      </w:tabs>
      <w:overflowPunct/>
      <w:adjustRightInd w:val="0"/>
      <w:snapToGrid/>
      <w:spacing w:before="340" w:after="120" w:line="240" w:lineRule="auto"/>
      <w:ind w:left="120" w:firstLine="0"/>
      <w:jc w:val="left"/>
      <w:textAlignment w:val="baseline"/>
    </w:pPr>
    <w:rPr>
      <w:rFonts w:eastAsia="宋体"/>
      <w:bCs w:val="0"/>
      <w:color w:val="auto"/>
      <w:sz w:val="44"/>
      <w:szCs w:val="20"/>
      <w:lang w:val="zh-CN"/>
    </w:rPr>
  </w:style>
  <w:style w:type="paragraph" w:customStyle="1" w:styleId="2330">
    <w:name w:val="Char Char Char Char Char Char Char Char1 Char Char Char Char Char Char Char Char Char Char Char Char1 Char"/>
    <w:basedOn w:val="1"/>
    <w:autoRedefine/>
    <w:qFormat/>
    <w:uiPriority w:val="0"/>
    <w:rPr>
      <w:sz w:val="24"/>
    </w:rPr>
  </w:style>
  <w:style w:type="paragraph" w:customStyle="1" w:styleId="2331">
    <w:name w:val="样式 标题 2节第一章 标题 2Heading 2 HiddenHeading 2 CCBSheading 2H2...1"/>
    <w:basedOn w:val="4"/>
    <w:autoRedefine/>
    <w:qFormat/>
    <w:uiPriority w:val="0"/>
    <w:pPr>
      <w:tabs>
        <w:tab w:val="left" w:pos="1419"/>
      </w:tabs>
      <w:spacing w:before="120" w:after="120" w:line="500" w:lineRule="exact"/>
    </w:pPr>
    <w:rPr>
      <w:rFonts w:ascii="宋体" w:hAnsi="宋体"/>
      <w:bCs w:val="0"/>
      <w:sz w:val="24"/>
      <w:szCs w:val="20"/>
      <w:lang w:val="zh-CN"/>
    </w:rPr>
  </w:style>
  <w:style w:type="paragraph" w:customStyle="1" w:styleId="2332">
    <w:name w:val="报告1"/>
    <w:basedOn w:val="315"/>
    <w:autoRedefine/>
    <w:qFormat/>
    <w:uiPriority w:val="0"/>
    <w:pPr>
      <w:textAlignment w:val="baseline"/>
    </w:pPr>
    <w:rPr>
      <w:rFonts w:ascii="Times New Roman" w:hAnsi="Times New Roman"/>
      <w:kern w:val="24"/>
      <w:lang w:val="zh-CN"/>
    </w:rPr>
  </w:style>
  <w:style w:type="paragraph" w:customStyle="1" w:styleId="2333">
    <w:name w:val="Char Char Char Char Char Char Char Char Char Char Char Char Char Char Char Char Char Char"/>
    <w:basedOn w:val="1"/>
    <w:autoRedefine/>
    <w:qFormat/>
    <w:uiPriority w:val="0"/>
    <w:rPr>
      <w:sz w:val="24"/>
    </w:rPr>
  </w:style>
  <w:style w:type="paragraph" w:customStyle="1" w:styleId="2334">
    <w:name w:val="条3"/>
    <w:basedOn w:val="1"/>
    <w:next w:val="1"/>
    <w:autoRedefine/>
    <w:qFormat/>
    <w:uiPriority w:val="0"/>
    <w:pPr>
      <w:tabs>
        <w:tab w:val="left" w:pos="1440"/>
      </w:tabs>
      <w:outlineLvl w:val="1"/>
    </w:pPr>
    <w:rPr>
      <w:rFonts w:hint="eastAsia" w:ascii="黑体" w:eastAsia="黑体"/>
      <w:kern w:val="21"/>
      <w:szCs w:val="20"/>
    </w:rPr>
  </w:style>
  <w:style w:type="paragraph" w:customStyle="1" w:styleId="2335">
    <w:name w:val="食疗标题2"/>
    <w:basedOn w:val="4"/>
    <w:autoRedefine/>
    <w:qFormat/>
    <w:uiPriority w:val="0"/>
    <w:pPr>
      <w:tabs>
        <w:tab w:val="left" w:pos="1419"/>
      </w:tabs>
      <w:overflowPunct w:val="0"/>
      <w:spacing w:before="360" w:after="0" w:line="312" w:lineRule="atLeast"/>
    </w:pPr>
    <w:rPr>
      <w:rFonts w:ascii="仿宋_GB2312" w:hAnsi="宋体" w:eastAsia="黑体"/>
      <w:b w:val="0"/>
      <w:color w:val="008000"/>
      <w:kern w:val="0"/>
      <w:sz w:val="30"/>
      <w:szCs w:val="24"/>
      <w:lang w:val="zh-CN"/>
    </w:rPr>
  </w:style>
  <w:style w:type="paragraph" w:customStyle="1" w:styleId="2336">
    <w:name w:val="流程图"/>
    <w:basedOn w:val="1"/>
    <w:autoRedefine/>
    <w:qFormat/>
    <w:uiPriority w:val="0"/>
    <w:rPr>
      <w:szCs w:val="18"/>
    </w:rPr>
  </w:style>
  <w:style w:type="paragraph" w:customStyle="1" w:styleId="2337">
    <w:name w:val="样式-1-"/>
    <w:basedOn w:val="51"/>
    <w:autoRedefine/>
    <w:qFormat/>
    <w:uiPriority w:val="0"/>
    <w:pPr>
      <w:framePr w:wrap="around" w:vAnchor="text" w:hAnchor="margin" w:xAlign="center" w:y="1"/>
      <w:widowControl/>
    </w:pPr>
    <w:rPr>
      <w:rFonts w:ascii="仿宋_GB2312" w:hAnsi="Courier New"/>
      <w:sz w:val="24"/>
      <w:lang w:val="zh-CN"/>
    </w:rPr>
  </w:style>
  <w:style w:type="paragraph" w:customStyle="1" w:styleId="2338">
    <w:name w:val="正文小四 标准"/>
    <w:basedOn w:val="1"/>
    <w:autoRedefine/>
    <w:qFormat/>
    <w:uiPriority w:val="0"/>
    <w:pPr>
      <w:spacing w:beforeLines="50" w:afterLines="50" w:line="360" w:lineRule="auto"/>
      <w:ind w:firstLine="480" w:firstLineChars="200"/>
    </w:pPr>
    <w:rPr>
      <w:sz w:val="24"/>
      <w:szCs w:val="20"/>
    </w:rPr>
  </w:style>
  <w:style w:type="paragraph" w:customStyle="1" w:styleId="2339">
    <w:name w:val="xl60"/>
    <w:basedOn w:val="1"/>
    <w:autoRedefine/>
    <w:qFormat/>
    <w:uiPriority w:val="0"/>
    <w:pPr>
      <w:widowControl/>
      <w:spacing w:before="100" w:beforeAutospacing="1" w:after="100" w:afterAutospacing="1"/>
      <w:jc w:val="center"/>
    </w:pPr>
    <w:rPr>
      <w:rFonts w:ascii="Arial Unicode MS" w:hAnsi="Arial Unicode MS"/>
      <w:kern w:val="0"/>
      <w:sz w:val="12"/>
      <w:szCs w:val="12"/>
    </w:rPr>
  </w:style>
  <w:style w:type="paragraph" w:customStyle="1" w:styleId="2340">
    <w:name w:val="默认段落字体 Para Char Char Char Char Char Char Char Char Char Char Char Char Char"/>
    <w:basedOn w:val="1"/>
    <w:autoRedefine/>
    <w:qFormat/>
    <w:uiPriority w:val="0"/>
    <w:rPr>
      <w:sz w:val="24"/>
    </w:rPr>
  </w:style>
  <w:style w:type="paragraph" w:customStyle="1" w:styleId="2341">
    <w:name w:val="Normal + 14 pt"/>
    <w:basedOn w:val="1"/>
    <w:autoRedefine/>
    <w:qFormat/>
    <w:uiPriority w:val="0"/>
    <w:pPr>
      <w:snapToGrid w:val="0"/>
      <w:spacing w:line="360" w:lineRule="auto"/>
      <w:ind w:firstLine="560" w:firstLineChars="200"/>
      <w:jc w:val="left"/>
      <w:outlineLvl w:val="0"/>
    </w:pPr>
    <w:rPr>
      <w:sz w:val="28"/>
      <w:szCs w:val="28"/>
    </w:rPr>
  </w:style>
  <w:style w:type="paragraph" w:customStyle="1" w:styleId="2342">
    <w:name w:val="样式 标题 3标题 3 Char Char标题 3 Char1.1.1条标3条标题1.1.1Char1 Char..."/>
    <w:basedOn w:val="5"/>
    <w:autoRedefine/>
    <w:qFormat/>
    <w:uiPriority w:val="0"/>
    <w:pPr>
      <w:keepLines w:val="0"/>
      <w:spacing w:before="0" w:after="0" w:line="500" w:lineRule="atLeast"/>
      <w:ind w:left="735"/>
    </w:pPr>
    <w:rPr>
      <w:rFonts w:cs="宋体"/>
      <w:b w:val="0"/>
      <w:bCs w:val="0"/>
      <w:kern w:val="0"/>
      <w:sz w:val="28"/>
      <w:szCs w:val="20"/>
      <w:lang w:val="zh-CN"/>
    </w:rPr>
  </w:style>
  <w:style w:type="paragraph" w:customStyle="1" w:styleId="2343">
    <w:name w:val="font23"/>
    <w:basedOn w:val="1"/>
    <w:autoRedefine/>
    <w:qFormat/>
    <w:uiPriority w:val="0"/>
    <w:pPr>
      <w:widowControl/>
      <w:spacing w:before="100" w:beforeAutospacing="1" w:after="100" w:afterAutospacing="1"/>
      <w:jc w:val="left"/>
    </w:pPr>
    <w:rPr>
      <w:color w:val="339966"/>
      <w:kern w:val="0"/>
      <w:sz w:val="18"/>
      <w:szCs w:val="18"/>
    </w:rPr>
  </w:style>
  <w:style w:type="paragraph" w:customStyle="1" w:styleId="2344">
    <w:name w:val="列出段落1"/>
    <w:basedOn w:val="1"/>
    <w:autoRedefine/>
    <w:qFormat/>
    <w:uiPriority w:val="34"/>
    <w:pPr>
      <w:ind w:firstLine="420" w:firstLineChars="200"/>
    </w:pPr>
    <w:rPr>
      <w:rFonts w:ascii="Calibri" w:hAnsi="Calibri"/>
      <w:szCs w:val="22"/>
    </w:rPr>
  </w:style>
  <w:style w:type="paragraph" w:customStyle="1" w:styleId="2345">
    <w:name w:val="222"/>
    <w:basedOn w:val="1"/>
    <w:autoRedefine/>
    <w:qFormat/>
    <w:uiPriority w:val="0"/>
    <w:pPr>
      <w:spacing w:beforeLines="50" w:after="160"/>
      <w:jc w:val="center"/>
    </w:pPr>
    <w:rPr>
      <w:rFonts w:ascii="宋体" w:hAnsi="宋体"/>
      <w:b/>
      <w:bCs/>
      <w:sz w:val="44"/>
      <w:szCs w:val="36"/>
    </w:rPr>
  </w:style>
  <w:style w:type="paragraph" w:customStyle="1" w:styleId="2346">
    <w:name w:val="s16qcsl240slmult0nowidct"/>
    <w:autoRedefine/>
    <w:qFormat/>
    <w:uiPriority w:val="0"/>
    <w:pPr>
      <w:widowControl w:val="0"/>
      <w:adjustRightInd w:val="0"/>
      <w:textAlignment w:val="baseline"/>
    </w:pPr>
    <w:rPr>
      <w:rFonts w:ascii="Times New Roman" w:hAnsi="Times New Roman" w:eastAsia="宋体" w:cs="Times New Roman"/>
      <w:sz w:val="21"/>
      <w:lang w:val="en-US" w:eastAsia="zh-CN" w:bidi="ar-SA"/>
    </w:rPr>
  </w:style>
  <w:style w:type="paragraph" w:customStyle="1" w:styleId="2347">
    <w:name w:val="style39"/>
    <w:basedOn w:val="1"/>
    <w:autoRedefine/>
    <w:qFormat/>
    <w:uiPriority w:val="0"/>
    <w:pPr>
      <w:widowControl/>
      <w:spacing w:before="100" w:beforeAutospacing="1" w:after="100" w:afterAutospacing="1"/>
      <w:jc w:val="left"/>
    </w:pPr>
    <w:rPr>
      <w:rFonts w:ascii="宋体" w:hAnsi="宋体"/>
      <w:kern w:val="0"/>
      <w:sz w:val="18"/>
      <w:szCs w:val="18"/>
    </w:rPr>
  </w:style>
  <w:style w:type="paragraph" w:customStyle="1" w:styleId="2348">
    <w:name w:val="Char Char Char Char Char Char Char Char Char Char Char1 Char Char Char Char Char Char1 Char"/>
    <w:basedOn w:val="1"/>
    <w:autoRedefine/>
    <w:qFormat/>
    <w:uiPriority w:val="0"/>
    <w:rPr>
      <w:sz w:val="24"/>
    </w:rPr>
  </w:style>
  <w:style w:type="paragraph" w:customStyle="1" w:styleId="2349">
    <w:name w:val="Char Char Char Char Char Char Char Char Char Char Char Char Char3"/>
    <w:basedOn w:val="1"/>
    <w:autoRedefine/>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2350">
    <w:name w:val="font13"/>
    <w:basedOn w:val="1"/>
    <w:autoRedefine/>
    <w:qFormat/>
    <w:uiPriority w:val="0"/>
    <w:pPr>
      <w:widowControl/>
      <w:spacing w:before="100" w:beforeAutospacing="1" w:after="100" w:afterAutospacing="1"/>
      <w:jc w:val="left"/>
    </w:pPr>
    <w:rPr>
      <w:rFonts w:eastAsia="Arial Unicode MS"/>
      <w:kern w:val="0"/>
      <w:sz w:val="24"/>
    </w:rPr>
  </w:style>
  <w:style w:type="paragraph" w:customStyle="1" w:styleId="2351">
    <w:name w:val="1"/>
    <w:basedOn w:val="1"/>
    <w:link w:val="2352"/>
    <w:autoRedefine/>
    <w:qFormat/>
    <w:uiPriority w:val="0"/>
    <w:pPr>
      <w:widowControl/>
      <w:spacing w:before="100" w:beforeAutospacing="1" w:after="100" w:afterAutospacing="1"/>
      <w:jc w:val="left"/>
    </w:pPr>
    <w:rPr>
      <w:rFonts w:ascii="宋体" w:hAnsi="宋体"/>
      <w:kern w:val="0"/>
      <w:sz w:val="18"/>
      <w:szCs w:val="18"/>
      <w:lang w:val="zh-CN"/>
    </w:rPr>
  </w:style>
  <w:style w:type="character" w:customStyle="1" w:styleId="2352">
    <w:name w:val="1 Char Char"/>
    <w:link w:val="2351"/>
    <w:autoRedefine/>
    <w:qFormat/>
    <w:locked/>
    <w:uiPriority w:val="0"/>
    <w:rPr>
      <w:rFonts w:ascii="宋体" w:hAnsi="宋体"/>
      <w:sz w:val="18"/>
      <w:szCs w:val="18"/>
      <w:lang w:val="zh-CN"/>
    </w:rPr>
  </w:style>
  <w:style w:type="paragraph" w:customStyle="1" w:styleId="2353">
    <w:name w:val="Char Char Char Char6"/>
    <w:basedOn w:val="1"/>
    <w:autoRedefine/>
    <w:qFormat/>
    <w:uiPriority w:val="0"/>
    <w:pPr>
      <w:tabs>
        <w:tab w:val="left" w:pos="720"/>
        <w:tab w:val="left" w:pos="916"/>
      </w:tabs>
    </w:pPr>
    <w:rPr>
      <w:sz w:val="24"/>
    </w:rPr>
  </w:style>
  <w:style w:type="paragraph" w:customStyle="1" w:styleId="2354">
    <w:name w:val="样式 样式 表格标题 + 段前: 0.5 行 + 段前: 0.5 行1"/>
    <w:basedOn w:val="1"/>
    <w:autoRedefine/>
    <w:qFormat/>
    <w:uiPriority w:val="0"/>
    <w:pPr>
      <w:autoSpaceDE w:val="0"/>
      <w:autoSpaceDN w:val="0"/>
      <w:adjustRightInd w:val="0"/>
      <w:spacing w:beforeLines="50" w:line="400" w:lineRule="exact"/>
      <w:jc w:val="center"/>
    </w:pPr>
    <w:rPr>
      <w:rFonts w:ascii="黑体" w:eastAsia="黑体" w:cs="宋体"/>
      <w:sz w:val="24"/>
      <w:szCs w:val="20"/>
      <w:lang w:val="zh-CN"/>
    </w:rPr>
  </w:style>
  <w:style w:type="paragraph" w:customStyle="1" w:styleId="2355">
    <w:name w:val="xl106"/>
    <w:basedOn w:val="1"/>
    <w:autoRedefine/>
    <w:qFormat/>
    <w:uiPriority w:val="0"/>
    <w:pPr>
      <w:widowControl/>
      <w:pBdr>
        <w:left w:val="single" w:color="auto" w:sz="12" w:space="0"/>
      </w:pBdr>
      <w:spacing w:before="100" w:beforeAutospacing="1" w:after="100" w:afterAutospacing="1"/>
      <w:jc w:val="center"/>
    </w:pPr>
    <w:rPr>
      <w:rFonts w:ascii="Arial Unicode MS" w:hAnsi="Arial Unicode MS"/>
      <w:kern w:val="0"/>
      <w:sz w:val="12"/>
      <w:szCs w:val="12"/>
    </w:rPr>
  </w:style>
  <w:style w:type="paragraph" w:customStyle="1" w:styleId="2356">
    <w:name w:val="表号"/>
    <w:basedOn w:val="1"/>
    <w:autoRedefine/>
    <w:qFormat/>
    <w:uiPriority w:val="0"/>
    <w:rPr>
      <w:szCs w:val="20"/>
    </w:rPr>
  </w:style>
  <w:style w:type="paragraph" w:customStyle="1" w:styleId="2357">
    <w:name w:val="main"/>
    <w:basedOn w:val="1"/>
    <w:autoRedefine/>
    <w:qFormat/>
    <w:uiPriority w:val="0"/>
    <w:pPr>
      <w:widowControl/>
      <w:spacing w:before="100" w:beforeAutospacing="1" w:after="100" w:afterAutospacing="1"/>
      <w:jc w:val="left"/>
    </w:pPr>
    <w:rPr>
      <w:rFonts w:ascii="宋体" w:hAnsi="宋体" w:cs="宋体"/>
      <w:color w:val="000000"/>
      <w:kern w:val="0"/>
      <w:sz w:val="24"/>
    </w:rPr>
  </w:style>
  <w:style w:type="paragraph" w:customStyle="1" w:styleId="2358">
    <w:name w:val="xl206"/>
    <w:basedOn w:val="1"/>
    <w:autoRedefine/>
    <w:qFormat/>
    <w:uiPriority w:val="0"/>
    <w:pPr>
      <w:widowControl/>
      <w:pBdr>
        <w:right w:val="single" w:color="auto" w:sz="8" w:space="0"/>
      </w:pBdr>
      <w:spacing w:before="100" w:beforeAutospacing="1" w:after="100" w:afterAutospacing="1"/>
      <w:jc w:val="center"/>
    </w:pPr>
    <w:rPr>
      <w:kern w:val="0"/>
      <w:sz w:val="18"/>
      <w:szCs w:val="18"/>
    </w:rPr>
  </w:style>
  <w:style w:type="paragraph" w:customStyle="1" w:styleId="2359">
    <w:name w:val="图框"/>
    <w:basedOn w:val="1"/>
    <w:autoRedefine/>
    <w:qFormat/>
    <w:uiPriority w:val="0"/>
    <w:pPr>
      <w:jc w:val="center"/>
    </w:pPr>
    <w:rPr>
      <w:szCs w:val="15"/>
    </w:rPr>
  </w:style>
  <w:style w:type="paragraph" w:customStyle="1" w:styleId="2360">
    <w:name w:val="无间隔21"/>
    <w:autoRedefine/>
    <w:qFormat/>
    <w:uiPriority w:val="0"/>
    <w:pPr>
      <w:widowControl w:val="0"/>
      <w:jc w:val="both"/>
    </w:pPr>
    <w:rPr>
      <w:rFonts w:ascii="Arial" w:hAnsi="Arial" w:eastAsia="仿宋" w:cs="Times New Roman"/>
      <w:w w:val="90"/>
      <w:kern w:val="2"/>
      <w:sz w:val="24"/>
      <w:szCs w:val="24"/>
      <w:lang w:val="en-US" w:eastAsia="zh-CN" w:bidi="ar-SA"/>
    </w:rPr>
  </w:style>
  <w:style w:type="paragraph" w:customStyle="1" w:styleId="2361">
    <w:name w:val="默认段落字体 Para Char Char Char Char Char Char Char Char Char Char Char Char Char1 Char Char Char Char Char Char"/>
    <w:basedOn w:val="1"/>
    <w:autoRedefine/>
    <w:qFormat/>
    <w:uiPriority w:val="0"/>
    <w:rPr>
      <w:sz w:val="24"/>
    </w:rPr>
  </w:style>
  <w:style w:type="paragraph" w:customStyle="1" w:styleId="2362">
    <w:name w:val="Char Char Char Char Char Char Char Char Char1 Char Char Char Char Char Char Char Char1 Char Char Char"/>
    <w:basedOn w:val="1"/>
    <w:autoRedefine/>
    <w:qFormat/>
    <w:uiPriority w:val="0"/>
    <w:pPr>
      <w:snapToGrid w:val="0"/>
      <w:spacing w:line="360" w:lineRule="auto"/>
      <w:ind w:firstLine="200" w:firstLineChars="200"/>
    </w:pPr>
    <w:rPr>
      <w:rFonts w:eastAsia="仿宋_GB2312"/>
      <w:sz w:val="24"/>
    </w:rPr>
  </w:style>
  <w:style w:type="paragraph" w:customStyle="1" w:styleId="2363">
    <w:name w:val="正文14"/>
    <w:autoRedefine/>
    <w:qFormat/>
    <w:uiPriority w:val="0"/>
    <w:pPr>
      <w:jc w:val="both"/>
    </w:pPr>
    <w:rPr>
      <w:rFonts w:ascii="Times New Roman" w:hAnsi="Times New Roman" w:eastAsia="宋体" w:cs="Times New Roman"/>
      <w:kern w:val="2"/>
      <w:sz w:val="21"/>
      <w:szCs w:val="21"/>
      <w:lang w:val="en-US" w:eastAsia="zh-CN" w:bidi="ar-SA"/>
    </w:rPr>
  </w:style>
  <w:style w:type="paragraph" w:customStyle="1" w:styleId="2364">
    <w:name w:val="Char Char Char Char Char Char Char Char Char Char Char Char Char Char Char Char Char Char Char Char Char Char Char Char Char Char Char Char Char Char Char Char Char1 Char Char Char Char Char Char"/>
    <w:basedOn w:val="1"/>
    <w:autoRedefine/>
    <w:qFormat/>
    <w:uiPriority w:val="0"/>
    <w:rPr>
      <w:sz w:val="24"/>
    </w:rPr>
  </w:style>
  <w:style w:type="paragraph" w:customStyle="1" w:styleId="2365">
    <w:name w:val="样式 标题 3条标题1.1.1标题 3 Char标题 3 Char Char Char Char Char Char Ch..."/>
    <w:basedOn w:val="5"/>
    <w:autoRedefine/>
    <w:qFormat/>
    <w:uiPriority w:val="0"/>
    <w:pPr>
      <w:tabs>
        <w:tab w:val="left" w:pos="1418"/>
      </w:tabs>
      <w:spacing w:before="0" w:after="0" w:line="360" w:lineRule="auto"/>
    </w:pPr>
    <w:rPr>
      <w:rFonts w:ascii="宋体" w:hAnsi="宋体" w:cs="宋体"/>
      <w:color w:val="000000"/>
      <w:sz w:val="24"/>
      <w:szCs w:val="20"/>
      <w:lang w:val="zh-CN"/>
    </w:rPr>
  </w:style>
  <w:style w:type="paragraph" w:customStyle="1" w:styleId="2366">
    <w:name w:val="xl90"/>
    <w:basedOn w:val="1"/>
    <w:autoRedefine/>
    <w:qFormat/>
    <w:uiPriority w:val="0"/>
    <w:pPr>
      <w:widowControl/>
      <w:pBdr>
        <w:bottom w:val="single" w:color="auto" w:sz="12" w:space="0"/>
      </w:pBdr>
      <w:spacing w:before="100" w:beforeAutospacing="1" w:after="100" w:afterAutospacing="1"/>
      <w:jc w:val="center"/>
    </w:pPr>
    <w:rPr>
      <w:rFonts w:ascii="Arial Unicode MS" w:hAnsi="Arial Unicode MS"/>
      <w:kern w:val="0"/>
      <w:sz w:val="12"/>
      <w:szCs w:val="12"/>
    </w:rPr>
  </w:style>
  <w:style w:type="paragraph" w:customStyle="1" w:styleId="2367">
    <w:name w:val="图表名"/>
    <w:basedOn w:val="1"/>
    <w:autoRedefine/>
    <w:qFormat/>
    <w:uiPriority w:val="0"/>
    <w:pPr>
      <w:adjustRightInd w:val="0"/>
      <w:snapToGrid w:val="0"/>
      <w:spacing w:line="360" w:lineRule="auto"/>
      <w:jc w:val="center"/>
    </w:pPr>
    <w:rPr>
      <w:rFonts w:eastAsia="黑体"/>
      <w:color w:val="000000"/>
      <w:kern w:val="0"/>
      <w:sz w:val="28"/>
      <w:szCs w:val="28"/>
    </w:rPr>
  </w:style>
  <w:style w:type="paragraph" w:customStyle="1" w:styleId="2368">
    <w:name w:val="样式 标题 4 + 段前: 7.8 磅"/>
    <w:basedOn w:val="6"/>
    <w:autoRedefine/>
    <w:qFormat/>
    <w:uiPriority w:val="0"/>
    <w:pPr>
      <w:keepLines/>
      <w:tabs>
        <w:tab w:val="left" w:pos="864"/>
        <w:tab w:val="left" w:pos="1984"/>
      </w:tabs>
      <w:spacing w:line="500" w:lineRule="exact"/>
      <w:ind w:left="864" w:right="0" w:hanging="864"/>
      <w:jc w:val="both"/>
      <w:outlineLvl w:val="0"/>
    </w:pPr>
    <w:rPr>
      <w:rFonts w:ascii="Arial" w:hAnsi="Arial" w:cs="Arial"/>
      <w:b/>
      <w:color w:val="auto"/>
      <w:sz w:val="24"/>
      <w:szCs w:val="21"/>
      <w:lang w:val="zh-CN"/>
    </w:rPr>
  </w:style>
  <w:style w:type="paragraph" w:customStyle="1" w:styleId="2369">
    <w:name w:val="xl164"/>
    <w:basedOn w:val="1"/>
    <w:autoRedefine/>
    <w:qFormat/>
    <w:uiPriority w:val="0"/>
    <w:pPr>
      <w:widowControl/>
      <w:pBdr>
        <w:left w:val="single" w:color="auto" w:sz="12" w:space="0"/>
        <w:bottom w:val="single" w:color="auto" w:sz="12" w:space="0"/>
      </w:pBdr>
      <w:spacing w:before="100" w:beforeAutospacing="1" w:after="100" w:afterAutospacing="1"/>
      <w:jc w:val="center"/>
    </w:pPr>
    <w:rPr>
      <w:rFonts w:ascii="Arial Unicode MS" w:hAnsi="Arial Unicode MS"/>
      <w:kern w:val="0"/>
    </w:rPr>
  </w:style>
  <w:style w:type="paragraph" w:customStyle="1" w:styleId="2370">
    <w:name w:val="Char Char Char1"/>
    <w:basedOn w:val="1"/>
    <w:autoRedefine/>
    <w:qFormat/>
    <w:uiPriority w:val="0"/>
    <w:rPr>
      <w:sz w:val="24"/>
    </w:rPr>
  </w:style>
  <w:style w:type="paragraph" w:customStyle="1" w:styleId="2371">
    <w:name w:val="c"/>
    <w:link w:val="2372"/>
    <w:autoRedefine/>
    <w:qFormat/>
    <w:uiPriority w:val="0"/>
    <w:pPr>
      <w:widowControl w:val="0"/>
      <w:autoSpaceDE w:val="0"/>
      <w:autoSpaceDN w:val="0"/>
      <w:adjustRightInd w:val="0"/>
      <w:jc w:val="both"/>
    </w:pPr>
    <w:rPr>
      <w:rFonts w:ascii="Arial" w:hAnsi="Arial" w:eastAsia="宋体" w:cs="Times New Roman"/>
      <w:sz w:val="24"/>
      <w:lang w:val="en-US" w:eastAsia="zh-CN" w:bidi="ar-SA"/>
    </w:rPr>
  </w:style>
  <w:style w:type="character" w:customStyle="1" w:styleId="2372">
    <w:name w:val="c Char1"/>
    <w:link w:val="2371"/>
    <w:autoRedefine/>
    <w:qFormat/>
    <w:locked/>
    <w:uiPriority w:val="0"/>
    <w:rPr>
      <w:rFonts w:ascii="Arial" w:hAnsi="Arial"/>
      <w:sz w:val="24"/>
    </w:rPr>
  </w:style>
  <w:style w:type="paragraph" w:customStyle="1" w:styleId="2373">
    <w:name w:val="Char Char Char1 Char2"/>
    <w:basedOn w:val="1"/>
    <w:autoRedefine/>
    <w:qFormat/>
    <w:uiPriority w:val="0"/>
    <w:rPr>
      <w:sz w:val="24"/>
    </w:rPr>
  </w:style>
  <w:style w:type="paragraph" w:customStyle="1" w:styleId="2374">
    <w:name w:val="标题样式2"/>
    <w:basedOn w:val="1"/>
    <w:autoRedefine/>
    <w:qFormat/>
    <w:uiPriority w:val="0"/>
    <w:pPr>
      <w:adjustRightInd w:val="0"/>
      <w:spacing w:line="480" w:lineRule="atLeast"/>
      <w:textAlignment w:val="baseline"/>
    </w:pPr>
    <w:rPr>
      <w:rFonts w:ascii="新宋体" w:hAnsi="新宋体" w:eastAsia="仿宋_GB2312"/>
      <w:kern w:val="0"/>
      <w:sz w:val="28"/>
      <w:szCs w:val="20"/>
    </w:rPr>
  </w:style>
  <w:style w:type="paragraph" w:customStyle="1" w:styleId="2375">
    <w:name w:val="正文4"/>
    <w:autoRedefine/>
    <w:qFormat/>
    <w:uiPriority w:val="0"/>
    <w:pPr>
      <w:widowControl w:val="0"/>
      <w:adjustRightInd w:val="0"/>
      <w:spacing w:line="312" w:lineRule="atLeast"/>
      <w:jc w:val="both"/>
      <w:textAlignment w:val="baseline"/>
    </w:pPr>
    <w:rPr>
      <w:rFonts w:ascii="Arial" w:hAnsi="Times New Roman" w:eastAsia="楷体_GB2312" w:cs="Times New Roman"/>
      <w:spacing w:val="-6"/>
      <w:sz w:val="28"/>
      <w:lang w:val="en-US" w:eastAsia="zh-CN" w:bidi="ar-SA"/>
    </w:rPr>
  </w:style>
  <w:style w:type="paragraph" w:customStyle="1" w:styleId="2376">
    <w:name w:val="样式16"/>
    <w:basedOn w:val="1866"/>
    <w:link w:val="2377"/>
    <w:autoRedefine/>
    <w:qFormat/>
    <w:uiPriority w:val="0"/>
    <w:pPr>
      <w:spacing w:line="500" w:lineRule="exact"/>
      <w:jc w:val="left"/>
      <w:outlineLvl w:val="2"/>
    </w:pPr>
    <w:rPr>
      <w:rFonts w:cs="Times New Roman"/>
      <w:b/>
      <w:bCs/>
      <w:szCs w:val="28"/>
    </w:rPr>
  </w:style>
  <w:style w:type="character" w:customStyle="1" w:styleId="2377">
    <w:name w:val="样式16 Char"/>
    <w:link w:val="2376"/>
    <w:autoRedefine/>
    <w:qFormat/>
    <w:locked/>
    <w:uiPriority w:val="0"/>
    <w:rPr>
      <w:b/>
      <w:bCs/>
      <w:sz w:val="28"/>
      <w:szCs w:val="28"/>
      <w:lang w:val="zh-CN"/>
    </w:rPr>
  </w:style>
  <w:style w:type="paragraph" w:customStyle="1" w:styleId="2378">
    <w:name w:val="Bullet_Indent"/>
    <w:basedOn w:val="1"/>
    <w:autoRedefine/>
    <w:qFormat/>
    <w:uiPriority w:val="0"/>
    <w:pPr>
      <w:widowControl/>
      <w:spacing w:after="240"/>
      <w:ind w:left="1440" w:hanging="720"/>
      <w:jc w:val="left"/>
    </w:pPr>
    <w:rPr>
      <w:kern w:val="0"/>
      <w:sz w:val="24"/>
      <w:szCs w:val="20"/>
    </w:rPr>
  </w:style>
  <w:style w:type="paragraph" w:customStyle="1" w:styleId="2379">
    <w:name w:val="Char Char Char Char Char Char Char Char Char Char Char Char Char6"/>
    <w:basedOn w:val="1"/>
    <w:autoRedefine/>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2380">
    <w:name w:val="Char Char Char Char Char Char Char Char Char Char"/>
    <w:basedOn w:val="1"/>
    <w:autoRedefine/>
    <w:qFormat/>
    <w:uiPriority w:val="0"/>
    <w:rPr>
      <w:sz w:val="24"/>
    </w:rPr>
  </w:style>
  <w:style w:type="paragraph" w:customStyle="1" w:styleId="2381">
    <w:name w:val="首2页报告书字体"/>
    <w:basedOn w:val="1"/>
    <w:autoRedefine/>
    <w:qFormat/>
    <w:uiPriority w:val="0"/>
    <w:pPr>
      <w:tabs>
        <w:tab w:val="left" w:pos="2880"/>
      </w:tabs>
      <w:spacing w:beforeLines="50" w:line="480" w:lineRule="auto"/>
      <w:ind w:firstLine="465"/>
      <w:jc w:val="center"/>
    </w:pPr>
    <w:rPr>
      <w:rFonts w:ascii="楷体" w:hAnsi="楷体" w:eastAsia="楷体"/>
      <w:b/>
      <w:bCs/>
      <w:spacing w:val="60"/>
      <w:sz w:val="72"/>
      <w:szCs w:val="44"/>
    </w:rPr>
  </w:style>
  <w:style w:type="paragraph" w:customStyle="1" w:styleId="2382">
    <w:name w:val="xl56"/>
    <w:basedOn w:val="1"/>
    <w:autoRedefine/>
    <w:qFormat/>
    <w:uiPriority w:val="0"/>
    <w:pPr>
      <w:widowControl/>
      <w:pBdr>
        <w:bottom w:val="single" w:color="auto" w:sz="12" w:space="0"/>
      </w:pBdr>
      <w:spacing w:before="100" w:beforeAutospacing="1" w:after="100" w:afterAutospacing="1"/>
      <w:jc w:val="left"/>
    </w:pPr>
    <w:rPr>
      <w:rFonts w:ascii="Arial Unicode MS" w:hAnsi="Arial Unicode MS"/>
      <w:kern w:val="0"/>
      <w:sz w:val="12"/>
      <w:szCs w:val="12"/>
    </w:rPr>
  </w:style>
  <w:style w:type="paragraph" w:customStyle="1" w:styleId="2383">
    <w:name w:val=".."/>
    <w:basedOn w:val="1"/>
    <w:next w:val="1"/>
    <w:autoRedefine/>
    <w:qFormat/>
    <w:uiPriority w:val="0"/>
    <w:pPr>
      <w:autoSpaceDE w:val="0"/>
      <w:autoSpaceDN w:val="0"/>
      <w:adjustRightInd w:val="0"/>
      <w:jc w:val="left"/>
    </w:pPr>
    <w:rPr>
      <w:rFonts w:ascii="DF Kai Shu" w:eastAsia="DF Kai Shu"/>
      <w:kern w:val="0"/>
      <w:sz w:val="24"/>
    </w:rPr>
  </w:style>
  <w:style w:type="paragraph" w:customStyle="1" w:styleId="2384">
    <w:name w:val="Char Char Char Char Char Char Char Char Char1 Char Char Char Char"/>
    <w:basedOn w:val="1"/>
    <w:autoRedefine/>
    <w:qFormat/>
    <w:uiPriority w:val="0"/>
    <w:rPr>
      <w:szCs w:val="21"/>
    </w:rPr>
  </w:style>
  <w:style w:type="paragraph" w:customStyle="1" w:styleId="2385">
    <w:name w:val="正文23"/>
    <w:autoRedefine/>
    <w:qFormat/>
    <w:uiPriority w:val="0"/>
    <w:pPr>
      <w:widowControl w:val="0"/>
      <w:adjustRightInd w:val="0"/>
      <w:spacing w:line="312" w:lineRule="atLeast"/>
      <w:jc w:val="both"/>
      <w:textAlignment w:val="baseline"/>
    </w:pPr>
    <w:rPr>
      <w:rFonts w:ascii="Arial" w:hAnsi="Times New Roman" w:eastAsia="楷体_GB2312" w:cs="Times New Roman"/>
      <w:spacing w:val="-6"/>
      <w:sz w:val="28"/>
      <w:lang w:val="en-US" w:eastAsia="zh-CN" w:bidi="ar-SA"/>
    </w:rPr>
  </w:style>
  <w:style w:type="paragraph" w:customStyle="1" w:styleId="2386">
    <w:name w:val="列项·"/>
    <w:autoRedefine/>
    <w:qFormat/>
    <w:uiPriority w:val="0"/>
    <w:pPr>
      <w:tabs>
        <w:tab w:val="left" w:pos="840"/>
      </w:tabs>
      <w:ind w:left="840" w:leftChars="200" w:hanging="420" w:hangingChars="200"/>
      <w:jc w:val="both"/>
    </w:pPr>
    <w:rPr>
      <w:rFonts w:ascii="宋体" w:hAnsi="Times New Roman" w:eastAsia="宋体" w:cs="Times New Roman"/>
      <w:sz w:val="21"/>
      <w:lang w:val="en-US" w:eastAsia="zh-CN" w:bidi="ar-SA"/>
    </w:rPr>
  </w:style>
  <w:style w:type="paragraph" w:customStyle="1" w:styleId="2387">
    <w:name w:val="小标题2"/>
    <w:basedOn w:val="1"/>
    <w:next w:val="1"/>
    <w:autoRedefine/>
    <w:qFormat/>
    <w:uiPriority w:val="0"/>
    <w:pPr>
      <w:tabs>
        <w:tab w:val="left" w:pos="1174"/>
        <w:tab w:val="left" w:pos="1200"/>
      </w:tabs>
      <w:adjustRightInd w:val="0"/>
      <w:snapToGrid w:val="0"/>
      <w:spacing w:beforeLines="50"/>
      <w:ind w:left="1200" w:hanging="360"/>
      <w:jc w:val="left"/>
    </w:pPr>
    <w:rPr>
      <w:rFonts w:ascii="宋体"/>
      <w:sz w:val="24"/>
    </w:rPr>
  </w:style>
  <w:style w:type="paragraph" w:customStyle="1" w:styleId="2388">
    <w:name w:val="样式19"/>
    <w:basedOn w:val="4"/>
    <w:autoRedefine/>
    <w:qFormat/>
    <w:uiPriority w:val="0"/>
    <w:pPr>
      <w:keepNext w:val="0"/>
      <w:keepLines w:val="0"/>
      <w:tabs>
        <w:tab w:val="left" w:pos="630"/>
        <w:tab w:val="left" w:pos="840"/>
        <w:tab w:val="left" w:pos="1287"/>
        <w:tab w:val="left" w:pos="1419"/>
        <w:tab w:val="left" w:pos="3920"/>
        <w:tab w:val="left" w:pos="5670"/>
      </w:tabs>
      <w:snapToGrid w:val="0"/>
      <w:spacing w:before="60" w:after="60" w:line="520" w:lineRule="exact"/>
      <w:ind w:firstLine="567"/>
    </w:pPr>
    <w:rPr>
      <w:rFonts w:ascii="Times New Roman" w:hAnsi="Times New Roman" w:eastAsia="华文行楷"/>
      <w:color w:val="000000"/>
      <w:kern w:val="0"/>
      <w:sz w:val="30"/>
      <w:szCs w:val="30"/>
      <w:lang w:val="zh-CN"/>
    </w:rPr>
  </w:style>
  <w:style w:type="paragraph" w:customStyle="1" w:styleId="2389">
    <w:name w:val="样式 小四 行距: 1.5 倍行距"/>
    <w:basedOn w:val="1"/>
    <w:autoRedefine/>
    <w:qFormat/>
    <w:uiPriority w:val="0"/>
    <w:pPr>
      <w:spacing w:line="360" w:lineRule="auto"/>
      <w:ind w:firstLine="200" w:firstLineChars="200"/>
    </w:pPr>
    <w:rPr>
      <w:rFonts w:cs="宋体"/>
      <w:kern w:val="0"/>
      <w:sz w:val="24"/>
      <w:szCs w:val="20"/>
    </w:rPr>
  </w:style>
  <w:style w:type="paragraph" w:customStyle="1" w:styleId="2390">
    <w:name w:val="正文文本缩进 312"/>
    <w:basedOn w:val="1"/>
    <w:autoRedefine/>
    <w:qFormat/>
    <w:uiPriority w:val="0"/>
    <w:pPr>
      <w:adjustRightInd w:val="0"/>
      <w:spacing w:line="480" w:lineRule="exact"/>
      <w:ind w:firstLine="525"/>
      <w:textAlignment w:val="baseline"/>
    </w:pPr>
    <w:rPr>
      <w:rFonts w:ascii="宋体"/>
      <w:sz w:val="28"/>
      <w:szCs w:val="20"/>
    </w:rPr>
  </w:style>
  <w:style w:type="paragraph" w:customStyle="1" w:styleId="2391">
    <w:name w:val="表格编号"/>
    <w:basedOn w:val="1"/>
    <w:next w:val="1"/>
    <w:autoRedefine/>
    <w:qFormat/>
    <w:uiPriority w:val="0"/>
    <w:pPr>
      <w:tabs>
        <w:tab w:val="left" w:pos="720"/>
      </w:tabs>
      <w:spacing w:before="300" w:after="200"/>
      <w:ind w:left="720" w:hanging="720"/>
      <w:jc w:val="center"/>
    </w:pPr>
    <w:rPr>
      <w:sz w:val="24"/>
      <w:szCs w:val="20"/>
    </w:rPr>
  </w:style>
  <w:style w:type="paragraph" w:customStyle="1" w:styleId="2392">
    <w:name w:val="目录 71"/>
    <w:basedOn w:val="1"/>
    <w:next w:val="1"/>
    <w:autoRedefine/>
    <w:qFormat/>
    <w:uiPriority w:val="0"/>
    <w:pPr>
      <w:ind w:left="1050"/>
      <w:jc w:val="left"/>
    </w:pPr>
    <w:rPr>
      <w:sz w:val="20"/>
      <w:szCs w:val="20"/>
    </w:rPr>
  </w:style>
  <w:style w:type="paragraph" w:customStyle="1" w:styleId="2393">
    <w:name w:val="Char Char Char Char Char Char Char Char Char Char Char Char Char Char Char Char Char Char Char"/>
    <w:basedOn w:val="1"/>
    <w:autoRedefine/>
    <w:qFormat/>
    <w:uiPriority w:val="0"/>
    <w:rPr>
      <w:sz w:val="24"/>
    </w:rPr>
  </w:style>
  <w:style w:type="paragraph" w:customStyle="1" w:styleId="2394">
    <w:name w:val="_Style 25"/>
    <w:basedOn w:val="1"/>
    <w:next w:val="1"/>
    <w:autoRedefine/>
    <w:qFormat/>
    <w:uiPriority w:val="0"/>
    <w:pPr>
      <w:adjustRightInd w:val="0"/>
      <w:spacing w:line="360" w:lineRule="auto"/>
      <w:ind w:firstLine="570"/>
      <w:textAlignment w:val="baseline"/>
    </w:pPr>
    <w:rPr>
      <w:rFonts w:ascii="仿宋_GB2312" w:eastAsia="仿宋_GB2312"/>
      <w:kern w:val="0"/>
      <w:sz w:val="28"/>
      <w:szCs w:val="20"/>
    </w:rPr>
  </w:style>
  <w:style w:type="paragraph" w:customStyle="1" w:styleId="2395">
    <w:name w:val="正文8"/>
    <w:autoRedefine/>
    <w:qFormat/>
    <w:uiPriority w:val="0"/>
    <w:pPr>
      <w:widowControl w:val="0"/>
      <w:adjustRightInd w:val="0"/>
      <w:spacing w:line="312" w:lineRule="atLeast"/>
      <w:jc w:val="both"/>
      <w:textAlignment w:val="baseline"/>
    </w:pPr>
    <w:rPr>
      <w:rFonts w:ascii="Arial" w:hAnsi="Times New Roman" w:eastAsia="楷体_GB2312" w:cs="Times New Roman"/>
      <w:spacing w:val="-6"/>
      <w:sz w:val="28"/>
      <w:lang w:val="en-US" w:eastAsia="zh-CN" w:bidi="ar-SA"/>
    </w:rPr>
  </w:style>
  <w:style w:type="paragraph" w:customStyle="1" w:styleId="2396">
    <w:name w:val="xl160"/>
    <w:basedOn w:val="1"/>
    <w:autoRedefine/>
    <w:qFormat/>
    <w:uiPriority w:val="0"/>
    <w:pPr>
      <w:widowControl/>
      <w:spacing w:before="100" w:beforeAutospacing="1" w:after="100" w:afterAutospacing="1"/>
      <w:jc w:val="center"/>
    </w:pPr>
    <w:rPr>
      <w:rFonts w:ascii="Arial Unicode MS" w:hAnsi="Arial Unicode MS"/>
      <w:kern w:val="0"/>
    </w:rPr>
  </w:style>
  <w:style w:type="paragraph" w:customStyle="1" w:styleId="2397">
    <w:name w:val="批注文字3"/>
    <w:basedOn w:val="1"/>
    <w:autoRedefine/>
    <w:qFormat/>
    <w:uiPriority w:val="0"/>
    <w:pPr>
      <w:jc w:val="left"/>
    </w:pPr>
    <w:rPr>
      <w:rFonts w:ascii="Arial" w:hAnsi="Arial" w:eastAsia="仿宋_GB2312"/>
      <w:kern w:val="0"/>
      <w:sz w:val="24"/>
      <w:szCs w:val="20"/>
    </w:rPr>
  </w:style>
  <w:style w:type="paragraph" w:customStyle="1" w:styleId="2398">
    <w:name w:val="表格标题lulu"/>
    <w:basedOn w:val="1"/>
    <w:autoRedefine/>
    <w:qFormat/>
    <w:uiPriority w:val="0"/>
    <w:rPr>
      <w:b/>
      <w:sz w:val="24"/>
    </w:rPr>
  </w:style>
  <w:style w:type="paragraph" w:customStyle="1" w:styleId="2399">
    <w:name w:val="xl70"/>
    <w:basedOn w:val="1"/>
    <w:autoRedefine/>
    <w:qFormat/>
    <w:uiPriority w:val="0"/>
    <w:pPr>
      <w:widowControl/>
      <w:pBdr>
        <w:bottom w:val="single" w:color="auto" w:sz="12" w:space="0"/>
      </w:pBdr>
      <w:spacing w:before="100" w:beforeAutospacing="1" w:after="100" w:afterAutospacing="1"/>
      <w:jc w:val="left"/>
    </w:pPr>
    <w:rPr>
      <w:rFonts w:ascii="Arial Unicode MS" w:hAnsi="Arial Unicode MS"/>
      <w:kern w:val="0"/>
      <w:sz w:val="12"/>
      <w:szCs w:val="12"/>
    </w:rPr>
  </w:style>
  <w:style w:type="paragraph" w:customStyle="1" w:styleId="2400">
    <w:name w:val="我的样式"/>
    <w:basedOn w:val="1"/>
    <w:autoRedefine/>
    <w:qFormat/>
    <w:uiPriority w:val="0"/>
    <w:pPr>
      <w:spacing w:line="440" w:lineRule="exact"/>
    </w:pPr>
    <w:rPr>
      <w:rFonts w:ascii="宋体"/>
      <w:sz w:val="28"/>
      <w:szCs w:val="20"/>
    </w:rPr>
  </w:style>
  <w:style w:type="paragraph" w:customStyle="1" w:styleId="2401">
    <w:name w:val="样式2 Char"/>
    <w:basedOn w:val="12"/>
    <w:autoRedefine/>
    <w:qFormat/>
    <w:uiPriority w:val="0"/>
    <w:pPr>
      <w:widowControl/>
      <w:adjustRightInd w:val="0"/>
      <w:snapToGrid w:val="0"/>
      <w:spacing w:line="360" w:lineRule="auto"/>
      <w:ind w:firstLine="567" w:firstLineChars="0"/>
      <w:textAlignment w:val="baseline"/>
    </w:pPr>
    <w:rPr>
      <w:kern w:val="0"/>
      <w:sz w:val="24"/>
      <w:lang w:val="zh-CN"/>
    </w:rPr>
  </w:style>
  <w:style w:type="paragraph" w:customStyle="1" w:styleId="2402">
    <w:name w:val="正文首行缩进11"/>
    <w:basedOn w:val="33"/>
    <w:autoRedefine/>
    <w:qFormat/>
    <w:uiPriority w:val="0"/>
    <w:pPr>
      <w:snapToGrid/>
      <w:spacing w:before="0" w:after="120" w:line="240" w:lineRule="auto"/>
      <w:ind w:right="0" w:firstLine="420" w:firstLineChars="100"/>
      <w:jc w:val="left"/>
    </w:pPr>
    <w:rPr>
      <w:kern w:val="2"/>
      <w:sz w:val="24"/>
      <w:lang w:val="zh-CN"/>
    </w:rPr>
  </w:style>
  <w:style w:type="paragraph" w:customStyle="1" w:styleId="2403">
    <w:name w:val="论文正文"/>
    <w:basedOn w:val="12"/>
    <w:autoRedefine/>
    <w:qFormat/>
    <w:uiPriority w:val="0"/>
    <w:pPr>
      <w:ind w:firstLine="480"/>
    </w:pPr>
    <w:rPr>
      <w:rFonts w:ascii="宋体" w:hAnsi="宋体"/>
      <w:sz w:val="28"/>
      <w:lang w:val="zh-CN"/>
    </w:rPr>
  </w:style>
  <w:style w:type="paragraph" w:customStyle="1" w:styleId="2404">
    <w:name w:val="样式 样式 (中文) 仿宋_GB2312 四号 首行缩进:  0.98 厘米 行距: 固定值 22 磅 + (中文) 宋体 行..."/>
    <w:basedOn w:val="1"/>
    <w:autoRedefine/>
    <w:qFormat/>
    <w:uiPriority w:val="0"/>
    <w:pPr>
      <w:spacing w:line="480" w:lineRule="exact"/>
      <w:jc w:val="center"/>
    </w:pPr>
    <w:rPr>
      <w:rFonts w:cs="宋体"/>
      <w:spacing w:val="-2"/>
      <w:sz w:val="24"/>
      <w:szCs w:val="20"/>
    </w:rPr>
  </w:style>
  <w:style w:type="paragraph" w:customStyle="1" w:styleId="2405">
    <w:name w:val="Char Char Char Char Char Char Char Char Char Char Char1 Char Char Char Char Char Char"/>
    <w:basedOn w:val="1"/>
    <w:autoRedefine/>
    <w:qFormat/>
    <w:uiPriority w:val="0"/>
    <w:rPr>
      <w:sz w:val="24"/>
    </w:rPr>
  </w:style>
  <w:style w:type="paragraph" w:customStyle="1" w:styleId="2406">
    <w:name w:val="样式 标题 3标题 3 Char Char条标题1.1.13h33rd levelH3l3CT + 左 行距:..."/>
    <w:basedOn w:val="5"/>
    <w:autoRedefine/>
    <w:qFormat/>
    <w:uiPriority w:val="0"/>
    <w:pPr>
      <w:tabs>
        <w:tab w:val="left" w:pos="780"/>
        <w:tab w:val="left" w:pos="1418"/>
      </w:tabs>
      <w:snapToGrid w:val="0"/>
      <w:spacing w:before="0" w:after="0" w:line="500" w:lineRule="exact"/>
      <w:ind w:left="627" w:hanging="567"/>
      <w:jc w:val="left"/>
    </w:pPr>
    <w:rPr>
      <w:rFonts w:cs="宋体"/>
      <w:sz w:val="24"/>
      <w:szCs w:val="20"/>
      <w:lang w:val="zh-CN"/>
    </w:rPr>
  </w:style>
  <w:style w:type="paragraph" w:customStyle="1" w:styleId="2407">
    <w:name w:val="Char1 Char Char Char Char Char Char Char Char Char1 Char Char Char Char Char Char"/>
    <w:basedOn w:val="1"/>
    <w:autoRedefine/>
    <w:qFormat/>
    <w:uiPriority w:val="0"/>
    <w:pPr>
      <w:widowControl/>
      <w:spacing w:before="100" w:beforeAutospacing="1" w:after="100" w:afterAutospacing="1"/>
      <w:ind w:firstLine="200" w:firstLineChars="200"/>
      <w:jc w:val="left"/>
    </w:pPr>
    <w:rPr>
      <w:rFonts w:ascii="Verdana" w:hAnsi="Verdana" w:eastAsia="仿宋_GB2312"/>
      <w:kern w:val="0"/>
      <w:sz w:val="20"/>
      <w:szCs w:val="21"/>
      <w:lang w:eastAsia="en-US"/>
    </w:rPr>
  </w:style>
  <w:style w:type="paragraph" w:customStyle="1" w:styleId="2408">
    <w:name w:val="样式111"/>
    <w:autoRedefine/>
    <w:qFormat/>
    <w:uiPriority w:val="0"/>
    <w:pPr>
      <w:adjustRightInd w:val="0"/>
      <w:snapToGrid w:val="0"/>
      <w:jc w:val="both"/>
    </w:pPr>
    <w:rPr>
      <w:rFonts w:ascii="宋体" w:hAnsi="Times New Roman" w:eastAsia="宋体" w:cs="Times New Roman"/>
      <w:sz w:val="21"/>
      <w:lang w:val="en-US" w:eastAsia="zh-CN" w:bidi="ar-SA"/>
    </w:rPr>
  </w:style>
  <w:style w:type="paragraph" w:customStyle="1" w:styleId="2409">
    <w:name w:val="Char Char3 Char6"/>
    <w:basedOn w:val="1"/>
    <w:autoRedefine/>
    <w:qFormat/>
    <w:uiPriority w:val="0"/>
    <w:rPr>
      <w:rFonts w:ascii="Tahoma" w:hAnsi="Tahoma"/>
      <w:sz w:val="24"/>
      <w:szCs w:val="20"/>
    </w:rPr>
  </w:style>
  <w:style w:type="paragraph" w:customStyle="1" w:styleId="2410">
    <w:name w:val="样式 正文文本 + 首行缩进:  0.85 厘米 段前: 6 磅 行距: 固定值 22 磅"/>
    <w:basedOn w:val="33"/>
    <w:autoRedefine/>
    <w:qFormat/>
    <w:uiPriority w:val="0"/>
    <w:pPr>
      <w:widowControl w:val="0"/>
      <w:snapToGrid/>
      <w:spacing w:before="120" w:after="120" w:line="440" w:lineRule="exact"/>
      <w:ind w:right="0" w:firstLine="482"/>
      <w:jc w:val="center"/>
    </w:pPr>
    <w:rPr>
      <w:rFonts w:cs="宋体"/>
      <w:kern w:val="2"/>
      <w:sz w:val="24"/>
      <w:lang w:val="zh-CN"/>
    </w:rPr>
  </w:style>
  <w:style w:type="paragraph" w:customStyle="1" w:styleId="2411">
    <w:name w:val="文档正文"/>
    <w:basedOn w:val="1"/>
    <w:autoRedefine/>
    <w:qFormat/>
    <w:uiPriority w:val="0"/>
    <w:pPr>
      <w:adjustRightInd w:val="0"/>
      <w:spacing w:line="480" w:lineRule="atLeast"/>
      <w:ind w:firstLine="567"/>
      <w:textAlignment w:val="baseline"/>
    </w:pPr>
    <w:rPr>
      <w:rFonts w:ascii="宋体"/>
      <w:kern w:val="0"/>
      <w:sz w:val="24"/>
      <w:szCs w:val="20"/>
    </w:rPr>
  </w:style>
  <w:style w:type="paragraph" w:customStyle="1" w:styleId="2412">
    <w:name w:val="+正文"/>
    <w:basedOn w:val="1"/>
    <w:autoRedefine/>
    <w:qFormat/>
    <w:uiPriority w:val="0"/>
    <w:pPr>
      <w:spacing w:line="360" w:lineRule="auto"/>
      <w:ind w:firstLine="200" w:firstLineChars="200"/>
    </w:pPr>
    <w:rPr>
      <w:sz w:val="28"/>
      <w:szCs w:val="28"/>
    </w:rPr>
  </w:style>
  <w:style w:type="paragraph" w:customStyle="1" w:styleId="2413">
    <w:name w:val="a1"/>
    <w:basedOn w:val="1"/>
    <w:autoRedefine/>
    <w:qFormat/>
    <w:uiPriority w:val="0"/>
    <w:pPr>
      <w:widowControl/>
      <w:spacing w:before="100" w:beforeAutospacing="1" w:after="100" w:afterAutospacing="1"/>
      <w:jc w:val="left"/>
    </w:pPr>
    <w:rPr>
      <w:rFonts w:ascii="宋体" w:hAnsi="宋体" w:cs="宋体"/>
      <w:color w:val="000000"/>
      <w:kern w:val="0"/>
      <w:sz w:val="24"/>
    </w:rPr>
  </w:style>
  <w:style w:type="paragraph" w:customStyle="1" w:styleId="2414">
    <w:name w:val="样式 标题 2节节标题 1.1H2（一）Underrubrik1prop2Heading 2 HiddenHea..."/>
    <w:basedOn w:val="4"/>
    <w:autoRedefine/>
    <w:qFormat/>
    <w:uiPriority w:val="0"/>
    <w:pPr>
      <w:tabs>
        <w:tab w:val="left" w:pos="1419"/>
      </w:tabs>
      <w:spacing w:before="0" w:after="0" w:line="360" w:lineRule="auto"/>
    </w:pPr>
    <w:rPr>
      <w:rFonts w:ascii="宋体" w:hAnsi="宋体" w:cs="宋体"/>
      <w:b w:val="0"/>
      <w:color w:val="000000"/>
      <w:sz w:val="28"/>
      <w:szCs w:val="20"/>
      <w:lang w:val="zh-CN"/>
    </w:rPr>
  </w:style>
  <w:style w:type="paragraph" w:customStyle="1" w:styleId="2415">
    <w:name w:val="List Paragraph1"/>
    <w:basedOn w:val="1"/>
    <w:autoRedefine/>
    <w:qFormat/>
    <w:uiPriority w:val="0"/>
    <w:pPr>
      <w:widowControl/>
      <w:ind w:firstLine="420" w:firstLineChars="200"/>
      <w:jc w:val="left"/>
    </w:pPr>
    <w:rPr>
      <w:kern w:val="0"/>
      <w:sz w:val="24"/>
      <w:szCs w:val="20"/>
    </w:rPr>
  </w:style>
  <w:style w:type="paragraph" w:customStyle="1" w:styleId="2416">
    <w:name w:val="框图"/>
    <w:basedOn w:val="1"/>
    <w:autoRedefine/>
    <w:qFormat/>
    <w:uiPriority w:val="0"/>
    <w:pPr>
      <w:widowControl/>
      <w:jc w:val="center"/>
    </w:pPr>
    <w:rPr>
      <w:rFonts w:ascii="宋体" w:hAnsi="宋体" w:cs="宋体"/>
      <w:kern w:val="0"/>
      <w:sz w:val="24"/>
    </w:rPr>
  </w:style>
  <w:style w:type="paragraph" w:customStyle="1" w:styleId="2417">
    <w:name w:val="Normal2"/>
    <w:autoRedefine/>
    <w:qFormat/>
    <w:uiPriority w:val="0"/>
    <w:pPr>
      <w:widowControl w:val="0"/>
      <w:adjustRightInd w:val="0"/>
      <w:spacing w:line="312" w:lineRule="atLeast"/>
      <w:jc w:val="both"/>
      <w:textAlignment w:val="baseline"/>
    </w:pPr>
    <w:rPr>
      <w:rFonts w:ascii="Arial" w:hAnsi="Times New Roman" w:eastAsia="楷体_GB2312" w:cs="Times New Roman"/>
      <w:spacing w:val="-6"/>
      <w:sz w:val="28"/>
      <w:lang w:val="en-US" w:eastAsia="zh-CN" w:bidi="ar-SA"/>
    </w:rPr>
  </w:style>
  <w:style w:type="paragraph" w:customStyle="1" w:styleId="2418">
    <w:name w:val="样式 标题 3标题 3 Char Char条标题1.1.13h33rd levelH3l3CT + 黑色"/>
    <w:basedOn w:val="5"/>
    <w:autoRedefine/>
    <w:qFormat/>
    <w:uiPriority w:val="0"/>
    <w:pPr>
      <w:tabs>
        <w:tab w:val="left" w:pos="780"/>
        <w:tab w:val="left" w:pos="1418"/>
      </w:tabs>
      <w:snapToGrid w:val="0"/>
      <w:spacing w:before="0" w:after="0" w:line="360" w:lineRule="auto"/>
      <w:ind w:left="627" w:hanging="567"/>
    </w:pPr>
    <w:rPr>
      <w:b w:val="0"/>
      <w:color w:val="000000"/>
      <w:sz w:val="28"/>
      <w:szCs w:val="20"/>
      <w:lang w:val="zh-CN"/>
    </w:rPr>
  </w:style>
  <w:style w:type="paragraph" w:customStyle="1" w:styleId="2419">
    <w:name w:val="目录 911"/>
    <w:basedOn w:val="1"/>
    <w:next w:val="1"/>
    <w:autoRedefine/>
    <w:qFormat/>
    <w:uiPriority w:val="0"/>
    <w:pPr>
      <w:ind w:left="1470"/>
      <w:jc w:val="left"/>
    </w:pPr>
    <w:rPr>
      <w:sz w:val="20"/>
      <w:szCs w:val="20"/>
    </w:rPr>
  </w:style>
  <w:style w:type="paragraph" w:customStyle="1" w:styleId="2420">
    <w:name w:val="xl103"/>
    <w:basedOn w:val="1"/>
    <w:autoRedefine/>
    <w:qFormat/>
    <w:uiPriority w:val="0"/>
    <w:pPr>
      <w:widowControl/>
      <w:pBdr>
        <w:left w:val="single" w:color="auto" w:sz="4" w:space="0"/>
        <w:right w:val="single" w:color="auto" w:sz="12" w:space="0"/>
      </w:pBdr>
      <w:spacing w:before="100" w:beforeAutospacing="1" w:after="100" w:afterAutospacing="1"/>
      <w:jc w:val="center"/>
    </w:pPr>
    <w:rPr>
      <w:rFonts w:ascii="Arial Unicode MS" w:hAnsi="Arial Unicode MS"/>
      <w:kern w:val="0"/>
      <w:sz w:val="12"/>
      <w:szCs w:val="12"/>
    </w:rPr>
  </w:style>
  <w:style w:type="paragraph" w:customStyle="1" w:styleId="2421">
    <w:name w:val="font15"/>
    <w:basedOn w:val="1"/>
    <w:autoRedefine/>
    <w:qFormat/>
    <w:uiPriority w:val="0"/>
    <w:pPr>
      <w:widowControl/>
      <w:spacing w:before="100" w:beforeAutospacing="1" w:after="100" w:afterAutospacing="1"/>
      <w:jc w:val="left"/>
    </w:pPr>
    <w:rPr>
      <w:color w:val="FF00FF"/>
      <w:kern w:val="0"/>
      <w:sz w:val="18"/>
      <w:szCs w:val="18"/>
    </w:rPr>
  </w:style>
  <w:style w:type="paragraph" w:customStyle="1" w:styleId="2422">
    <w:name w:val="样式 列表"/>
    <w:basedOn w:val="59"/>
    <w:autoRedefine/>
    <w:qFormat/>
    <w:uiPriority w:val="0"/>
    <w:pPr>
      <w:spacing w:line="280" w:lineRule="exact"/>
      <w:ind w:left="0" w:firstLine="0" w:firstLineChars="0"/>
      <w:jc w:val="center"/>
    </w:pPr>
    <w:rPr>
      <w:rFonts w:eastAsia="方正仿宋_GBK" w:cs="宋体"/>
      <w:szCs w:val="20"/>
    </w:rPr>
  </w:style>
  <w:style w:type="paragraph" w:customStyle="1" w:styleId="2423">
    <w:name w:val="xl92"/>
    <w:basedOn w:val="1"/>
    <w:autoRedefine/>
    <w:qFormat/>
    <w:uiPriority w:val="0"/>
    <w:pPr>
      <w:widowControl/>
      <w:pBdr>
        <w:top w:val="single" w:color="auto" w:sz="12" w:space="0"/>
        <w:left w:val="single" w:color="auto" w:sz="12" w:space="0"/>
        <w:right w:val="single" w:color="auto" w:sz="4" w:space="0"/>
      </w:pBdr>
      <w:spacing w:before="100" w:beforeAutospacing="1" w:after="100" w:afterAutospacing="1"/>
      <w:jc w:val="center"/>
    </w:pPr>
    <w:rPr>
      <w:rFonts w:ascii="Arial Unicode MS" w:hAnsi="Arial Unicode MS"/>
      <w:kern w:val="0"/>
      <w:sz w:val="12"/>
      <w:szCs w:val="12"/>
    </w:rPr>
  </w:style>
  <w:style w:type="paragraph" w:customStyle="1" w:styleId="2424">
    <w:name w:val="xl177"/>
    <w:basedOn w:val="1"/>
    <w:autoRedefine/>
    <w:qFormat/>
    <w:uiPriority w:val="0"/>
    <w:pPr>
      <w:widowControl/>
      <w:pBdr>
        <w:left w:val="single" w:color="auto" w:sz="4" w:space="0"/>
      </w:pBdr>
      <w:spacing w:before="100" w:beforeAutospacing="1" w:after="100" w:afterAutospacing="1"/>
      <w:jc w:val="center"/>
    </w:pPr>
    <w:rPr>
      <w:rFonts w:ascii="Arial Unicode MS" w:hAnsi="Arial Unicode MS"/>
      <w:kern w:val="0"/>
      <w:sz w:val="12"/>
      <w:szCs w:val="12"/>
    </w:rPr>
  </w:style>
  <w:style w:type="paragraph" w:customStyle="1" w:styleId="2425">
    <w:name w:val="Date1"/>
    <w:basedOn w:val="1"/>
    <w:next w:val="1"/>
    <w:autoRedefine/>
    <w:qFormat/>
    <w:uiPriority w:val="0"/>
    <w:pPr>
      <w:adjustRightInd w:val="0"/>
      <w:textAlignment w:val="baseline"/>
    </w:pPr>
    <w:rPr>
      <w:szCs w:val="20"/>
    </w:rPr>
  </w:style>
  <w:style w:type="paragraph" w:customStyle="1" w:styleId="2426">
    <w:name w:val="Char4 Char Char Char Char Char Char Char Char Char Char Char Char Char Char Char Char Char1 Char"/>
    <w:basedOn w:val="1"/>
    <w:autoRedefine/>
    <w:qFormat/>
    <w:uiPriority w:val="0"/>
    <w:pPr>
      <w:spacing w:line="240" w:lineRule="exact"/>
      <w:ind w:firstLine="200" w:firstLineChars="200"/>
    </w:pPr>
    <w:rPr>
      <w:sz w:val="28"/>
      <w:szCs w:val="28"/>
    </w:rPr>
  </w:style>
  <w:style w:type="paragraph" w:customStyle="1" w:styleId="2427">
    <w:name w:val="Char Char Char Char14"/>
    <w:basedOn w:val="1"/>
    <w:autoRedefine/>
    <w:qFormat/>
    <w:uiPriority w:val="0"/>
    <w:pPr>
      <w:widowControl/>
      <w:jc w:val="left"/>
    </w:pPr>
    <w:rPr>
      <w:kern w:val="0"/>
      <w:sz w:val="24"/>
      <w:szCs w:val="20"/>
    </w:rPr>
  </w:style>
  <w:style w:type="paragraph" w:customStyle="1" w:styleId="2428">
    <w:name w:val="目录 11"/>
    <w:basedOn w:val="1"/>
    <w:next w:val="1"/>
    <w:autoRedefine/>
    <w:qFormat/>
    <w:uiPriority w:val="0"/>
    <w:pPr>
      <w:spacing w:before="360"/>
      <w:jc w:val="left"/>
    </w:pPr>
    <w:rPr>
      <w:rFonts w:ascii="Arial" w:hAnsi="Arial"/>
      <w:b/>
      <w:caps/>
      <w:sz w:val="24"/>
      <w:szCs w:val="20"/>
    </w:rPr>
  </w:style>
  <w:style w:type="paragraph" w:customStyle="1" w:styleId="2429">
    <w:name w:val="日期3"/>
    <w:basedOn w:val="1"/>
    <w:next w:val="1"/>
    <w:autoRedefine/>
    <w:qFormat/>
    <w:uiPriority w:val="0"/>
    <w:pPr>
      <w:adjustRightInd w:val="0"/>
      <w:jc w:val="left"/>
    </w:pPr>
    <w:rPr>
      <w:rFonts w:ascii="宋体"/>
      <w:spacing w:val="24"/>
      <w:kern w:val="24"/>
      <w:sz w:val="24"/>
      <w:szCs w:val="20"/>
    </w:rPr>
  </w:style>
  <w:style w:type="paragraph" w:customStyle="1" w:styleId="2430">
    <w:name w:val="字元 字元3 字元"/>
    <w:basedOn w:val="1"/>
    <w:next w:val="1"/>
    <w:autoRedefine/>
    <w:qFormat/>
    <w:uiPriority w:val="0"/>
    <w:pPr>
      <w:spacing w:line="360" w:lineRule="auto"/>
      <w:ind w:firstLine="200" w:firstLineChars="200"/>
    </w:pPr>
    <w:rPr>
      <w:szCs w:val="20"/>
    </w:rPr>
  </w:style>
  <w:style w:type="paragraph" w:customStyle="1" w:styleId="2431">
    <w:name w:val="xl51"/>
    <w:basedOn w:val="1"/>
    <w:autoRedefine/>
    <w:qFormat/>
    <w:uiPriority w:val="0"/>
    <w:pPr>
      <w:widowControl/>
      <w:pBdr>
        <w:left w:val="single" w:color="auto" w:sz="4" w:space="0"/>
        <w:bottom w:val="single" w:color="auto" w:sz="12" w:space="0"/>
      </w:pBdr>
      <w:spacing w:before="100" w:beforeAutospacing="1" w:after="100" w:afterAutospacing="1"/>
      <w:jc w:val="center"/>
    </w:pPr>
    <w:rPr>
      <w:rFonts w:ascii="Arial Unicode MS" w:hAnsi="Arial Unicode MS"/>
      <w:kern w:val="0"/>
      <w:sz w:val="16"/>
      <w:szCs w:val="16"/>
    </w:rPr>
  </w:style>
  <w:style w:type="paragraph" w:customStyle="1" w:styleId="2432">
    <w:name w:val="Char Char Char Char7"/>
    <w:basedOn w:val="1"/>
    <w:autoRedefine/>
    <w:qFormat/>
    <w:uiPriority w:val="0"/>
    <w:rPr>
      <w:sz w:val="24"/>
    </w:rPr>
  </w:style>
  <w:style w:type="paragraph" w:customStyle="1" w:styleId="2433">
    <w:name w:val="我的样式（正文） Char"/>
    <w:basedOn w:val="1"/>
    <w:autoRedefine/>
    <w:qFormat/>
    <w:uiPriority w:val="0"/>
    <w:pPr>
      <w:spacing w:line="440" w:lineRule="exact"/>
    </w:pPr>
    <w:rPr>
      <w:rFonts w:ascii="宋体" w:hAnsi="华文楷体"/>
      <w:sz w:val="28"/>
    </w:rPr>
  </w:style>
  <w:style w:type="paragraph" w:customStyle="1" w:styleId="2434">
    <w:name w:val="正文首行缩进1"/>
    <w:basedOn w:val="1"/>
    <w:autoRedefine/>
    <w:qFormat/>
    <w:uiPriority w:val="0"/>
    <w:pPr>
      <w:ind w:firstLine="420"/>
    </w:pPr>
    <w:rPr>
      <w:sz w:val="28"/>
      <w:szCs w:val="20"/>
    </w:rPr>
  </w:style>
  <w:style w:type="paragraph" w:customStyle="1" w:styleId="2435">
    <w:name w:val="标准符号 行距1倍"/>
    <w:basedOn w:val="1"/>
    <w:autoRedefine/>
    <w:qFormat/>
    <w:uiPriority w:val="0"/>
    <w:pPr>
      <w:adjustRightInd w:val="0"/>
      <w:snapToGrid w:val="0"/>
      <w:spacing w:beforeLines="50"/>
      <w:jc w:val="center"/>
      <w:textAlignment w:val="center"/>
    </w:pPr>
    <w:rPr>
      <w:rFonts w:ascii="黑体" w:eastAsia="黑体" w:cs="宋体"/>
      <w:color w:val="000000"/>
      <w:kern w:val="0"/>
      <w:sz w:val="24"/>
    </w:rPr>
  </w:style>
  <w:style w:type="paragraph" w:customStyle="1" w:styleId="2436">
    <w:name w:val="封面标准文稿编辑信息"/>
    <w:autoRedefine/>
    <w:qFormat/>
    <w:uiPriority w:val="0"/>
    <w:pPr>
      <w:spacing w:before="180" w:line="180" w:lineRule="exact"/>
      <w:jc w:val="center"/>
    </w:pPr>
    <w:rPr>
      <w:rFonts w:ascii="宋体" w:hAnsi="Times New Roman" w:eastAsia="宋体" w:cs="Times New Roman"/>
      <w:sz w:val="21"/>
      <w:lang w:val="en-US" w:eastAsia="zh-CN" w:bidi="ar-SA"/>
    </w:rPr>
  </w:style>
  <w:style w:type="paragraph" w:customStyle="1" w:styleId="2437">
    <w:name w:val="Char33"/>
    <w:basedOn w:val="1"/>
    <w:autoRedefine/>
    <w:qFormat/>
    <w:uiPriority w:val="0"/>
    <w:rPr>
      <w:sz w:val="24"/>
    </w:rPr>
  </w:style>
  <w:style w:type="paragraph" w:customStyle="1" w:styleId="2438">
    <w:name w:val="Char Char Char Char Char Char1 Char Char Char Char2"/>
    <w:basedOn w:val="1"/>
    <w:autoRedefine/>
    <w:qFormat/>
    <w:uiPriority w:val="0"/>
    <w:rPr>
      <w:sz w:val="24"/>
    </w:rPr>
  </w:style>
  <w:style w:type="paragraph" w:customStyle="1" w:styleId="2439">
    <w:name w:val="纯文本4"/>
    <w:basedOn w:val="1"/>
    <w:autoRedefine/>
    <w:qFormat/>
    <w:uiPriority w:val="0"/>
    <w:pPr>
      <w:adjustRightInd w:val="0"/>
    </w:pPr>
    <w:rPr>
      <w:rFonts w:ascii="宋体" w:hAnsi="Courier New"/>
      <w:szCs w:val="20"/>
    </w:rPr>
  </w:style>
  <w:style w:type="paragraph" w:customStyle="1" w:styleId="2440">
    <w:name w:val="Char Char Char1 Char Char Char Char Char Char"/>
    <w:basedOn w:val="1"/>
    <w:autoRedefine/>
    <w:qFormat/>
    <w:uiPriority w:val="0"/>
    <w:rPr>
      <w:szCs w:val="21"/>
    </w:rPr>
  </w:style>
  <w:style w:type="paragraph" w:customStyle="1" w:styleId="2441">
    <w:name w:val="清除格式"/>
    <w:basedOn w:val="1"/>
    <w:autoRedefine/>
    <w:qFormat/>
    <w:uiPriority w:val="0"/>
    <w:pPr>
      <w:widowControl/>
      <w:spacing w:before="120" w:after="120"/>
      <w:jc w:val="left"/>
    </w:pPr>
    <w:rPr>
      <w:b/>
      <w:bCs/>
      <w:caps/>
      <w:kern w:val="0"/>
      <w:sz w:val="24"/>
      <w:szCs w:val="20"/>
    </w:rPr>
  </w:style>
  <w:style w:type="paragraph" w:customStyle="1" w:styleId="2442">
    <w:name w:val="T表格"/>
    <w:autoRedefine/>
    <w:qFormat/>
    <w:uiPriority w:val="0"/>
    <w:pPr>
      <w:spacing w:line="300" w:lineRule="exact"/>
      <w:jc w:val="center"/>
    </w:pPr>
    <w:rPr>
      <w:rFonts w:ascii="仿宋_GB2312" w:hAnsi="Times New Roman" w:eastAsia="仿宋_GB2312" w:cs="Times New Roman"/>
      <w:kern w:val="2"/>
      <w:sz w:val="24"/>
      <w:lang w:val="en-US" w:eastAsia="zh-CN" w:bidi="ar-SA"/>
    </w:rPr>
  </w:style>
  <w:style w:type="paragraph" w:customStyle="1" w:styleId="2443">
    <w:name w:val="文本居中"/>
    <w:basedOn w:val="1"/>
    <w:autoRedefine/>
    <w:qFormat/>
    <w:uiPriority w:val="0"/>
    <w:pPr>
      <w:adjustRightInd w:val="0"/>
      <w:spacing w:line="360" w:lineRule="auto"/>
      <w:jc w:val="center"/>
    </w:pPr>
    <w:rPr>
      <w:sz w:val="28"/>
    </w:rPr>
  </w:style>
  <w:style w:type="paragraph" w:customStyle="1" w:styleId="2444">
    <w:name w:val="批注框文本2"/>
    <w:basedOn w:val="1"/>
    <w:autoRedefine/>
    <w:qFormat/>
    <w:uiPriority w:val="0"/>
    <w:rPr>
      <w:sz w:val="18"/>
      <w:szCs w:val="20"/>
    </w:rPr>
  </w:style>
  <w:style w:type="paragraph" w:customStyle="1" w:styleId="2445">
    <w:name w:val="表内容中"/>
    <w:basedOn w:val="46"/>
    <w:autoRedefine/>
    <w:qFormat/>
    <w:uiPriority w:val="0"/>
    <w:pPr>
      <w:ind w:left="0" w:leftChars="0"/>
      <w:jc w:val="center"/>
    </w:pPr>
    <w:rPr>
      <w:rFonts w:ascii="宋体"/>
      <w:b/>
      <w:color w:val="000000"/>
      <w:kern w:val="2"/>
      <w:szCs w:val="24"/>
      <w:lang w:val="zh-CN"/>
    </w:rPr>
  </w:style>
  <w:style w:type="paragraph" w:customStyle="1" w:styleId="2446">
    <w:name w:val="正文文字缩进 2"/>
    <w:basedOn w:val="1"/>
    <w:autoRedefine/>
    <w:qFormat/>
    <w:uiPriority w:val="0"/>
    <w:pPr>
      <w:autoSpaceDE w:val="0"/>
      <w:autoSpaceDN w:val="0"/>
      <w:adjustRightInd w:val="0"/>
      <w:spacing w:line="400" w:lineRule="exact"/>
      <w:ind w:firstLine="570"/>
      <w:jc w:val="left"/>
    </w:pPr>
    <w:rPr>
      <w:rFonts w:ascii="宋体"/>
      <w:color w:val="0000FF"/>
      <w:kern w:val="0"/>
      <w:sz w:val="24"/>
      <w:szCs w:val="20"/>
    </w:rPr>
  </w:style>
  <w:style w:type="paragraph" w:customStyle="1" w:styleId="2447">
    <w:name w:val="标题 B"/>
    <w:basedOn w:val="4"/>
    <w:autoRedefine/>
    <w:qFormat/>
    <w:uiPriority w:val="0"/>
    <w:pPr>
      <w:keepLines w:val="0"/>
      <w:tabs>
        <w:tab w:val="left" w:pos="1419"/>
      </w:tabs>
      <w:adjustRightInd w:val="0"/>
      <w:spacing w:before="840" w:after="240" w:line="400" w:lineRule="exact"/>
      <w:jc w:val="center"/>
      <w:textAlignment w:val="baseline"/>
      <w:outlineLvl w:val="9"/>
    </w:pPr>
    <w:rPr>
      <w:rFonts w:ascii="Arial Rounded MT Bold" w:hAnsi="Arial Rounded MT Bold" w:eastAsia="黑体"/>
      <w:b w:val="0"/>
      <w:bCs w:val="0"/>
      <w:spacing w:val="8"/>
      <w:kern w:val="0"/>
      <w:szCs w:val="20"/>
      <w:lang w:val="zh-CN"/>
    </w:rPr>
  </w:style>
  <w:style w:type="paragraph" w:customStyle="1" w:styleId="2448">
    <w:name w:val="TY"/>
    <w:basedOn w:val="1"/>
    <w:autoRedefine/>
    <w:qFormat/>
    <w:uiPriority w:val="0"/>
    <w:pPr>
      <w:adjustRightInd w:val="0"/>
      <w:snapToGrid w:val="0"/>
      <w:spacing w:before="40" w:after="40"/>
    </w:pPr>
    <w:rPr>
      <w:szCs w:val="20"/>
    </w:rPr>
  </w:style>
  <w:style w:type="paragraph" w:customStyle="1" w:styleId="2449">
    <w:name w:val="Char23"/>
    <w:basedOn w:val="1"/>
    <w:autoRedefine/>
    <w:qFormat/>
    <w:uiPriority w:val="0"/>
    <w:rPr>
      <w:sz w:val="24"/>
    </w:rPr>
  </w:style>
  <w:style w:type="paragraph" w:customStyle="1" w:styleId="2450">
    <w:name w:val="报告表正文"/>
    <w:basedOn w:val="1"/>
    <w:autoRedefine/>
    <w:qFormat/>
    <w:uiPriority w:val="0"/>
    <w:pPr>
      <w:adjustRightInd w:val="0"/>
      <w:spacing w:line="312" w:lineRule="auto"/>
      <w:ind w:left="113" w:right="113" w:firstLine="482"/>
      <w:jc w:val="left"/>
      <w:textAlignment w:val="baseline"/>
    </w:pPr>
    <w:rPr>
      <w:kern w:val="0"/>
      <w:sz w:val="24"/>
      <w:szCs w:val="20"/>
    </w:rPr>
  </w:style>
  <w:style w:type="paragraph" w:customStyle="1" w:styleId="2451">
    <w:name w:val="xl37"/>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jc w:val="left"/>
    </w:pPr>
    <w:rPr>
      <w:rFonts w:ascii="宋体" w:hAnsi="宋体"/>
      <w:kern w:val="0"/>
      <w:sz w:val="20"/>
      <w:szCs w:val="20"/>
    </w:rPr>
  </w:style>
  <w:style w:type="paragraph" w:customStyle="1" w:styleId="2452">
    <w:name w:val="正文样式1"/>
    <w:basedOn w:val="1"/>
    <w:autoRedefine/>
    <w:qFormat/>
    <w:uiPriority w:val="0"/>
    <w:pPr>
      <w:widowControl/>
      <w:adjustRightInd w:val="0"/>
      <w:spacing w:line="360" w:lineRule="auto"/>
      <w:ind w:firstLine="480" w:firstLineChars="200"/>
      <w:jc w:val="left"/>
      <w:textAlignment w:val="baseline"/>
    </w:pPr>
    <w:rPr>
      <w:rFonts w:ascii="Arial" w:hAnsi="Arial" w:cs="宋体"/>
      <w:kern w:val="0"/>
      <w:sz w:val="24"/>
    </w:rPr>
  </w:style>
  <w:style w:type="paragraph" w:customStyle="1" w:styleId="2453">
    <w:name w:val="注释"/>
    <w:basedOn w:val="1"/>
    <w:autoRedefine/>
    <w:qFormat/>
    <w:uiPriority w:val="0"/>
    <w:pPr>
      <w:adjustRightInd w:val="0"/>
      <w:snapToGrid w:val="0"/>
      <w:spacing w:line="360" w:lineRule="auto"/>
      <w:textAlignment w:val="baseline"/>
    </w:pPr>
    <w:rPr>
      <w:rFonts w:ascii="宋体"/>
      <w:spacing w:val="4"/>
      <w:kern w:val="0"/>
    </w:rPr>
  </w:style>
  <w:style w:type="paragraph" w:customStyle="1" w:styleId="2454">
    <w:name w:val="综述"/>
    <w:autoRedefine/>
    <w:qFormat/>
    <w:uiPriority w:val="0"/>
    <w:pPr>
      <w:spacing w:beforeLines="50" w:line="440" w:lineRule="exact"/>
      <w:ind w:firstLine="200" w:firstLineChars="200"/>
    </w:pPr>
    <w:rPr>
      <w:rFonts w:ascii="Times New Roman" w:hAnsi="Times New Roman" w:eastAsia="宋体" w:cs="MS Mincho"/>
      <w:b/>
      <w:kern w:val="2"/>
      <w:sz w:val="24"/>
      <w:szCs w:val="24"/>
      <w:lang w:val="en-US" w:eastAsia="zh-CN" w:bidi="ar-SA"/>
    </w:rPr>
  </w:style>
  <w:style w:type="paragraph" w:customStyle="1" w:styleId="2455">
    <w:name w:val="defaultfont"/>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2456">
    <w:name w:val="Char Char2 Char Char Char Char Char Char2"/>
    <w:basedOn w:val="1"/>
    <w:autoRedefine/>
    <w:qFormat/>
    <w:uiPriority w:val="0"/>
    <w:pPr>
      <w:spacing w:line="480" w:lineRule="exact"/>
    </w:pPr>
    <w:rPr>
      <w:sz w:val="22"/>
    </w:rPr>
  </w:style>
  <w:style w:type="paragraph" w:customStyle="1" w:styleId="2457">
    <w:name w:val="表中文字1"/>
    <w:autoRedefine/>
    <w:qFormat/>
    <w:uiPriority w:val="0"/>
    <w:pPr>
      <w:widowControl w:val="0"/>
      <w:adjustRightInd w:val="0"/>
      <w:snapToGrid w:val="0"/>
      <w:spacing w:line="280" w:lineRule="exact"/>
      <w:jc w:val="center"/>
    </w:pPr>
    <w:rPr>
      <w:rFonts w:ascii="仿宋_GB2312" w:hAnsi="Times New Roman" w:eastAsia="仿宋_GB2312" w:cs="Times New Roman"/>
      <w:kern w:val="2"/>
      <w:sz w:val="24"/>
      <w:szCs w:val="24"/>
      <w:lang w:val="en-US" w:eastAsia="zh-CN" w:bidi="ar-SA"/>
    </w:rPr>
  </w:style>
  <w:style w:type="paragraph" w:customStyle="1" w:styleId="2458">
    <w:name w:val="Char7"/>
    <w:basedOn w:val="1"/>
    <w:autoRedefine/>
    <w:qFormat/>
    <w:uiPriority w:val="0"/>
    <w:pPr>
      <w:spacing w:line="240" w:lineRule="exact"/>
      <w:ind w:firstLine="360" w:firstLineChars="200"/>
    </w:pPr>
    <w:rPr>
      <w:rFonts w:ascii="仿宋_GB2312" w:eastAsia="仿宋_GB2312"/>
      <w:sz w:val="18"/>
      <w:szCs w:val="18"/>
    </w:rPr>
  </w:style>
  <w:style w:type="paragraph" w:customStyle="1" w:styleId="2459">
    <w:name w:val="表格内容标题1"/>
    <w:basedOn w:val="42"/>
    <w:autoRedefine/>
    <w:qFormat/>
    <w:uiPriority w:val="0"/>
    <w:pPr>
      <w:jc w:val="center"/>
    </w:pPr>
    <w:rPr>
      <w:rFonts w:ascii="Times New Roman" w:hAnsi="宋体" w:cs="宋体"/>
      <w:b/>
      <w:bCs/>
      <w:sz w:val="18"/>
      <w:szCs w:val="20"/>
    </w:rPr>
  </w:style>
  <w:style w:type="paragraph" w:customStyle="1" w:styleId="2460">
    <w:name w:val="xl54"/>
    <w:basedOn w:val="1"/>
    <w:autoRedefine/>
    <w:qFormat/>
    <w:uiPriority w:val="0"/>
    <w:pPr>
      <w:widowControl/>
      <w:pBdr>
        <w:left w:val="single" w:color="auto" w:sz="4" w:space="0"/>
        <w:bottom w:val="single" w:color="auto" w:sz="12" w:space="0"/>
      </w:pBdr>
      <w:spacing w:before="100" w:beforeAutospacing="1" w:after="100" w:afterAutospacing="1"/>
      <w:jc w:val="left"/>
    </w:pPr>
    <w:rPr>
      <w:rFonts w:ascii="Arial Unicode MS" w:hAnsi="Arial Unicode MS"/>
      <w:kern w:val="0"/>
      <w:sz w:val="16"/>
      <w:szCs w:val="16"/>
    </w:rPr>
  </w:style>
  <w:style w:type="paragraph" w:customStyle="1" w:styleId="2461">
    <w:name w:val="1 Char Char Char Char Char Char Char Char Char Char Char Char Char Char Char Char Char Char Char"/>
    <w:basedOn w:val="1"/>
    <w:autoRedefine/>
    <w:qFormat/>
    <w:uiPriority w:val="0"/>
    <w:pPr>
      <w:adjustRightInd w:val="0"/>
      <w:spacing w:line="360" w:lineRule="auto"/>
    </w:pPr>
    <w:rPr>
      <w:kern w:val="0"/>
      <w:sz w:val="24"/>
      <w:szCs w:val="20"/>
    </w:rPr>
  </w:style>
  <w:style w:type="paragraph" w:customStyle="1" w:styleId="2462">
    <w:name w:val="样式 宋体 红色 行距: 1.5 倍行距"/>
    <w:basedOn w:val="1"/>
    <w:autoRedefine/>
    <w:qFormat/>
    <w:uiPriority w:val="0"/>
    <w:pPr>
      <w:adjustRightInd w:val="0"/>
      <w:snapToGrid w:val="0"/>
      <w:spacing w:line="360" w:lineRule="auto"/>
      <w:ind w:firstLine="560" w:firstLineChars="200"/>
    </w:pPr>
    <w:rPr>
      <w:rFonts w:ascii="宋体" w:hAnsi="宋体" w:cs="宋体"/>
      <w:color w:val="FF0000"/>
      <w:sz w:val="24"/>
      <w:szCs w:val="20"/>
    </w:rPr>
  </w:style>
  <w:style w:type="paragraph" w:customStyle="1" w:styleId="2463">
    <w:name w:val="xl130"/>
    <w:basedOn w:val="1"/>
    <w:autoRedefine/>
    <w:qFormat/>
    <w:uiPriority w:val="0"/>
    <w:pPr>
      <w:widowControl/>
      <w:pBdr>
        <w:left w:val="single" w:color="auto" w:sz="4" w:space="0"/>
        <w:right w:val="single" w:color="auto" w:sz="8" w:space="0"/>
      </w:pBdr>
      <w:spacing w:before="100" w:beforeAutospacing="1" w:after="100" w:afterAutospacing="1"/>
      <w:jc w:val="center"/>
    </w:pPr>
    <w:rPr>
      <w:rFonts w:ascii="Arial Unicode MS" w:hAnsi="Arial Unicode MS"/>
      <w:kern w:val="0"/>
      <w:sz w:val="16"/>
      <w:szCs w:val="16"/>
    </w:rPr>
  </w:style>
  <w:style w:type="paragraph" w:customStyle="1" w:styleId="2464">
    <w:name w:val="Char Char Char Char Char Char Char Char Char1 Char Char Char Char Char Char1 Char1"/>
    <w:basedOn w:val="1"/>
    <w:autoRedefine/>
    <w:qFormat/>
    <w:uiPriority w:val="0"/>
    <w:rPr>
      <w:szCs w:val="21"/>
    </w:rPr>
  </w:style>
  <w:style w:type="paragraph" w:customStyle="1" w:styleId="2465">
    <w:name w:val="样式 标题 2标题 2 Char标2h2H2标题21.1标题 2 + Times New Roman"/>
    <w:basedOn w:val="4"/>
    <w:autoRedefine/>
    <w:qFormat/>
    <w:uiPriority w:val="0"/>
    <w:pPr>
      <w:tabs>
        <w:tab w:val="left" w:pos="1419"/>
      </w:tabs>
      <w:autoSpaceDE w:val="0"/>
      <w:autoSpaceDN w:val="0"/>
      <w:adjustRightInd w:val="0"/>
      <w:spacing w:before="200" w:after="163" w:line="360" w:lineRule="auto"/>
      <w:jc w:val="center"/>
    </w:pPr>
    <w:rPr>
      <w:rFonts w:ascii="Times New Roman" w:hAnsi="Times New Roman" w:eastAsia="仿宋_GB2312"/>
      <w:b w:val="0"/>
      <w:bCs w:val="0"/>
      <w:kern w:val="0"/>
      <w:sz w:val="24"/>
      <w:szCs w:val="20"/>
      <w:lang w:val="zh-CN"/>
    </w:rPr>
  </w:style>
  <w:style w:type="paragraph" w:customStyle="1" w:styleId="2466">
    <w:name w:val="xl111"/>
    <w:basedOn w:val="1"/>
    <w:autoRedefine/>
    <w:qFormat/>
    <w:uiPriority w:val="0"/>
    <w:pPr>
      <w:widowControl/>
      <w:pBdr>
        <w:top w:val="single" w:color="auto" w:sz="8" w:space="0"/>
      </w:pBdr>
      <w:spacing w:before="100" w:beforeAutospacing="1" w:after="100" w:afterAutospacing="1"/>
      <w:jc w:val="center"/>
    </w:pPr>
    <w:rPr>
      <w:rFonts w:ascii="Arial Unicode MS" w:hAnsi="Arial Unicode MS"/>
      <w:kern w:val="0"/>
      <w:sz w:val="16"/>
      <w:szCs w:val="16"/>
    </w:rPr>
  </w:style>
  <w:style w:type="paragraph" w:customStyle="1" w:styleId="2467">
    <w:name w:val="样式 标题 3 + 左侧:  0 毫米 悬挂缩进: 7.09 字符 行距: 最小值 25 磅"/>
    <w:basedOn w:val="5"/>
    <w:autoRedefine/>
    <w:qFormat/>
    <w:uiPriority w:val="0"/>
    <w:pPr>
      <w:keepLines w:val="0"/>
      <w:tabs>
        <w:tab w:val="left" w:pos="1418"/>
      </w:tabs>
      <w:spacing w:before="0" w:after="0" w:line="500" w:lineRule="atLeast"/>
      <w:ind w:left="709" w:hanging="709"/>
    </w:pPr>
    <w:rPr>
      <w:rFonts w:cs="宋体"/>
      <w:b w:val="0"/>
      <w:bCs w:val="0"/>
      <w:kern w:val="0"/>
      <w:sz w:val="28"/>
      <w:szCs w:val="20"/>
      <w:lang w:val="zh-CN"/>
    </w:rPr>
  </w:style>
  <w:style w:type="paragraph" w:customStyle="1" w:styleId="2468">
    <w:name w:val="Char Char3 Char3"/>
    <w:basedOn w:val="1"/>
    <w:autoRedefine/>
    <w:qFormat/>
    <w:uiPriority w:val="0"/>
    <w:rPr>
      <w:rFonts w:ascii="Tahoma" w:hAnsi="Tahoma"/>
      <w:sz w:val="24"/>
      <w:szCs w:val="20"/>
    </w:rPr>
  </w:style>
  <w:style w:type="paragraph" w:customStyle="1" w:styleId="2469">
    <w:name w:val="表内字"/>
    <w:autoRedefine/>
    <w:qFormat/>
    <w:uiPriority w:val="0"/>
    <w:pPr>
      <w:jc w:val="center"/>
    </w:pPr>
    <w:rPr>
      <w:rFonts w:ascii="Arial" w:hAnsi="Arial" w:eastAsia="楷体_GB2312" w:cs="Times New Roman"/>
      <w:sz w:val="21"/>
      <w:lang w:val="en-US" w:eastAsia="zh-CN" w:bidi="ar-SA"/>
    </w:rPr>
  </w:style>
  <w:style w:type="paragraph" w:customStyle="1" w:styleId="2470">
    <w:name w:val="Char15"/>
    <w:basedOn w:val="1"/>
    <w:autoRedefine/>
    <w:qFormat/>
    <w:uiPriority w:val="0"/>
    <w:rPr>
      <w:szCs w:val="21"/>
    </w:rPr>
  </w:style>
  <w:style w:type="paragraph" w:customStyle="1" w:styleId="2471">
    <w:name w:val="表前文"/>
    <w:basedOn w:val="1"/>
    <w:autoRedefine/>
    <w:qFormat/>
    <w:uiPriority w:val="0"/>
    <w:pPr>
      <w:adjustRightInd w:val="0"/>
      <w:spacing w:after="120" w:line="360" w:lineRule="auto"/>
      <w:ind w:firstLine="493"/>
      <w:textAlignment w:val="baseline"/>
    </w:pPr>
    <w:rPr>
      <w:kern w:val="0"/>
      <w:sz w:val="24"/>
    </w:rPr>
  </w:style>
  <w:style w:type="paragraph" w:customStyle="1" w:styleId="2472">
    <w:name w:val="样式 标题 4 + 四号 段前: 1 行"/>
    <w:basedOn w:val="6"/>
    <w:autoRedefine/>
    <w:qFormat/>
    <w:uiPriority w:val="0"/>
    <w:pPr>
      <w:keepLines/>
      <w:widowControl/>
      <w:tabs>
        <w:tab w:val="left" w:pos="1984"/>
        <w:tab w:val="left" w:pos="2160"/>
      </w:tabs>
      <w:spacing w:before="312" w:line="420" w:lineRule="exact"/>
      <w:ind w:left="560" w:right="0"/>
      <w:jc w:val="both"/>
    </w:pPr>
    <w:rPr>
      <w:rFonts w:ascii="Arial" w:hAnsi="Arial" w:eastAsia="黑体"/>
      <w:color w:val="auto"/>
      <w:kern w:val="0"/>
      <w:szCs w:val="20"/>
      <w:lang w:val="zh-CN"/>
    </w:rPr>
  </w:style>
  <w:style w:type="paragraph" w:customStyle="1" w:styleId="2473">
    <w:name w:val="0text"/>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2474">
    <w:name w:val="xl207"/>
    <w:basedOn w:val="1"/>
    <w:autoRedefine/>
    <w:qFormat/>
    <w:uiPriority w:val="0"/>
    <w:pPr>
      <w:widowControl/>
      <w:pBdr>
        <w:left w:val="single" w:color="auto" w:sz="8" w:space="0"/>
        <w:bottom w:val="single" w:color="auto" w:sz="8" w:space="0"/>
        <w:right w:val="single" w:color="auto" w:sz="8" w:space="0"/>
      </w:pBdr>
      <w:spacing w:before="100" w:beforeAutospacing="1" w:after="100" w:afterAutospacing="1"/>
      <w:jc w:val="center"/>
    </w:pPr>
    <w:rPr>
      <w:kern w:val="0"/>
      <w:sz w:val="18"/>
      <w:szCs w:val="18"/>
    </w:rPr>
  </w:style>
  <w:style w:type="paragraph" w:customStyle="1" w:styleId="2475">
    <w:name w:val="正文文本缩进2"/>
    <w:basedOn w:val="1"/>
    <w:autoRedefine/>
    <w:qFormat/>
    <w:uiPriority w:val="0"/>
    <w:pPr>
      <w:spacing w:after="120" w:line="360" w:lineRule="auto"/>
      <w:ind w:left="420" w:leftChars="200" w:firstLine="200" w:firstLineChars="200"/>
    </w:pPr>
    <w:rPr>
      <w:sz w:val="24"/>
    </w:rPr>
  </w:style>
  <w:style w:type="paragraph" w:customStyle="1" w:styleId="2476">
    <w:name w:val="正文文本缩进 3 + 宋体"/>
    <w:basedOn w:val="62"/>
    <w:autoRedefine/>
    <w:qFormat/>
    <w:uiPriority w:val="0"/>
    <w:pPr>
      <w:spacing w:line="500" w:lineRule="exact"/>
      <w:ind w:left="0" w:firstLine="560" w:firstLineChars="200"/>
    </w:pPr>
    <w:rPr>
      <w:rFonts w:hint="eastAsia" w:ascii="宋体" w:hAnsi="宋体" w:eastAsia="宋体"/>
      <w:w w:val="90"/>
      <w:sz w:val="28"/>
      <w:szCs w:val="28"/>
      <w:lang w:val="zh-CN"/>
    </w:rPr>
  </w:style>
  <w:style w:type="paragraph" w:customStyle="1" w:styleId="2477">
    <w:name w:val="文字块"/>
    <w:basedOn w:val="1"/>
    <w:autoRedefine/>
    <w:qFormat/>
    <w:uiPriority w:val="0"/>
    <w:pPr>
      <w:adjustRightInd w:val="0"/>
      <w:spacing w:line="360" w:lineRule="auto"/>
      <w:ind w:left="-360" w:right="-57" w:firstLine="303"/>
    </w:pPr>
    <w:rPr>
      <w:sz w:val="28"/>
      <w:szCs w:val="20"/>
    </w:rPr>
  </w:style>
  <w:style w:type="paragraph" w:customStyle="1" w:styleId="2478">
    <w:name w:val="style5"/>
    <w:basedOn w:val="1"/>
    <w:autoRedefine/>
    <w:qFormat/>
    <w:uiPriority w:val="0"/>
    <w:pPr>
      <w:widowControl/>
      <w:spacing w:before="100" w:beforeAutospacing="1" w:after="100" w:afterAutospacing="1"/>
      <w:jc w:val="left"/>
    </w:pPr>
    <w:rPr>
      <w:rFonts w:ascii="Verdana" w:hAnsi="Verdana" w:cs="宋体"/>
      <w:kern w:val="0"/>
      <w:sz w:val="24"/>
    </w:rPr>
  </w:style>
  <w:style w:type="paragraph" w:customStyle="1" w:styleId="2479">
    <w:name w:val="xl189"/>
    <w:basedOn w:val="1"/>
    <w:autoRedefine/>
    <w:qFormat/>
    <w:uiPriority w:val="0"/>
    <w:pPr>
      <w:widowControl/>
      <w:pBdr>
        <w:bottom w:val="single" w:color="auto" w:sz="12" w:space="0"/>
        <w:right w:val="single" w:color="auto" w:sz="4" w:space="0"/>
      </w:pBdr>
      <w:spacing w:before="100" w:beforeAutospacing="1" w:after="100" w:afterAutospacing="1"/>
      <w:jc w:val="center"/>
    </w:pPr>
    <w:rPr>
      <w:rFonts w:ascii="Arial Unicode MS" w:hAnsi="Arial Unicode MS"/>
      <w:kern w:val="0"/>
    </w:rPr>
  </w:style>
  <w:style w:type="paragraph" w:customStyle="1" w:styleId="2480">
    <w:name w:val="font17"/>
    <w:basedOn w:val="1"/>
    <w:autoRedefine/>
    <w:qFormat/>
    <w:uiPriority w:val="0"/>
    <w:pPr>
      <w:widowControl/>
      <w:spacing w:before="100" w:beforeAutospacing="1" w:after="100" w:afterAutospacing="1"/>
      <w:jc w:val="left"/>
    </w:pPr>
    <w:rPr>
      <w:color w:val="FF6600"/>
      <w:kern w:val="0"/>
      <w:sz w:val="18"/>
      <w:szCs w:val="18"/>
    </w:rPr>
  </w:style>
  <w:style w:type="paragraph" w:customStyle="1" w:styleId="2481">
    <w:name w:val="样式2"/>
    <w:basedOn w:val="3"/>
    <w:autoRedefine/>
    <w:qFormat/>
    <w:uiPriority w:val="0"/>
    <w:pPr>
      <w:keepLines/>
      <w:overflowPunct/>
      <w:snapToGrid/>
      <w:spacing w:before="340" w:after="330" w:line="520" w:lineRule="exact"/>
      <w:ind w:left="0" w:firstLine="0"/>
    </w:pPr>
    <w:rPr>
      <w:rFonts w:ascii="宋体" w:hAnsi="宋体" w:eastAsia="宋体"/>
      <w:b w:val="0"/>
      <w:color w:val="auto"/>
      <w:sz w:val="44"/>
      <w:szCs w:val="44"/>
      <w:lang w:val="zh-CN"/>
    </w:rPr>
  </w:style>
  <w:style w:type="paragraph" w:customStyle="1" w:styleId="2482">
    <w:name w:val="Char36"/>
    <w:basedOn w:val="1"/>
    <w:autoRedefine/>
    <w:qFormat/>
    <w:uiPriority w:val="0"/>
    <w:rPr>
      <w:sz w:val="24"/>
    </w:rPr>
  </w:style>
  <w:style w:type="paragraph" w:customStyle="1" w:styleId="2483">
    <w:name w:val="xl41"/>
    <w:basedOn w:val="1"/>
    <w:autoRedefine/>
    <w:qFormat/>
    <w:uiPriority w:val="0"/>
    <w:pPr>
      <w:widowControl/>
      <w:pBdr>
        <w:left w:val="single" w:color="auto" w:sz="12" w:space="0"/>
        <w:right w:val="single" w:color="auto" w:sz="12" w:space="0"/>
      </w:pBdr>
      <w:spacing w:before="100" w:beforeAutospacing="1" w:after="100" w:afterAutospacing="1"/>
      <w:jc w:val="center"/>
    </w:pPr>
    <w:rPr>
      <w:rFonts w:ascii="Arial Unicode MS" w:hAnsi="Arial Unicode MS"/>
      <w:kern w:val="0"/>
      <w:sz w:val="16"/>
      <w:szCs w:val="16"/>
    </w:rPr>
  </w:style>
  <w:style w:type="paragraph" w:customStyle="1" w:styleId="2484">
    <w:name w:val="图框文字 Char"/>
    <w:basedOn w:val="1"/>
    <w:autoRedefine/>
    <w:qFormat/>
    <w:uiPriority w:val="0"/>
    <w:pPr>
      <w:jc w:val="center"/>
    </w:pPr>
    <w:rPr>
      <w:rFonts w:cs="宋体"/>
      <w:spacing w:val="4"/>
      <w:szCs w:val="21"/>
    </w:rPr>
  </w:style>
  <w:style w:type="paragraph" w:customStyle="1" w:styleId="2485">
    <w:name w:val="常规"/>
    <w:basedOn w:val="1"/>
    <w:autoRedefine/>
    <w:qFormat/>
    <w:uiPriority w:val="0"/>
    <w:pPr>
      <w:widowControl/>
      <w:jc w:val="left"/>
    </w:pPr>
    <w:rPr>
      <w:color w:val="000000"/>
      <w:kern w:val="0"/>
      <w:sz w:val="20"/>
      <w:szCs w:val="20"/>
    </w:rPr>
  </w:style>
  <w:style w:type="paragraph" w:customStyle="1" w:styleId="2486">
    <w:name w:val="sitemcompany"/>
    <w:basedOn w:val="1"/>
    <w:autoRedefine/>
    <w:qFormat/>
    <w:uiPriority w:val="0"/>
    <w:pPr>
      <w:widowControl/>
      <w:spacing w:before="100" w:beforeAutospacing="1" w:after="100" w:afterAutospacing="1"/>
      <w:jc w:val="left"/>
    </w:pPr>
    <w:rPr>
      <w:rFonts w:ascii="宋体" w:hAnsi="宋体"/>
      <w:kern w:val="0"/>
      <w:sz w:val="24"/>
      <w:szCs w:val="20"/>
    </w:rPr>
  </w:style>
  <w:style w:type="paragraph" w:customStyle="1" w:styleId="2487">
    <w:name w:val="Date3"/>
    <w:basedOn w:val="1"/>
    <w:next w:val="1"/>
    <w:autoRedefine/>
    <w:qFormat/>
    <w:uiPriority w:val="0"/>
    <w:pPr>
      <w:adjustRightInd w:val="0"/>
      <w:textAlignment w:val="baseline"/>
    </w:pPr>
    <w:rPr>
      <w:szCs w:val="20"/>
    </w:rPr>
  </w:style>
  <w:style w:type="paragraph" w:customStyle="1" w:styleId="2488">
    <w:name w:val="Char20"/>
    <w:basedOn w:val="1"/>
    <w:autoRedefine/>
    <w:qFormat/>
    <w:uiPriority w:val="0"/>
    <w:rPr>
      <w:sz w:val="24"/>
    </w:rPr>
  </w:style>
  <w:style w:type="paragraph" w:customStyle="1" w:styleId="2489">
    <w:name w:val="gy"/>
    <w:basedOn w:val="1"/>
    <w:autoRedefine/>
    <w:qFormat/>
    <w:uiPriority w:val="0"/>
    <w:pPr>
      <w:widowControl/>
      <w:spacing w:before="100" w:beforeAutospacing="1" w:after="100" w:afterAutospacing="1" w:line="360" w:lineRule="auto"/>
      <w:ind w:left="150" w:right="150" w:firstLine="520"/>
      <w:jc w:val="left"/>
    </w:pPr>
    <w:rPr>
      <w:rFonts w:ascii="Arial Unicode MS" w:hAnsi="Arial Unicode MS" w:eastAsia="Arial Unicode MS"/>
      <w:kern w:val="0"/>
      <w:sz w:val="18"/>
      <w:szCs w:val="20"/>
    </w:rPr>
  </w:style>
  <w:style w:type="paragraph" w:customStyle="1" w:styleId="2490">
    <w:name w:val="xl36"/>
    <w:basedOn w:val="1"/>
    <w:autoRedefine/>
    <w:qFormat/>
    <w:uiPriority w:val="0"/>
    <w:pPr>
      <w:widowControl/>
      <w:pBdr>
        <w:left w:val="single" w:color="auto" w:sz="4" w:space="0"/>
        <w:bottom w:val="single" w:color="auto" w:sz="8" w:space="0"/>
        <w:right w:val="single" w:color="auto" w:sz="4" w:space="0"/>
      </w:pBdr>
      <w:spacing w:before="100" w:beforeAutospacing="1" w:after="100" w:afterAutospacing="1"/>
      <w:jc w:val="center"/>
      <w:textAlignment w:val="center"/>
    </w:pPr>
    <w:rPr>
      <w:rFonts w:ascii="Arial" w:hAnsi="Arial"/>
      <w:kern w:val="0"/>
      <w:sz w:val="24"/>
    </w:rPr>
  </w:style>
  <w:style w:type="paragraph" w:customStyle="1" w:styleId="2491">
    <w:name w:val="xl161"/>
    <w:basedOn w:val="1"/>
    <w:autoRedefine/>
    <w:qFormat/>
    <w:uiPriority w:val="0"/>
    <w:pPr>
      <w:widowControl/>
      <w:spacing w:before="100" w:beforeAutospacing="1" w:after="100" w:afterAutospacing="1"/>
      <w:jc w:val="center"/>
    </w:pPr>
    <w:rPr>
      <w:rFonts w:ascii="Arial Unicode MS" w:hAnsi="Arial Unicode MS"/>
      <w:kern w:val="0"/>
    </w:rPr>
  </w:style>
  <w:style w:type="paragraph" w:customStyle="1" w:styleId="2492">
    <w:name w:val="xl147"/>
    <w:basedOn w:val="1"/>
    <w:autoRedefine/>
    <w:qFormat/>
    <w:uiPriority w:val="0"/>
    <w:pPr>
      <w:widowControl/>
      <w:spacing w:before="100" w:beforeAutospacing="1" w:after="100" w:afterAutospacing="1"/>
      <w:jc w:val="center"/>
    </w:pPr>
    <w:rPr>
      <w:rFonts w:ascii="Arial Unicode MS" w:hAnsi="Arial Unicode MS"/>
      <w:kern w:val="0"/>
    </w:rPr>
  </w:style>
  <w:style w:type="paragraph" w:customStyle="1" w:styleId="2493">
    <w:name w:val="xl68"/>
    <w:basedOn w:val="1"/>
    <w:autoRedefine/>
    <w:qFormat/>
    <w:uiPriority w:val="0"/>
    <w:pPr>
      <w:widowControl/>
      <w:pBdr>
        <w:top w:val="single" w:color="auto" w:sz="12" w:space="0"/>
      </w:pBdr>
      <w:spacing w:before="100" w:beforeAutospacing="1" w:after="100" w:afterAutospacing="1"/>
      <w:jc w:val="left"/>
    </w:pPr>
    <w:rPr>
      <w:rFonts w:ascii="Arial Unicode MS" w:hAnsi="Arial Unicode MS"/>
      <w:kern w:val="0"/>
      <w:sz w:val="12"/>
      <w:szCs w:val="12"/>
    </w:rPr>
  </w:style>
  <w:style w:type="paragraph" w:customStyle="1" w:styleId="2494">
    <w:name w:val="xl98"/>
    <w:basedOn w:val="1"/>
    <w:autoRedefine/>
    <w:qFormat/>
    <w:uiPriority w:val="0"/>
    <w:pPr>
      <w:widowControl/>
      <w:pBdr>
        <w:right w:val="single" w:color="auto" w:sz="12" w:space="0"/>
      </w:pBdr>
      <w:spacing w:before="100" w:beforeAutospacing="1" w:after="100" w:afterAutospacing="1"/>
      <w:jc w:val="center"/>
    </w:pPr>
    <w:rPr>
      <w:rFonts w:ascii="Arial Unicode MS" w:hAnsi="Arial Unicode MS"/>
      <w:kern w:val="0"/>
      <w:sz w:val="12"/>
      <w:szCs w:val="12"/>
    </w:rPr>
  </w:style>
  <w:style w:type="paragraph" w:customStyle="1" w:styleId="2495">
    <w:name w:val="图表五号"/>
    <w:basedOn w:val="1"/>
    <w:autoRedefine/>
    <w:qFormat/>
    <w:uiPriority w:val="0"/>
    <w:pPr>
      <w:autoSpaceDE w:val="0"/>
      <w:autoSpaceDN w:val="0"/>
      <w:adjustRightInd w:val="0"/>
      <w:snapToGrid w:val="0"/>
      <w:spacing w:line="20" w:lineRule="atLeast"/>
      <w:ind w:firstLine="200" w:firstLineChars="200"/>
      <w:jc w:val="center"/>
    </w:pPr>
    <w:rPr>
      <w:rFonts w:eastAsia="仿宋_GB2312"/>
      <w:szCs w:val="20"/>
    </w:rPr>
  </w:style>
  <w:style w:type="paragraph" w:customStyle="1" w:styleId="2496">
    <w:name w:val="Char Char Char Char Char Char Char Char Char1 Char4"/>
    <w:basedOn w:val="1"/>
    <w:autoRedefine/>
    <w:qFormat/>
    <w:uiPriority w:val="0"/>
    <w:pPr>
      <w:widowControl/>
      <w:spacing w:after="160" w:line="240" w:lineRule="exact"/>
      <w:jc w:val="left"/>
    </w:pPr>
    <w:rPr>
      <w:rFonts w:ascii="Arial" w:hAnsi="Arial" w:cs="Verdana"/>
      <w:b/>
      <w:kern w:val="0"/>
      <w:sz w:val="24"/>
      <w:lang w:eastAsia="en-US"/>
    </w:rPr>
  </w:style>
  <w:style w:type="paragraph" w:customStyle="1" w:styleId="2497">
    <w:name w:val="小四表格"/>
    <w:basedOn w:val="1"/>
    <w:autoRedefine/>
    <w:qFormat/>
    <w:uiPriority w:val="0"/>
    <w:pPr>
      <w:keepNext/>
      <w:autoSpaceDE w:val="0"/>
      <w:autoSpaceDN w:val="0"/>
      <w:adjustRightInd w:val="0"/>
      <w:spacing w:line="480" w:lineRule="atLeast"/>
      <w:jc w:val="center"/>
    </w:pPr>
    <w:rPr>
      <w:color w:val="000000"/>
      <w:sz w:val="24"/>
      <w:szCs w:val="20"/>
    </w:rPr>
  </w:style>
  <w:style w:type="paragraph" w:customStyle="1" w:styleId="2498">
    <w:name w:val="xl84"/>
    <w:basedOn w:val="1"/>
    <w:autoRedefine/>
    <w:qFormat/>
    <w:uiPriority w:val="0"/>
    <w:pPr>
      <w:widowControl/>
      <w:pBdr>
        <w:bottom w:val="single" w:color="auto" w:sz="12" w:space="0"/>
      </w:pBdr>
      <w:spacing w:before="100" w:beforeAutospacing="1" w:after="100" w:afterAutospacing="1"/>
      <w:jc w:val="center"/>
    </w:pPr>
    <w:rPr>
      <w:rFonts w:ascii="Arial Unicode MS" w:hAnsi="Arial Unicode MS"/>
      <w:kern w:val="0"/>
      <w:sz w:val="12"/>
      <w:szCs w:val="12"/>
    </w:rPr>
  </w:style>
  <w:style w:type="paragraph" w:customStyle="1" w:styleId="2499">
    <w:name w:val="xl80"/>
    <w:basedOn w:val="1"/>
    <w:autoRedefine/>
    <w:qFormat/>
    <w:uiPriority w:val="0"/>
    <w:pPr>
      <w:widowControl/>
      <w:pBdr>
        <w:left w:val="single" w:color="auto" w:sz="12" w:space="0"/>
        <w:bottom w:val="single" w:color="auto" w:sz="12" w:space="0"/>
      </w:pBdr>
      <w:spacing w:before="100" w:beforeAutospacing="1" w:after="100" w:afterAutospacing="1"/>
      <w:jc w:val="center"/>
    </w:pPr>
    <w:rPr>
      <w:rFonts w:ascii="Arial Unicode MS" w:hAnsi="Arial Unicode MS"/>
      <w:kern w:val="0"/>
      <w:sz w:val="12"/>
      <w:szCs w:val="12"/>
    </w:rPr>
  </w:style>
  <w:style w:type="paragraph" w:customStyle="1" w:styleId="2500">
    <w:name w:val="正文图标题"/>
    <w:next w:val="1"/>
    <w:autoRedefine/>
    <w:qFormat/>
    <w:uiPriority w:val="0"/>
    <w:pPr>
      <w:jc w:val="center"/>
    </w:pPr>
    <w:rPr>
      <w:rFonts w:ascii="黑体" w:hAnsi="Times New Roman" w:eastAsia="黑体" w:cs="Times New Roman"/>
      <w:sz w:val="21"/>
      <w:lang w:val="en-US" w:eastAsia="zh-CN" w:bidi="ar-SA"/>
    </w:rPr>
  </w:style>
  <w:style w:type="paragraph" w:customStyle="1" w:styleId="2501">
    <w:name w:val="Char Char Char Char10"/>
    <w:basedOn w:val="1"/>
    <w:autoRedefine/>
    <w:qFormat/>
    <w:uiPriority w:val="0"/>
    <w:rPr>
      <w:sz w:val="24"/>
    </w:rPr>
  </w:style>
  <w:style w:type="paragraph" w:customStyle="1" w:styleId="2502">
    <w:name w:val="样式 标题 3条标题1.1.1 + 宋体 小四 左 左侧:  0.32 厘米 段前: 13 磅 段后: 13 磅 ..."/>
    <w:basedOn w:val="5"/>
    <w:autoRedefine/>
    <w:qFormat/>
    <w:uiPriority w:val="0"/>
    <w:pPr>
      <w:keepLines w:val="0"/>
      <w:spacing w:before="100" w:beforeAutospacing="1" w:after="100" w:afterAutospacing="1" w:line="480" w:lineRule="auto"/>
      <w:jc w:val="left"/>
    </w:pPr>
    <w:rPr>
      <w:rFonts w:ascii="宋体" w:hAnsi="宋体"/>
      <w:kern w:val="0"/>
      <w:sz w:val="24"/>
      <w:szCs w:val="20"/>
      <w:lang w:val="zh-CN"/>
    </w:rPr>
  </w:style>
  <w:style w:type="paragraph" w:customStyle="1" w:styleId="2503">
    <w:name w:val="正文图五"/>
    <w:basedOn w:val="1"/>
    <w:autoRedefine/>
    <w:qFormat/>
    <w:uiPriority w:val="0"/>
    <w:pPr>
      <w:adjustRightInd w:val="0"/>
      <w:snapToGrid w:val="0"/>
      <w:jc w:val="center"/>
    </w:pPr>
    <w:rPr>
      <w:rFonts w:eastAsia="仿宋_GB2312"/>
      <w:spacing w:val="6"/>
      <w:szCs w:val="20"/>
    </w:rPr>
  </w:style>
  <w:style w:type="paragraph" w:customStyle="1" w:styleId="2504">
    <w:name w:val="Char Char Char Char"/>
    <w:basedOn w:val="1"/>
    <w:autoRedefine/>
    <w:qFormat/>
    <w:uiPriority w:val="0"/>
    <w:rPr>
      <w:sz w:val="24"/>
    </w:rPr>
  </w:style>
  <w:style w:type="paragraph" w:customStyle="1" w:styleId="2505">
    <w:name w:val="xl182"/>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center"/>
    </w:pPr>
    <w:rPr>
      <w:kern w:val="0"/>
      <w:sz w:val="16"/>
      <w:szCs w:val="16"/>
    </w:rPr>
  </w:style>
  <w:style w:type="paragraph" w:customStyle="1" w:styleId="2506">
    <w:name w:val="批记录"/>
    <w:basedOn w:val="38"/>
    <w:autoRedefine/>
    <w:qFormat/>
    <w:uiPriority w:val="0"/>
    <w:pPr>
      <w:spacing w:after="0"/>
      <w:ind w:left="0" w:leftChars="0" w:right="0" w:rightChars="0"/>
    </w:pPr>
    <w:rPr>
      <w:rFonts w:ascii="宋体"/>
      <w:sz w:val="24"/>
      <w:szCs w:val="20"/>
    </w:rPr>
  </w:style>
  <w:style w:type="paragraph" w:customStyle="1" w:styleId="2507">
    <w:name w:val="cb"/>
    <w:basedOn w:val="1"/>
    <w:autoRedefine/>
    <w:qFormat/>
    <w:uiPriority w:val="0"/>
    <w:pPr>
      <w:widowControl/>
      <w:autoSpaceDE w:val="0"/>
      <w:autoSpaceDN w:val="0"/>
      <w:spacing w:line="312" w:lineRule="auto"/>
      <w:ind w:firstLine="200" w:firstLineChars="200"/>
      <w:jc w:val="left"/>
    </w:pPr>
    <w:rPr>
      <w:rFonts w:ascii="宋体" w:hAnsi="宋体" w:cs="宋体"/>
      <w:color w:val="0000FF"/>
      <w:kern w:val="0"/>
      <w:sz w:val="24"/>
      <w:szCs w:val="21"/>
      <w:lang w:val="zh-CN"/>
    </w:rPr>
  </w:style>
  <w:style w:type="paragraph" w:customStyle="1" w:styleId="2508">
    <w:name w:val="+列表1"/>
    <w:basedOn w:val="1"/>
    <w:autoRedefine/>
    <w:qFormat/>
    <w:uiPriority w:val="0"/>
    <w:pPr>
      <w:jc w:val="center"/>
    </w:pPr>
  </w:style>
  <w:style w:type="paragraph" w:customStyle="1" w:styleId="2509">
    <w:name w:val="td2"/>
    <w:basedOn w:val="1"/>
    <w:autoRedefine/>
    <w:qFormat/>
    <w:uiPriority w:val="0"/>
    <w:pPr>
      <w:widowControl/>
      <w:spacing w:before="100" w:beforeAutospacing="1" w:after="100" w:afterAutospacing="1" w:line="360" w:lineRule="atLeast"/>
      <w:jc w:val="left"/>
    </w:pPr>
    <w:rPr>
      <w:rFonts w:ascii="宋体" w:hAnsi="宋体" w:cs="宋体"/>
      <w:kern w:val="0"/>
      <w:sz w:val="20"/>
      <w:szCs w:val="20"/>
    </w:rPr>
  </w:style>
  <w:style w:type="paragraph" w:customStyle="1" w:styleId="2510">
    <w:name w:val="BG1"/>
    <w:basedOn w:val="1"/>
    <w:autoRedefine/>
    <w:qFormat/>
    <w:uiPriority w:val="0"/>
    <w:pPr>
      <w:autoSpaceDE w:val="0"/>
      <w:autoSpaceDN w:val="0"/>
      <w:jc w:val="center"/>
    </w:pPr>
    <w:rPr>
      <w:color w:val="000000"/>
      <w:kern w:val="0"/>
    </w:rPr>
  </w:style>
  <w:style w:type="paragraph" w:customStyle="1" w:styleId="2511">
    <w:name w:val="Char Char Char Char Char2"/>
    <w:basedOn w:val="1"/>
    <w:autoRedefine/>
    <w:qFormat/>
    <w:uiPriority w:val="0"/>
    <w:pPr>
      <w:spacing w:line="240" w:lineRule="exact"/>
      <w:ind w:firstLine="200" w:firstLineChars="200"/>
    </w:pPr>
    <w:rPr>
      <w:sz w:val="28"/>
      <w:szCs w:val="28"/>
    </w:rPr>
  </w:style>
  <w:style w:type="paragraph" w:customStyle="1" w:styleId="2512">
    <w:name w:val="17"/>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513">
    <w:name w:val="样式 标题 2标题 2 Char标题 2 Char Char Char节节标题 1.1H2（一）Underrubr...1"/>
    <w:basedOn w:val="4"/>
    <w:autoRedefine/>
    <w:qFormat/>
    <w:uiPriority w:val="0"/>
    <w:pPr>
      <w:tabs>
        <w:tab w:val="left" w:pos="932"/>
        <w:tab w:val="left" w:pos="1419"/>
      </w:tabs>
      <w:spacing w:before="0" w:after="0" w:line="360" w:lineRule="auto"/>
      <w:ind w:left="932" w:hanging="567"/>
    </w:pPr>
    <w:rPr>
      <w:rFonts w:ascii="Times New Roman" w:hAnsi="Times New Roman"/>
      <w:b w:val="0"/>
      <w:color w:val="000000"/>
      <w:sz w:val="30"/>
      <w:szCs w:val="20"/>
      <w:lang w:val="zh-CN"/>
    </w:rPr>
  </w:style>
  <w:style w:type="paragraph" w:customStyle="1" w:styleId="2514">
    <w:name w:val="Normal Indent2"/>
    <w:basedOn w:val="1"/>
    <w:autoRedefine/>
    <w:qFormat/>
    <w:uiPriority w:val="0"/>
    <w:pPr>
      <w:adjustRightInd w:val="0"/>
      <w:ind w:firstLine="420" w:firstLineChars="200"/>
      <w:textAlignment w:val="baseline"/>
    </w:pPr>
    <w:rPr>
      <w:rFonts w:hint="eastAsia" w:hAnsi="宋体"/>
      <w:sz w:val="24"/>
      <w:szCs w:val="20"/>
    </w:rPr>
  </w:style>
  <w:style w:type="paragraph" w:customStyle="1" w:styleId="2515">
    <w:name w:val="font26"/>
    <w:basedOn w:val="1"/>
    <w:autoRedefine/>
    <w:qFormat/>
    <w:uiPriority w:val="0"/>
    <w:pPr>
      <w:widowControl/>
      <w:spacing w:before="100" w:beforeAutospacing="1" w:after="100" w:afterAutospacing="1"/>
      <w:jc w:val="left"/>
    </w:pPr>
    <w:rPr>
      <w:color w:val="333399"/>
      <w:kern w:val="0"/>
      <w:sz w:val="18"/>
      <w:szCs w:val="18"/>
    </w:rPr>
  </w:style>
  <w:style w:type="paragraph" w:customStyle="1" w:styleId="2516">
    <w:name w:val="xl194"/>
    <w:basedOn w:val="1"/>
    <w:autoRedefine/>
    <w:qFormat/>
    <w:uiPriority w:val="0"/>
    <w:pPr>
      <w:widowControl/>
      <w:spacing w:before="100" w:beforeAutospacing="1" w:after="100" w:afterAutospacing="1"/>
      <w:jc w:val="center"/>
    </w:pPr>
    <w:rPr>
      <w:kern w:val="0"/>
      <w:sz w:val="16"/>
      <w:szCs w:val="16"/>
    </w:rPr>
  </w:style>
  <w:style w:type="paragraph" w:customStyle="1" w:styleId="2517">
    <w:name w:val="Char Char Char1 Char Char Char Char Char Char Char Char Char Char2"/>
    <w:basedOn w:val="1"/>
    <w:autoRedefine/>
    <w:qFormat/>
    <w:uiPriority w:val="0"/>
    <w:rPr>
      <w:szCs w:val="20"/>
    </w:rPr>
  </w:style>
  <w:style w:type="paragraph" w:customStyle="1" w:styleId="2518">
    <w:name w:val="表前文字"/>
    <w:basedOn w:val="1"/>
    <w:autoRedefine/>
    <w:qFormat/>
    <w:uiPriority w:val="0"/>
    <w:pPr>
      <w:jc w:val="center"/>
    </w:pPr>
    <w:rPr>
      <w:rFonts w:ascii="宋体" w:hAnsi="宋体"/>
      <w:sz w:val="24"/>
      <w:szCs w:val="21"/>
    </w:rPr>
  </w:style>
  <w:style w:type="paragraph" w:customStyle="1" w:styleId="2519">
    <w:name w:val="xl89"/>
    <w:basedOn w:val="1"/>
    <w:autoRedefine/>
    <w:qFormat/>
    <w:uiPriority w:val="0"/>
    <w:pPr>
      <w:widowControl/>
      <w:spacing w:before="100" w:beforeAutospacing="1" w:after="100" w:afterAutospacing="1"/>
      <w:jc w:val="center"/>
    </w:pPr>
    <w:rPr>
      <w:rFonts w:ascii="Arial Unicode MS" w:hAnsi="Arial Unicode MS"/>
      <w:kern w:val="0"/>
      <w:sz w:val="12"/>
      <w:szCs w:val="12"/>
    </w:rPr>
  </w:style>
  <w:style w:type="paragraph" w:customStyle="1" w:styleId="2520">
    <w:name w:val="Char Char3 Char4"/>
    <w:basedOn w:val="1"/>
    <w:autoRedefine/>
    <w:qFormat/>
    <w:uiPriority w:val="0"/>
    <w:rPr>
      <w:rFonts w:ascii="Tahoma" w:hAnsi="Tahoma"/>
      <w:sz w:val="24"/>
      <w:szCs w:val="20"/>
    </w:rPr>
  </w:style>
  <w:style w:type="paragraph" w:customStyle="1" w:styleId="2521">
    <w:name w:val="p1"/>
    <w:basedOn w:val="1"/>
    <w:autoRedefine/>
    <w:qFormat/>
    <w:uiPriority w:val="0"/>
    <w:pPr>
      <w:widowControl/>
      <w:spacing w:before="100" w:beforeAutospacing="1" w:after="100" w:afterAutospacing="1" w:line="502" w:lineRule="atLeast"/>
      <w:ind w:firstLine="84"/>
      <w:jc w:val="left"/>
    </w:pPr>
    <w:rPr>
      <w:rFonts w:ascii="宋体" w:hAnsi="宋体" w:cs="宋体"/>
      <w:kern w:val="0"/>
      <w:sz w:val="27"/>
    </w:rPr>
  </w:style>
  <w:style w:type="paragraph" w:customStyle="1" w:styleId="2522">
    <w:name w:val="Char Char Char Char17"/>
    <w:basedOn w:val="1"/>
    <w:autoRedefine/>
    <w:qFormat/>
    <w:uiPriority w:val="0"/>
    <w:rPr>
      <w:sz w:val="24"/>
    </w:rPr>
  </w:style>
  <w:style w:type="paragraph" w:customStyle="1" w:styleId="2523">
    <w:name w:val="Char Char Char1 Char Char Char Char Char Char Char5"/>
    <w:basedOn w:val="1"/>
    <w:autoRedefine/>
    <w:qFormat/>
    <w:uiPriority w:val="0"/>
    <w:rPr>
      <w:rFonts w:ascii="Tahoma" w:hAnsi="Tahoma"/>
      <w:sz w:val="24"/>
      <w:szCs w:val="20"/>
    </w:rPr>
  </w:style>
  <w:style w:type="paragraph" w:customStyle="1" w:styleId="2524">
    <w:name w:val="5号表文"/>
    <w:autoRedefine/>
    <w:qFormat/>
    <w:uiPriority w:val="0"/>
    <w:pPr>
      <w:widowControl w:val="0"/>
      <w:autoSpaceDE w:val="0"/>
      <w:adjustRightInd w:val="0"/>
      <w:snapToGrid w:val="0"/>
    </w:pPr>
    <w:rPr>
      <w:rFonts w:ascii="Times New Roman" w:hAnsi="Times New Roman" w:eastAsia="宋体" w:cs="Times New Roman"/>
      <w:lang w:val="en-US" w:eastAsia="zh-CN" w:bidi="ar-SA"/>
    </w:rPr>
  </w:style>
  <w:style w:type="paragraph" w:customStyle="1" w:styleId="2525">
    <w:name w:val="1表格"/>
    <w:basedOn w:val="343"/>
    <w:link w:val="3132"/>
    <w:autoRedefine/>
    <w:qFormat/>
    <w:uiPriority w:val="0"/>
    <w:pPr>
      <w:adjustRightInd w:val="0"/>
      <w:snapToGrid w:val="0"/>
      <w:jc w:val="center"/>
      <w:textAlignment w:val="baseline"/>
    </w:pPr>
    <w:rPr>
      <w:rFonts w:ascii="宋体" w:hAnsi="宋体" w:cs="宋体"/>
      <w:spacing w:val="4"/>
      <w:sz w:val="24"/>
    </w:rPr>
  </w:style>
  <w:style w:type="paragraph" w:customStyle="1" w:styleId="2526">
    <w:name w:val="样式 宋体 四号 两端对齐 行距: 1.5 倍行距"/>
    <w:basedOn w:val="1"/>
    <w:autoRedefine/>
    <w:qFormat/>
    <w:uiPriority w:val="0"/>
    <w:pPr>
      <w:spacing w:before="156" w:after="156" w:line="360" w:lineRule="auto"/>
      <w:ind w:firstLine="480" w:firstLineChars="200"/>
    </w:pPr>
    <w:rPr>
      <w:rFonts w:ascii="宋体" w:hAnsi="宋体" w:cs="宋体"/>
      <w:sz w:val="24"/>
    </w:rPr>
  </w:style>
  <w:style w:type="paragraph" w:customStyle="1" w:styleId="2527">
    <w:name w:val="Section 1.1"/>
    <w:basedOn w:val="1"/>
    <w:autoRedefine/>
    <w:qFormat/>
    <w:uiPriority w:val="0"/>
    <w:pPr>
      <w:widowControl/>
      <w:spacing w:after="240"/>
      <w:ind w:left="1440" w:hanging="720"/>
      <w:jc w:val="left"/>
    </w:pPr>
    <w:rPr>
      <w:kern w:val="0"/>
      <w:sz w:val="22"/>
      <w:szCs w:val="20"/>
      <w:lang w:val="en-GB" w:eastAsia="en-US"/>
    </w:rPr>
  </w:style>
  <w:style w:type="paragraph" w:customStyle="1" w:styleId="2528">
    <w:name w:val="p17"/>
    <w:basedOn w:val="1"/>
    <w:autoRedefine/>
    <w:qFormat/>
    <w:uiPriority w:val="0"/>
    <w:pPr>
      <w:widowControl/>
      <w:spacing w:line="320" w:lineRule="atLeast"/>
      <w:jc w:val="center"/>
    </w:pPr>
    <w:rPr>
      <w:rFonts w:ascii="宋体" w:hAnsi="宋体" w:cs="宋体"/>
      <w:kern w:val="0"/>
      <w:szCs w:val="21"/>
    </w:rPr>
  </w:style>
  <w:style w:type="paragraph" w:customStyle="1" w:styleId="2529">
    <w:name w:val="文本正式"/>
    <w:basedOn w:val="1"/>
    <w:autoRedefine/>
    <w:qFormat/>
    <w:uiPriority w:val="0"/>
    <w:pPr>
      <w:spacing w:line="360" w:lineRule="auto"/>
      <w:ind w:firstLine="480" w:firstLineChars="200"/>
    </w:pPr>
    <w:rPr>
      <w:sz w:val="24"/>
      <w:szCs w:val="20"/>
    </w:rPr>
  </w:style>
  <w:style w:type="paragraph" w:customStyle="1" w:styleId="2530">
    <w:name w:val="p21"/>
    <w:basedOn w:val="1"/>
    <w:autoRedefine/>
    <w:qFormat/>
    <w:uiPriority w:val="0"/>
    <w:pPr>
      <w:widowControl/>
      <w:spacing w:line="320" w:lineRule="atLeast"/>
      <w:jc w:val="center"/>
    </w:pPr>
    <w:rPr>
      <w:rFonts w:ascii="宋体" w:hAnsi="宋体" w:cs="宋体"/>
      <w:kern w:val="0"/>
      <w:szCs w:val="21"/>
    </w:rPr>
  </w:style>
  <w:style w:type="paragraph" w:customStyle="1" w:styleId="2531">
    <w:name w:val="18"/>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532">
    <w:name w:val="InstÀÀll8"/>
    <w:autoRedefine/>
    <w:qFormat/>
    <w:uiPriority w:val="0"/>
    <w:pPr>
      <w:tabs>
        <w:tab w:val="left" w:pos="-720"/>
      </w:tabs>
      <w:suppressAutoHyphens/>
      <w:jc w:val="both"/>
    </w:pPr>
    <w:rPr>
      <w:rFonts w:ascii="Courier" w:hAnsi="Courier" w:eastAsia="宋体" w:cs="Times New Roman"/>
      <w:spacing w:val="-3"/>
      <w:sz w:val="24"/>
      <w:lang w:val="en-US" w:eastAsia="sv-SE" w:bidi="ar-SA"/>
    </w:rPr>
  </w:style>
  <w:style w:type="paragraph" w:customStyle="1" w:styleId="2533">
    <w:name w:val="图章"/>
    <w:basedOn w:val="1"/>
    <w:autoRedefine/>
    <w:qFormat/>
    <w:uiPriority w:val="0"/>
    <w:pPr>
      <w:tabs>
        <w:tab w:val="left" w:pos="1727"/>
        <w:tab w:val="left" w:pos="1884"/>
      </w:tabs>
      <w:adjustRightInd w:val="0"/>
      <w:snapToGrid w:val="0"/>
      <w:ind w:left="26"/>
      <w:jc w:val="left"/>
      <w:outlineLvl w:val="0"/>
    </w:pPr>
    <w:rPr>
      <w:rFonts w:ascii="宋体" w:hAnsi="宋体"/>
      <w:kern w:val="0"/>
      <w:sz w:val="18"/>
      <w:szCs w:val="20"/>
    </w:rPr>
  </w:style>
  <w:style w:type="paragraph" w:customStyle="1" w:styleId="2534">
    <w:name w:val="样式 标题 4 + 黑色 行距: 固定值 25 磅"/>
    <w:basedOn w:val="6"/>
    <w:autoRedefine/>
    <w:qFormat/>
    <w:uiPriority w:val="0"/>
    <w:pPr>
      <w:keepLines/>
      <w:tabs>
        <w:tab w:val="left" w:pos="864"/>
        <w:tab w:val="left" w:pos="1984"/>
      </w:tabs>
      <w:adjustRightInd w:val="0"/>
      <w:snapToGrid w:val="0"/>
      <w:spacing w:line="500" w:lineRule="exact"/>
      <w:ind w:left="709" w:right="0" w:hanging="709"/>
      <w:jc w:val="both"/>
      <w:textAlignment w:val="baseline"/>
    </w:pPr>
    <w:rPr>
      <w:rFonts w:eastAsia="宋体" w:cs="宋体"/>
      <w:b/>
      <w:bCs/>
      <w:color w:val="000000"/>
      <w:kern w:val="0"/>
      <w:sz w:val="24"/>
      <w:szCs w:val="20"/>
      <w:lang w:val="zh-CN"/>
    </w:rPr>
  </w:style>
  <w:style w:type="paragraph" w:customStyle="1" w:styleId="2535">
    <w:name w:val="Char Char Char Char19"/>
    <w:basedOn w:val="1"/>
    <w:autoRedefine/>
    <w:qFormat/>
    <w:uiPriority w:val="0"/>
    <w:pPr>
      <w:widowControl/>
      <w:jc w:val="left"/>
    </w:pPr>
    <w:rPr>
      <w:kern w:val="0"/>
      <w:sz w:val="24"/>
      <w:szCs w:val="20"/>
    </w:rPr>
  </w:style>
  <w:style w:type="paragraph" w:customStyle="1" w:styleId="2536">
    <w:name w:val="xl112"/>
    <w:basedOn w:val="1"/>
    <w:autoRedefine/>
    <w:qFormat/>
    <w:uiPriority w:val="0"/>
    <w:pPr>
      <w:widowControl/>
      <w:pBdr>
        <w:right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2537">
    <w:name w:val="xl186"/>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kern w:val="0"/>
      <w:sz w:val="16"/>
      <w:szCs w:val="16"/>
    </w:rPr>
  </w:style>
  <w:style w:type="paragraph" w:customStyle="1" w:styleId="2538">
    <w:name w:val="font10"/>
    <w:basedOn w:val="1"/>
    <w:autoRedefine/>
    <w:qFormat/>
    <w:uiPriority w:val="0"/>
    <w:pPr>
      <w:widowControl/>
      <w:spacing w:before="100" w:beforeAutospacing="1" w:after="100" w:afterAutospacing="1"/>
      <w:jc w:val="left"/>
    </w:pPr>
    <w:rPr>
      <w:rFonts w:hint="eastAsia" w:ascii="幼圆" w:hAnsi="Arial Unicode MS" w:eastAsia="幼圆" w:cs="Arial Unicode MS"/>
      <w:kern w:val="0"/>
      <w:szCs w:val="21"/>
    </w:rPr>
  </w:style>
  <w:style w:type="paragraph" w:customStyle="1" w:styleId="2539">
    <w:name w:val="?2"/>
    <w:basedOn w:val="1"/>
    <w:next w:val="1"/>
    <w:autoRedefine/>
    <w:qFormat/>
    <w:uiPriority w:val="0"/>
    <w:pPr>
      <w:autoSpaceDE w:val="0"/>
      <w:autoSpaceDN w:val="0"/>
      <w:adjustRightInd w:val="0"/>
      <w:jc w:val="left"/>
    </w:pPr>
    <w:rPr>
      <w:rFonts w:ascii="五" w:eastAsia="五"/>
      <w:kern w:val="0"/>
      <w:sz w:val="20"/>
    </w:rPr>
  </w:style>
  <w:style w:type="paragraph" w:customStyle="1" w:styleId="2540">
    <w:name w:val="xl154"/>
    <w:basedOn w:val="1"/>
    <w:qFormat/>
    <w:uiPriority w:val="0"/>
    <w:pPr>
      <w:widowControl/>
      <w:pBdr>
        <w:left w:val="single" w:color="auto" w:sz="12" w:space="0"/>
        <w:bottom w:val="single" w:color="auto" w:sz="8" w:space="0"/>
      </w:pBdr>
      <w:spacing w:before="100" w:beforeAutospacing="1" w:after="100" w:afterAutospacing="1"/>
      <w:jc w:val="center"/>
    </w:pPr>
    <w:rPr>
      <w:rFonts w:ascii="Arial Unicode MS" w:hAnsi="Arial Unicode MS"/>
      <w:kern w:val="0"/>
      <w:sz w:val="12"/>
      <w:szCs w:val="12"/>
    </w:rPr>
  </w:style>
  <w:style w:type="paragraph" w:customStyle="1" w:styleId="2541">
    <w:name w:val="xl42"/>
    <w:basedOn w:val="1"/>
    <w:autoRedefine/>
    <w:qFormat/>
    <w:uiPriority w:val="0"/>
    <w:pPr>
      <w:widowControl/>
      <w:pBdr>
        <w:top w:val="single" w:color="auto" w:sz="12" w:space="0"/>
        <w:right w:val="single" w:color="auto" w:sz="12" w:space="0"/>
      </w:pBdr>
      <w:spacing w:before="100" w:beforeAutospacing="1" w:after="100" w:afterAutospacing="1"/>
      <w:jc w:val="left"/>
    </w:pPr>
    <w:rPr>
      <w:rFonts w:ascii="Arial Unicode MS" w:hAnsi="Arial Unicode MS"/>
      <w:kern w:val="0"/>
      <w:sz w:val="16"/>
      <w:szCs w:val="16"/>
    </w:rPr>
  </w:style>
  <w:style w:type="paragraph" w:customStyle="1" w:styleId="2542">
    <w:name w:val="ST20_5"/>
    <w:basedOn w:val="1"/>
    <w:autoRedefine/>
    <w:qFormat/>
    <w:uiPriority w:val="0"/>
    <w:pPr>
      <w:keepLines/>
      <w:autoSpaceDE w:val="0"/>
      <w:autoSpaceDN w:val="0"/>
      <w:adjustRightInd w:val="0"/>
      <w:spacing w:after="160" w:line="360" w:lineRule="atLeast"/>
      <w:ind w:left="720" w:right="720"/>
      <w:jc w:val="left"/>
      <w:textAlignment w:val="baseline"/>
    </w:pPr>
    <w:rPr>
      <w:rFonts w:ascii="宋体" w:hAnsi="Tms Rmn"/>
      <w:i/>
      <w:kern w:val="0"/>
      <w:sz w:val="28"/>
      <w:szCs w:val="20"/>
    </w:rPr>
  </w:style>
  <w:style w:type="paragraph" w:customStyle="1" w:styleId="2543">
    <w:name w:val="Char Char Char Char Char Char Char Char Char Char Char Char Char Char Char Char Char Char Char Char Char Char"/>
    <w:basedOn w:val="1"/>
    <w:autoRedefine/>
    <w:qFormat/>
    <w:uiPriority w:val="0"/>
    <w:rPr>
      <w:sz w:val="24"/>
    </w:rPr>
  </w:style>
  <w:style w:type="paragraph" w:customStyle="1" w:styleId="2544">
    <w:name w:val="正文图"/>
    <w:basedOn w:val="1"/>
    <w:autoRedefine/>
    <w:qFormat/>
    <w:uiPriority w:val="0"/>
    <w:pPr>
      <w:adjustRightInd w:val="0"/>
      <w:snapToGrid w:val="0"/>
      <w:spacing w:before="40"/>
      <w:jc w:val="center"/>
      <w:textAlignment w:val="baseline"/>
    </w:pPr>
    <w:rPr>
      <w:rFonts w:ascii="宋体"/>
      <w:kern w:val="0"/>
      <w:sz w:val="24"/>
      <w:szCs w:val="20"/>
    </w:rPr>
  </w:style>
  <w:style w:type="paragraph" w:customStyle="1" w:styleId="2545">
    <w:name w:val="宋体 行距: 固定值 12 磅"/>
    <w:basedOn w:val="53"/>
    <w:autoRedefine/>
    <w:qFormat/>
    <w:uiPriority w:val="0"/>
    <w:pPr>
      <w:widowControl/>
      <w:pBdr>
        <w:bottom w:val="none" w:color="auto" w:sz="0" w:space="0"/>
      </w:pBdr>
      <w:tabs>
        <w:tab w:val="clear" w:pos="4153"/>
        <w:tab w:val="clear" w:pos="8306"/>
      </w:tabs>
      <w:snapToGrid/>
      <w:spacing w:line="240" w:lineRule="exact"/>
    </w:pPr>
    <w:rPr>
      <w:rFonts w:ascii="宋体" w:hAnsi="宋体"/>
      <w:spacing w:val="-20"/>
      <w:szCs w:val="18"/>
      <w:lang w:val="zh-CN"/>
    </w:rPr>
  </w:style>
  <w:style w:type="paragraph" w:customStyle="1" w:styleId="2546">
    <w:name w:val="小四左齐"/>
    <w:basedOn w:val="1"/>
    <w:autoRedefine/>
    <w:qFormat/>
    <w:uiPriority w:val="0"/>
    <w:pPr>
      <w:overflowPunct w:val="0"/>
      <w:adjustRightInd w:val="0"/>
      <w:snapToGrid w:val="0"/>
      <w:jc w:val="left"/>
      <w:textAlignment w:val="top"/>
    </w:pPr>
    <w:rPr>
      <w:rFonts w:eastAsia="仿宋_GB2312"/>
      <w:kern w:val="0"/>
      <w:sz w:val="24"/>
    </w:rPr>
  </w:style>
  <w:style w:type="paragraph" w:customStyle="1" w:styleId="2547">
    <w:name w:val="af0"/>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2548">
    <w:name w:val="xl134"/>
    <w:basedOn w:val="1"/>
    <w:autoRedefine/>
    <w:qFormat/>
    <w:uiPriority w:val="0"/>
    <w:pPr>
      <w:widowControl/>
      <w:spacing w:before="100" w:beforeAutospacing="1" w:after="100" w:afterAutospacing="1"/>
      <w:jc w:val="left"/>
    </w:pPr>
    <w:rPr>
      <w:rFonts w:ascii="Arial Unicode MS" w:hAnsi="Arial Unicode MS"/>
      <w:kern w:val="0"/>
      <w:sz w:val="20"/>
      <w:szCs w:val="20"/>
    </w:rPr>
  </w:style>
  <w:style w:type="paragraph" w:customStyle="1" w:styleId="2549">
    <w:name w:val="Char Char Char Char Char Char Char Char Char Char Char Char Char Char Char Char Char Char Char Char Char Char Char Char Char Char Char Char Char Char Char Char Char Char Char Char Char Char Char Char"/>
    <w:basedOn w:val="1"/>
    <w:qFormat/>
    <w:uiPriority w:val="0"/>
    <w:rPr>
      <w:sz w:val="24"/>
    </w:rPr>
  </w:style>
  <w:style w:type="paragraph" w:customStyle="1" w:styleId="2550">
    <w:name w:val="Char Char Char Char Char Char Char Char Char1"/>
    <w:basedOn w:val="1"/>
    <w:autoRedefine/>
    <w:qFormat/>
    <w:uiPriority w:val="0"/>
  </w:style>
  <w:style w:type="paragraph" w:customStyle="1" w:styleId="2551">
    <w:name w:val="节标"/>
    <w:basedOn w:val="1"/>
    <w:autoRedefine/>
    <w:qFormat/>
    <w:uiPriority w:val="0"/>
    <w:pPr>
      <w:widowControl/>
      <w:autoSpaceDE w:val="0"/>
      <w:autoSpaceDN w:val="0"/>
      <w:adjustRightInd w:val="0"/>
      <w:spacing w:line="480" w:lineRule="exact"/>
      <w:ind w:firstLine="567"/>
      <w:jc w:val="center"/>
      <w:textAlignment w:val="bottom"/>
    </w:pPr>
    <w:rPr>
      <w:b/>
      <w:kern w:val="0"/>
      <w:sz w:val="30"/>
      <w:szCs w:val="28"/>
    </w:rPr>
  </w:style>
  <w:style w:type="paragraph" w:customStyle="1" w:styleId="2552">
    <w:name w:val="xl213"/>
    <w:basedOn w:val="1"/>
    <w:autoRedefine/>
    <w:qFormat/>
    <w:uiPriority w:val="0"/>
    <w:pPr>
      <w:widowControl/>
      <w:pBdr>
        <w:left w:val="single" w:color="auto" w:sz="8" w:space="0"/>
        <w:bottom w:val="single" w:color="auto" w:sz="12" w:space="0"/>
      </w:pBdr>
      <w:spacing w:before="100" w:beforeAutospacing="1" w:after="100" w:afterAutospacing="1"/>
      <w:jc w:val="center"/>
    </w:pPr>
    <w:rPr>
      <w:kern w:val="0"/>
      <w:sz w:val="18"/>
      <w:szCs w:val="18"/>
    </w:rPr>
  </w:style>
  <w:style w:type="paragraph" w:customStyle="1" w:styleId="2553">
    <w:name w:val="xl82"/>
    <w:basedOn w:val="1"/>
    <w:autoRedefine/>
    <w:qFormat/>
    <w:uiPriority w:val="0"/>
    <w:pPr>
      <w:widowControl/>
      <w:pBdr>
        <w:left w:val="single" w:color="auto" w:sz="12" w:space="0"/>
        <w:bottom w:val="single" w:color="auto" w:sz="12" w:space="0"/>
      </w:pBdr>
      <w:spacing w:before="100" w:beforeAutospacing="1" w:after="100" w:afterAutospacing="1"/>
      <w:jc w:val="right"/>
    </w:pPr>
    <w:rPr>
      <w:rFonts w:ascii="Arial Unicode MS" w:hAnsi="Arial Unicode MS"/>
      <w:kern w:val="0"/>
      <w:sz w:val="12"/>
      <w:szCs w:val="12"/>
    </w:rPr>
  </w:style>
  <w:style w:type="paragraph" w:customStyle="1" w:styleId="2554">
    <w:name w:val="Char Char Char Char Char Char1 Char Char Char Char3"/>
    <w:basedOn w:val="1"/>
    <w:autoRedefine/>
    <w:qFormat/>
    <w:uiPriority w:val="0"/>
    <w:rPr>
      <w:sz w:val="24"/>
    </w:rPr>
  </w:style>
  <w:style w:type="paragraph" w:customStyle="1" w:styleId="2555">
    <w:name w:val="样式 标题 3 + 黑色 行距: 最小值 25 磅"/>
    <w:basedOn w:val="5"/>
    <w:autoRedefine/>
    <w:qFormat/>
    <w:uiPriority w:val="0"/>
    <w:pPr>
      <w:keepLines w:val="0"/>
      <w:tabs>
        <w:tab w:val="left" w:pos="1418"/>
      </w:tabs>
      <w:spacing w:before="0" w:after="0" w:line="500" w:lineRule="atLeast"/>
      <w:jc w:val="left"/>
    </w:pPr>
    <w:rPr>
      <w:b w:val="0"/>
      <w:bCs w:val="0"/>
      <w:color w:val="000000"/>
      <w:sz w:val="28"/>
      <w:szCs w:val="28"/>
      <w:lang w:val="zh-CN"/>
    </w:rPr>
  </w:style>
  <w:style w:type="paragraph" w:customStyle="1" w:styleId="2556">
    <w:name w:val="Char Char Char1 Char Char Char Char"/>
    <w:basedOn w:val="1"/>
    <w:next w:val="1"/>
    <w:autoRedefine/>
    <w:qFormat/>
    <w:uiPriority w:val="0"/>
    <w:pPr>
      <w:spacing w:line="360" w:lineRule="auto"/>
      <w:ind w:firstLine="200" w:firstLineChars="200"/>
    </w:pPr>
    <w:rPr>
      <w:rFonts w:ascii="宋体" w:hAnsi="宋体" w:eastAsia="汉鼎简书宋" w:cs="宋体"/>
      <w:sz w:val="24"/>
    </w:rPr>
  </w:style>
  <w:style w:type="paragraph" w:customStyle="1" w:styleId="2557">
    <w:name w:val="正文＋2缩进"/>
    <w:basedOn w:val="1"/>
    <w:autoRedefine/>
    <w:qFormat/>
    <w:uiPriority w:val="0"/>
    <w:pPr>
      <w:spacing w:line="500" w:lineRule="exact"/>
      <w:ind w:firstLine="640" w:firstLineChars="200"/>
    </w:pPr>
    <w:rPr>
      <w:sz w:val="28"/>
    </w:rPr>
  </w:style>
  <w:style w:type="paragraph" w:customStyle="1" w:styleId="2558">
    <w:name w:val="参加人员名单"/>
    <w:basedOn w:val="1"/>
    <w:next w:val="1"/>
    <w:qFormat/>
    <w:uiPriority w:val="0"/>
    <w:pPr>
      <w:jc w:val="center"/>
      <w:outlineLvl w:val="0"/>
    </w:pPr>
    <w:rPr>
      <w:sz w:val="32"/>
      <w:szCs w:val="32"/>
    </w:rPr>
  </w:style>
  <w:style w:type="paragraph" w:customStyle="1" w:styleId="2559">
    <w:name w:val="xl210"/>
    <w:basedOn w:val="1"/>
    <w:autoRedefine/>
    <w:qFormat/>
    <w:uiPriority w:val="0"/>
    <w:pPr>
      <w:widowControl/>
      <w:pBdr>
        <w:left w:val="single" w:color="auto" w:sz="8" w:space="0"/>
        <w:bottom w:val="single" w:color="auto" w:sz="12" w:space="0"/>
        <w:right w:val="single" w:color="auto" w:sz="8" w:space="0"/>
      </w:pBdr>
      <w:spacing w:before="100" w:beforeAutospacing="1" w:after="100" w:afterAutospacing="1"/>
      <w:jc w:val="center"/>
    </w:pPr>
    <w:rPr>
      <w:rFonts w:ascii="宋体" w:hAnsi="宋体" w:cs="宋体"/>
      <w:kern w:val="0"/>
      <w:sz w:val="18"/>
      <w:szCs w:val="18"/>
    </w:rPr>
  </w:style>
  <w:style w:type="paragraph" w:customStyle="1" w:styleId="2560">
    <w:name w:val="xl62"/>
    <w:basedOn w:val="1"/>
    <w:autoRedefine/>
    <w:qFormat/>
    <w:uiPriority w:val="0"/>
    <w:pPr>
      <w:widowControl/>
      <w:pBdr>
        <w:bottom w:val="single" w:color="auto" w:sz="12" w:space="0"/>
      </w:pBdr>
      <w:spacing w:before="100" w:beforeAutospacing="1" w:after="100" w:afterAutospacing="1"/>
      <w:jc w:val="center"/>
    </w:pPr>
    <w:rPr>
      <w:kern w:val="0"/>
      <w:sz w:val="12"/>
      <w:szCs w:val="12"/>
    </w:rPr>
  </w:style>
  <w:style w:type="paragraph" w:customStyle="1" w:styleId="2561">
    <w:name w:val="证书夜内容2"/>
    <w:basedOn w:val="1"/>
    <w:qFormat/>
    <w:uiPriority w:val="0"/>
    <w:pPr>
      <w:spacing w:line="500" w:lineRule="exact"/>
      <w:ind w:firstLine="166" w:firstLineChars="55"/>
      <w:jc w:val="center"/>
    </w:pPr>
    <w:rPr>
      <w:rFonts w:ascii="楷体" w:hAnsi="楷体" w:eastAsia="楷体"/>
      <w:b/>
      <w:bCs/>
      <w:sz w:val="30"/>
      <w:szCs w:val="30"/>
    </w:rPr>
  </w:style>
  <w:style w:type="paragraph" w:customStyle="1" w:styleId="2562">
    <w:name w:val="样式 标题 1"/>
    <w:basedOn w:val="3"/>
    <w:autoRedefine/>
    <w:qFormat/>
    <w:uiPriority w:val="0"/>
    <w:pPr>
      <w:keepLines/>
      <w:tabs>
        <w:tab w:val="left" w:pos="425"/>
        <w:tab w:val="left" w:pos="432"/>
      </w:tabs>
      <w:overflowPunct/>
      <w:adjustRightInd w:val="0"/>
      <w:snapToGrid/>
      <w:spacing w:after="120" w:line="480" w:lineRule="exact"/>
      <w:jc w:val="left"/>
      <w:textAlignment w:val="baseline"/>
    </w:pPr>
    <w:rPr>
      <w:rFonts w:eastAsia="宋体" w:cs="宋体"/>
      <w:color w:val="auto"/>
      <w:sz w:val="32"/>
      <w:szCs w:val="20"/>
      <w:lang w:val="zh-CN"/>
    </w:rPr>
  </w:style>
  <w:style w:type="paragraph" w:customStyle="1" w:styleId="2563">
    <w:name w:val="标准"/>
    <w:basedOn w:val="1"/>
    <w:autoRedefine/>
    <w:qFormat/>
    <w:uiPriority w:val="0"/>
    <w:pPr>
      <w:adjustRightInd w:val="0"/>
      <w:spacing w:line="312" w:lineRule="atLeast"/>
      <w:textAlignment w:val="baseline"/>
    </w:pPr>
    <w:rPr>
      <w:kern w:val="0"/>
      <w:szCs w:val="20"/>
    </w:rPr>
  </w:style>
  <w:style w:type="paragraph" w:customStyle="1" w:styleId="2564">
    <w:name w:val="字元1"/>
    <w:basedOn w:val="1"/>
    <w:autoRedefine/>
    <w:qFormat/>
    <w:uiPriority w:val="0"/>
    <w:rPr>
      <w:sz w:val="24"/>
    </w:rPr>
  </w:style>
  <w:style w:type="paragraph" w:customStyle="1" w:styleId="2565">
    <w:name w:val="样式 标题 3条标题1.1.13h33rd levelH3l3CT + 加粗"/>
    <w:basedOn w:val="5"/>
    <w:autoRedefine/>
    <w:qFormat/>
    <w:uiPriority w:val="0"/>
    <w:pPr>
      <w:tabs>
        <w:tab w:val="left" w:pos="720"/>
        <w:tab w:val="left" w:pos="1418"/>
      </w:tabs>
      <w:spacing w:before="0" w:after="0" w:line="360" w:lineRule="auto"/>
      <w:ind w:left="567" w:hanging="567"/>
    </w:pPr>
    <w:rPr>
      <w:sz w:val="28"/>
      <w:lang w:val="zh-CN"/>
    </w:rPr>
  </w:style>
  <w:style w:type="paragraph" w:customStyle="1" w:styleId="2566">
    <w:name w:val="Char Char Char Char Char Char Char Char Char1 Char5"/>
    <w:basedOn w:val="1"/>
    <w:autoRedefine/>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2567">
    <w:name w:val="表格文字居中 Char"/>
    <w:basedOn w:val="1181"/>
    <w:qFormat/>
    <w:uiPriority w:val="0"/>
    <w:pPr>
      <w:keepNext/>
      <w:widowControl w:val="0"/>
      <w:tabs>
        <w:tab w:val="left" w:pos="628"/>
        <w:tab w:val="left" w:pos="1727"/>
        <w:tab w:val="left" w:pos="1884"/>
        <w:tab w:val="left" w:pos="2660"/>
        <w:tab w:val="left" w:pos="5460"/>
      </w:tabs>
      <w:spacing w:before="100" w:beforeAutospacing="1" w:after="0"/>
      <w:ind w:firstLine="0" w:firstLineChars="0"/>
      <w:jc w:val="center"/>
    </w:pPr>
    <w:rPr>
      <w:rFonts w:ascii="宋体"/>
      <w:bCs/>
      <w:color w:val="000000"/>
    </w:rPr>
  </w:style>
  <w:style w:type="paragraph" w:customStyle="1" w:styleId="2568">
    <w:name w:val="Char Char Char Char16"/>
    <w:basedOn w:val="1"/>
    <w:autoRedefine/>
    <w:qFormat/>
    <w:uiPriority w:val="0"/>
    <w:pPr>
      <w:widowControl/>
      <w:jc w:val="left"/>
    </w:pPr>
    <w:rPr>
      <w:kern w:val="0"/>
      <w:sz w:val="24"/>
      <w:szCs w:val="20"/>
    </w:rPr>
  </w:style>
  <w:style w:type="paragraph" w:customStyle="1" w:styleId="2569">
    <w:name w:val="表、图名宋旭峰"/>
    <w:basedOn w:val="325"/>
    <w:autoRedefine/>
    <w:qFormat/>
    <w:uiPriority w:val="0"/>
    <w:rPr>
      <w:b w:val="0"/>
      <w:kern w:val="0"/>
      <w:sz w:val="20"/>
      <w:szCs w:val="21"/>
      <w:lang w:val="zh-CN"/>
    </w:rPr>
  </w:style>
  <w:style w:type="paragraph" w:customStyle="1" w:styleId="2570">
    <w:name w:val="Char5"/>
    <w:basedOn w:val="1"/>
    <w:qFormat/>
    <w:uiPriority w:val="0"/>
    <w:pPr>
      <w:spacing w:line="240" w:lineRule="exact"/>
      <w:ind w:firstLine="200" w:firstLineChars="200"/>
    </w:pPr>
    <w:rPr>
      <w:sz w:val="28"/>
      <w:szCs w:val="28"/>
    </w:rPr>
  </w:style>
  <w:style w:type="paragraph" w:customStyle="1" w:styleId="2571">
    <w:name w:val="表项"/>
    <w:basedOn w:val="1"/>
    <w:autoRedefine/>
    <w:qFormat/>
    <w:uiPriority w:val="0"/>
    <w:pPr>
      <w:adjustRightInd w:val="0"/>
      <w:spacing w:before="60" w:after="60" w:line="288" w:lineRule="auto"/>
      <w:jc w:val="center"/>
    </w:pPr>
    <w:rPr>
      <w:rFonts w:eastAsia="楷体"/>
      <w:kern w:val="44"/>
      <w:sz w:val="18"/>
      <w:szCs w:val="20"/>
      <w:lang w:val="en-GB"/>
    </w:rPr>
  </w:style>
  <w:style w:type="paragraph" w:customStyle="1" w:styleId="2572">
    <w:name w:val="目录 5 Char Char"/>
    <w:basedOn w:val="1"/>
    <w:next w:val="1"/>
    <w:autoRedefine/>
    <w:qFormat/>
    <w:uiPriority w:val="0"/>
    <w:pPr>
      <w:spacing w:line="351" w:lineRule="atLeast"/>
      <w:ind w:left="839" w:firstLine="419"/>
      <w:jc w:val="left"/>
    </w:pPr>
    <w:rPr>
      <w:rFonts w:hint="eastAsia"/>
      <w:szCs w:val="20"/>
    </w:rPr>
  </w:style>
  <w:style w:type="paragraph" w:customStyle="1" w:styleId="2573">
    <w:name w:val="高表标"/>
    <w:basedOn w:val="1"/>
    <w:autoRedefine/>
    <w:qFormat/>
    <w:uiPriority w:val="0"/>
    <w:pPr>
      <w:snapToGrid w:val="0"/>
      <w:spacing w:line="300" w:lineRule="auto"/>
      <w:jc w:val="right"/>
    </w:pPr>
    <w:rPr>
      <w:rFonts w:ascii="Arial" w:hAnsi="Arial" w:eastAsia="黑体"/>
      <w:bCs/>
      <w:sz w:val="24"/>
    </w:rPr>
  </w:style>
  <w:style w:type="paragraph" w:customStyle="1" w:styleId="2574">
    <w:name w:val="样式 图表"/>
    <w:basedOn w:val="1"/>
    <w:autoRedefine/>
    <w:qFormat/>
    <w:uiPriority w:val="0"/>
    <w:pPr>
      <w:adjustRightInd w:val="0"/>
      <w:spacing w:line="360" w:lineRule="auto"/>
      <w:jc w:val="center"/>
      <w:textAlignment w:val="baseline"/>
    </w:pPr>
    <w:rPr>
      <w:b/>
      <w:kern w:val="0"/>
      <w:sz w:val="24"/>
      <w:szCs w:val="20"/>
    </w:rPr>
  </w:style>
  <w:style w:type="paragraph" w:customStyle="1" w:styleId="2575">
    <w:name w:val="pa-1"/>
    <w:basedOn w:val="1"/>
    <w:autoRedefine/>
    <w:qFormat/>
    <w:uiPriority w:val="0"/>
    <w:pPr>
      <w:widowControl/>
      <w:spacing w:before="150" w:after="150"/>
      <w:jc w:val="left"/>
    </w:pPr>
    <w:rPr>
      <w:rFonts w:ascii="宋体" w:hAnsi="宋体" w:cs="宋体"/>
      <w:kern w:val="0"/>
      <w:sz w:val="24"/>
    </w:rPr>
  </w:style>
  <w:style w:type="paragraph" w:customStyle="1" w:styleId="2576">
    <w:name w:val="7"/>
    <w:basedOn w:val="1"/>
    <w:autoRedefine/>
    <w:qFormat/>
    <w:uiPriority w:val="0"/>
    <w:pPr>
      <w:widowControl/>
      <w:jc w:val="left"/>
    </w:pPr>
    <w:rPr>
      <w:kern w:val="0"/>
      <w:sz w:val="24"/>
      <w:szCs w:val="20"/>
    </w:rPr>
  </w:style>
  <w:style w:type="paragraph" w:customStyle="1" w:styleId="2577">
    <w:name w:val="正文文本缩进 311"/>
    <w:basedOn w:val="1"/>
    <w:autoRedefine/>
    <w:qFormat/>
    <w:uiPriority w:val="0"/>
    <w:pPr>
      <w:adjustRightInd w:val="0"/>
      <w:spacing w:line="480" w:lineRule="exact"/>
      <w:ind w:firstLine="525"/>
      <w:textAlignment w:val="baseline"/>
    </w:pPr>
    <w:rPr>
      <w:rFonts w:ascii="宋体"/>
      <w:sz w:val="28"/>
      <w:szCs w:val="20"/>
    </w:rPr>
  </w:style>
  <w:style w:type="paragraph" w:customStyle="1" w:styleId="2578">
    <w:name w:val="默认段落字体 Para Char Char Char Char Char Char"/>
    <w:basedOn w:val="1"/>
    <w:autoRedefine/>
    <w:qFormat/>
    <w:uiPriority w:val="0"/>
    <w:rPr>
      <w:sz w:val="24"/>
    </w:rPr>
  </w:style>
  <w:style w:type="paragraph" w:customStyle="1" w:styleId="2579">
    <w:name w:val="cg1"/>
    <w:basedOn w:val="1"/>
    <w:qFormat/>
    <w:uiPriority w:val="0"/>
    <w:pPr>
      <w:widowControl/>
      <w:spacing w:before="100" w:beforeAutospacing="1" w:after="100" w:afterAutospacing="1" w:line="330" w:lineRule="atLeast"/>
      <w:ind w:firstLine="360"/>
      <w:jc w:val="left"/>
    </w:pPr>
    <w:rPr>
      <w:rFonts w:ascii="ˎ̥" w:hAnsi="ˎ̥"/>
      <w:color w:val="000099"/>
      <w:kern w:val="0"/>
      <w:sz w:val="18"/>
      <w:szCs w:val="18"/>
    </w:rPr>
  </w:style>
  <w:style w:type="paragraph" w:customStyle="1" w:styleId="2580">
    <w:name w:val="Char Char Char1 Char Char Char Char Char Char Char Char Char Char4"/>
    <w:basedOn w:val="1"/>
    <w:autoRedefine/>
    <w:qFormat/>
    <w:uiPriority w:val="0"/>
    <w:rPr>
      <w:szCs w:val="20"/>
    </w:rPr>
  </w:style>
  <w:style w:type="paragraph" w:customStyle="1" w:styleId="2581">
    <w:name w:val="样式正4中"/>
    <w:basedOn w:val="1"/>
    <w:autoRedefine/>
    <w:qFormat/>
    <w:uiPriority w:val="0"/>
    <w:pPr>
      <w:spacing w:line="520" w:lineRule="exact"/>
      <w:jc w:val="center"/>
    </w:pPr>
    <w:rPr>
      <w:rFonts w:ascii="宋体" w:hAnsi="宋体"/>
      <w:sz w:val="28"/>
      <w:szCs w:val="28"/>
    </w:rPr>
  </w:style>
  <w:style w:type="paragraph" w:customStyle="1" w:styleId="2582">
    <w:name w:val="h"/>
    <w:basedOn w:val="1"/>
    <w:autoRedefine/>
    <w:qFormat/>
    <w:uiPriority w:val="0"/>
    <w:pPr>
      <w:spacing w:before="60"/>
      <w:ind w:firstLine="482"/>
    </w:pPr>
    <w:rPr>
      <w:rFonts w:ascii="Arial" w:hAnsi="Arial" w:eastAsia="仿宋_GB2312"/>
      <w:kern w:val="0"/>
      <w:sz w:val="24"/>
      <w:szCs w:val="20"/>
    </w:rPr>
  </w:style>
  <w:style w:type="paragraph" w:customStyle="1" w:styleId="2583">
    <w:name w:val="基准页脚样式"/>
    <w:basedOn w:val="33"/>
    <w:autoRedefine/>
    <w:qFormat/>
    <w:uiPriority w:val="0"/>
    <w:pPr>
      <w:widowControl w:val="0"/>
      <w:snapToGrid/>
      <w:spacing w:before="0" w:after="0" w:line="240" w:lineRule="exact"/>
      <w:ind w:right="0"/>
      <w:jc w:val="center"/>
    </w:pPr>
    <w:rPr>
      <w:rFonts w:ascii="宋体" w:hAnsi="宋体"/>
      <w:color w:val="FF0000"/>
      <w:kern w:val="2"/>
      <w:sz w:val="21"/>
      <w:szCs w:val="24"/>
      <w:lang w:val="zh-CN"/>
    </w:rPr>
  </w:style>
  <w:style w:type="paragraph" w:customStyle="1" w:styleId="2584">
    <w:name w:val="Char Char Char Char Char Char6"/>
    <w:basedOn w:val="1"/>
    <w:autoRedefine/>
    <w:qFormat/>
    <w:uiPriority w:val="0"/>
    <w:rPr>
      <w:sz w:val="24"/>
    </w:rPr>
  </w:style>
  <w:style w:type="paragraph" w:customStyle="1" w:styleId="2585">
    <w:name w:val="正文文本 21"/>
    <w:basedOn w:val="1"/>
    <w:autoRedefine/>
    <w:qFormat/>
    <w:uiPriority w:val="0"/>
    <w:pPr>
      <w:autoSpaceDE w:val="0"/>
      <w:autoSpaceDN w:val="0"/>
      <w:adjustRightInd w:val="0"/>
      <w:spacing w:line="360" w:lineRule="atLeast"/>
      <w:ind w:firstLine="425"/>
      <w:textAlignment w:val="baseline"/>
    </w:pPr>
    <w:rPr>
      <w:rFonts w:ascii="宋体" w:hAnsi="Tms Rmn"/>
      <w:kern w:val="0"/>
      <w:sz w:val="28"/>
      <w:szCs w:val="20"/>
    </w:rPr>
  </w:style>
  <w:style w:type="paragraph" w:customStyle="1" w:styleId="2586">
    <w:name w:val="aa"/>
    <w:basedOn w:val="1"/>
    <w:autoRedefine/>
    <w:qFormat/>
    <w:uiPriority w:val="0"/>
    <w:pPr>
      <w:widowControl/>
      <w:spacing w:before="100" w:beforeAutospacing="1" w:after="100" w:afterAutospacing="1"/>
      <w:jc w:val="left"/>
    </w:pPr>
    <w:rPr>
      <w:rFonts w:ascii="Arial" w:hAnsi="Arial" w:cs="Arial"/>
      <w:kern w:val="0"/>
      <w:sz w:val="18"/>
      <w:szCs w:val="18"/>
    </w:rPr>
  </w:style>
  <w:style w:type="paragraph" w:customStyle="1" w:styleId="2587">
    <w:name w:val="段标题"/>
    <w:basedOn w:val="1"/>
    <w:autoRedefine/>
    <w:qFormat/>
    <w:uiPriority w:val="0"/>
    <w:pPr>
      <w:spacing w:line="360" w:lineRule="auto"/>
    </w:pPr>
    <w:rPr>
      <w:rFonts w:eastAsia="楷体_GB2312"/>
      <w:bCs/>
      <w:sz w:val="30"/>
      <w:szCs w:val="30"/>
    </w:rPr>
  </w:style>
  <w:style w:type="paragraph" w:customStyle="1" w:styleId="2588">
    <w:name w:val="Char Char Char Char Char Char Char Char Char1 Char Char Char1 Char"/>
    <w:basedOn w:val="1"/>
    <w:qFormat/>
    <w:uiPriority w:val="0"/>
    <w:pPr>
      <w:spacing w:line="360" w:lineRule="auto"/>
      <w:ind w:firstLine="200" w:firstLineChars="200"/>
    </w:pPr>
    <w:rPr>
      <w:rFonts w:ascii="宋体" w:hAnsi="宋体" w:cs="宋体"/>
      <w:sz w:val="24"/>
    </w:rPr>
  </w:style>
  <w:style w:type="paragraph" w:customStyle="1" w:styleId="2589">
    <w:name w:val="表格 左侧"/>
    <w:basedOn w:val="131"/>
    <w:autoRedefine/>
    <w:qFormat/>
    <w:uiPriority w:val="0"/>
    <w:pPr>
      <w:widowControl/>
      <w:tabs>
        <w:tab w:val="left" w:pos="425"/>
        <w:tab w:val="left" w:pos="780"/>
      </w:tabs>
      <w:adjustRightInd/>
      <w:snapToGrid/>
      <w:spacing w:beforeLines="0" w:afterLines="0" w:line="240" w:lineRule="auto"/>
      <w:ind w:left="780" w:hanging="360"/>
      <w:jc w:val="left"/>
    </w:pPr>
    <w:rPr>
      <w:rFonts w:ascii="Times New Roman"/>
      <w:kern w:val="18"/>
      <w:szCs w:val="21"/>
      <w:lang w:val="zh-CN"/>
    </w:rPr>
  </w:style>
  <w:style w:type="paragraph" w:customStyle="1" w:styleId="2590">
    <w:name w:val="Char4 Char Char Char Char Char Char Char Char Char Char Char Char Char Char Char Char Char1 Char Char Char Char Char Char1 Char Char Char Char Char Char Char Char Char Char Char Char Char Char Char Char"/>
    <w:basedOn w:val="1"/>
    <w:autoRedefine/>
    <w:qFormat/>
    <w:uiPriority w:val="0"/>
    <w:pPr>
      <w:spacing w:line="240" w:lineRule="exact"/>
      <w:ind w:firstLine="200" w:firstLineChars="200"/>
    </w:pPr>
    <w:rPr>
      <w:sz w:val="28"/>
      <w:szCs w:val="28"/>
    </w:rPr>
  </w:style>
  <w:style w:type="paragraph" w:customStyle="1" w:styleId="2591">
    <w:name w:val="表下（注）"/>
    <w:basedOn w:val="216"/>
    <w:qFormat/>
    <w:uiPriority w:val="0"/>
    <w:pPr>
      <w:spacing w:line="320" w:lineRule="exact"/>
      <w:ind w:firstLine="0"/>
    </w:pPr>
    <w:rPr>
      <w:rFonts w:eastAsia="仿宋_GB2312" w:cs="Times New Roman"/>
      <w:kern w:val="0"/>
      <w:sz w:val="21"/>
      <w:szCs w:val="20"/>
      <w:lang w:val="zh-CN"/>
    </w:rPr>
  </w:style>
  <w:style w:type="paragraph" w:customStyle="1" w:styleId="2592">
    <w:name w:val="样式 样式 标题 2 + 宋体 四号 两端对齐 + (西文) Times New Roman (中文) 宋体 非加粗 左侧..."/>
    <w:basedOn w:val="2094"/>
    <w:autoRedefine/>
    <w:qFormat/>
    <w:uiPriority w:val="0"/>
    <w:pPr>
      <w:spacing w:line="360" w:lineRule="auto"/>
      <w:ind w:left="987"/>
    </w:pPr>
    <w:rPr>
      <w:rFonts w:ascii="Times New Roman" w:hAnsi="Times New Roman" w:eastAsia="宋体"/>
      <w:bCs w:val="0"/>
    </w:rPr>
  </w:style>
  <w:style w:type="paragraph" w:customStyle="1" w:styleId="2593">
    <w:name w:val="14"/>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594">
    <w:name w:val="Char Char Char1 Char Char Char Char Char Char1 Char Char Char Char Char Char Char Char Char Char4"/>
    <w:basedOn w:val="1"/>
    <w:autoRedefine/>
    <w:qFormat/>
    <w:uiPriority w:val="0"/>
    <w:rPr>
      <w:rFonts w:ascii="宋体" w:hAnsi="宋体"/>
      <w:sz w:val="24"/>
    </w:rPr>
  </w:style>
  <w:style w:type="paragraph" w:customStyle="1" w:styleId="2595">
    <w:name w:val="Char Char Char Char Char Char Char Char Char1 Char Char Char Char10"/>
    <w:basedOn w:val="1"/>
    <w:autoRedefine/>
    <w:qFormat/>
    <w:uiPriority w:val="0"/>
    <w:rPr>
      <w:szCs w:val="21"/>
    </w:rPr>
  </w:style>
  <w:style w:type="paragraph" w:customStyle="1" w:styleId="2596">
    <w:name w:val="样式 (中文) 仿宋_GB2312 四号 首行缩进:  0.98 厘米 行距: 固定值 25 磅"/>
    <w:basedOn w:val="1"/>
    <w:autoRedefine/>
    <w:qFormat/>
    <w:uiPriority w:val="0"/>
    <w:pPr>
      <w:spacing w:line="360" w:lineRule="auto"/>
      <w:ind w:firstLine="556"/>
    </w:pPr>
    <w:rPr>
      <w:rFonts w:cs="宋体"/>
      <w:sz w:val="24"/>
      <w:szCs w:val="20"/>
    </w:rPr>
  </w:style>
  <w:style w:type="paragraph" w:customStyle="1" w:styleId="2597">
    <w:name w:val="heading"/>
    <w:basedOn w:val="1"/>
    <w:next w:val="1"/>
    <w:autoRedefine/>
    <w:qFormat/>
    <w:uiPriority w:val="0"/>
    <w:pPr>
      <w:keepNext/>
      <w:keepLines/>
      <w:tabs>
        <w:tab w:val="left" w:pos="576"/>
      </w:tabs>
      <w:spacing w:line="360" w:lineRule="auto"/>
      <w:ind w:left="576"/>
      <w:outlineLvl w:val="1"/>
    </w:pPr>
    <w:rPr>
      <w:rFonts w:ascii="宋体" w:hAnsi="Arial Black" w:cs="宋体"/>
      <w:sz w:val="24"/>
    </w:rPr>
  </w:style>
  <w:style w:type="paragraph" w:customStyle="1" w:styleId="2598">
    <w:name w:val="正文15"/>
    <w:autoRedefine/>
    <w:qFormat/>
    <w:uiPriority w:val="0"/>
    <w:pPr>
      <w:widowControl w:val="0"/>
      <w:adjustRightInd w:val="0"/>
      <w:spacing w:line="312" w:lineRule="atLeast"/>
      <w:jc w:val="both"/>
    </w:pPr>
    <w:rPr>
      <w:rFonts w:ascii="Arial" w:hAnsi="Times New Roman" w:eastAsia="楷体_GB2312" w:cs="Times New Roman"/>
      <w:spacing w:val="-6"/>
      <w:sz w:val="28"/>
      <w:lang w:val="en-US" w:eastAsia="zh-CN" w:bidi="ar-SA"/>
    </w:rPr>
  </w:style>
  <w:style w:type="paragraph" w:customStyle="1" w:styleId="2599">
    <w:name w:val="文本块1"/>
    <w:basedOn w:val="1"/>
    <w:autoRedefine/>
    <w:qFormat/>
    <w:uiPriority w:val="0"/>
    <w:pPr>
      <w:spacing w:after="120"/>
      <w:ind w:left="1440" w:leftChars="700" w:right="1440" w:rightChars="700"/>
    </w:pPr>
    <w:rPr>
      <w:sz w:val="28"/>
      <w:szCs w:val="20"/>
    </w:rPr>
  </w:style>
  <w:style w:type="paragraph" w:customStyle="1" w:styleId="2600">
    <w:name w:val="正文缩进3"/>
    <w:basedOn w:val="1"/>
    <w:autoRedefine/>
    <w:qFormat/>
    <w:uiPriority w:val="0"/>
    <w:pPr>
      <w:ind w:firstLine="420"/>
    </w:pPr>
    <w:rPr>
      <w:sz w:val="28"/>
    </w:rPr>
  </w:style>
  <w:style w:type="paragraph" w:customStyle="1" w:styleId="2601">
    <w:name w:val="Char Char Char Char Char Char Char Char Char1 Char Char Char Char Char Char Char2"/>
    <w:basedOn w:val="1"/>
    <w:autoRedefine/>
    <w:qFormat/>
    <w:uiPriority w:val="0"/>
    <w:rPr>
      <w:szCs w:val="21"/>
    </w:rPr>
  </w:style>
  <w:style w:type="paragraph" w:customStyle="1" w:styleId="2602">
    <w:name w:val="Char Char Char Char Char Char Char Char Char1 Char Char Char Char Char Char Char1"/>
    <w:basedOn w:val="1"/>
    <w:autoRedefine/>
    <w:qFormat/>
    <w:uiPriority w:val="0"/>
    <w:rPr>
      <w:szCs w:val="21"/>
    </w:rPr>
  </w:style>
  <w:style w:type="paragraph" w:customStyle="1" w:styleId="2603">
    <w:name w:val="列出段落4"/>
    <w:basedOn w:val="1"/>
    <w:autoRedefine/>
    <w:qFormat/>
    <w:uiPriority w:val="0"/>
    <w:pPr>
      <w:ind w:firstLine="420" w:firstLineChars="200"/>
    </w:pPr>
    <w:rPr>
      <w:rFonts w:ascii="Calibri" w:hAnsi="Calibri"/>
      <w:szCs w:val="22"/>
    </w:rPr>
  </w:style>
  <w:style w:type="paragraph" w:customStyle="1" w:styleId="2604">
    <w:name w:val="正文缩进5"/>
    <w:basedOn w:val="1"/>
    <w:autoRedefine/>
    <w:qFormat/>
    <w:uiPriority w:val="0"/>
    <w:pPr>
      <w:ind w:firstLine="420"/>
    </w:pPr>
    <w:rPr>
      <w:sz w:val="28"/>
      <w:szCs w:val="20"/>
    </w:rPr>
  </w:style>
  <w:style w:type="paragraph" w:customStyle="1" w:styleId="2605">
    <w:name w:val="列出段落5"/>
    <w:basedOn w:val="1"/>
    <w:autoRedefine/>
    <w:qFormat/>
    <w:uiPriority w:val="0"/>
    <w:pPr>
      <w:ind w:firstLine="420" w:firstLineChars="200"/>
    </w:pPr>
    <w:rPr>
      <w:rFonts w:ascii="Calibri" w:hAnsi="Calibri"/>
      <w:szCs w:val="22"/>
    </w:rPr>
  </w:style>
  <w:style w:type="paragraph" w:customStyle="1" w:styleId="2606">
    <w:name w:val="Char Char Char15"/>
    <w:basedOn w:val="1"/>
    <w:autoRedefine/>
    <w:qFormat/>
    <w:uiPriority w:val="0"/>
    <w:rPr>
      <w:rFonts w:ascii="Calibri" w:hAnsi="Calibri"/>
      <w:sz w:val="24"/>
    </w:rPr>
  </w:style>
  <w:style w:type="paragraph" w:customStyle="1" w:styleId="2607">
    <w:name w:val="Char29"/>
    <w:basedOn w:val="1"/>
    <w:autoRedefine/>
    <w:qFormat/>
    <w:uiPriority w:val="0"/>
    <w:rPr>
      <w:rFonts w:ascii="Arial" w:eastAsia="楷体_GB2312"/>
      <w:spacing w:val="-6"/>
      <w:sz w:val="28"/>
    </w:rPr>
  </w:style>
  <w:style w:type="paragraph" w:customStyle="1" w:styleId="2608">
    <w:name w:val="无间隔12"/>
    <w:autoRedefine/>
    <w:qFormat/>
    <w:uiPriority w:val="0"/>
    <w:pPr>
      <w:widowControl w:val="0"/>
      <w:jc w:val="both"/>
    </w:pPr>
    <w:rPr>
      <w:rFonts w:ascii="Arial" w:hAnsi="Arial" w:eastAsia="仿宋" w:cs="Times New Roman"/>
      <w:w w:val="90"/>
      <w:kern w:val="2"/>
      <w:sz w:val="24"/>
      <w:szCs w:val="24"/>
      <w:lang w:val="en-US" w:eastAsia="zh-CN" w:bidi="ar-SA"/>
    </w:rPr>
  </w:style>
  <w:style w:type="paragraph" w:customStyle="1" w:styleId="2609">
    <w:name w:val="Char Char6 Char Char4"/>
    <w:basedOn w:val="1"/>
    <w:qFormat/>
    <w:uiPriority w:val="0"/>
    <w:pPr>
      <w:widowControl/>
      <w:spacing w:after="160" w:line="240" w:lineRule="exact"/>
      <w:jc w:val="left"/>
    </w:pPr>
    <w:rPr>
      <w:rFonts w:ascii="Arial" w:hAnsi="Arial" w:eastAsia="Times New Roman" w:cs="Verdana"/>
      <w:b/>
      <w:spacing w:val="-6"/>
      <w:kern w:val="0"/>
      <w:sz w:val="28"/>
      <w:lang w:eastAsia="en-US"/>
    </w:rPr>
  </w:style>
  <w:style w:type="paragraph" w:customStyle="1" w:styleId="2610">
    <w:name w:val="正文51"/>
    <w:autoRedefine/>
    <w:qFormat/>
    <w:uiPriority w:val="0"/>
    <w:pPr>
      <w:widowControl w:val="0"/>
      <w:adjustRightInd w:val="0"/>
      <w:spacing w:line="360" w:lineRule="atLeast"/>
    </w:pPr>
    <w:rPr>
      <w:rFonts w:ascii="宋体" w:hAnsi="Times New Roman" w:eastAsia="宋体" w:cs="Times New Roman"/>
      <w:sz w:val="24"/>
      <w:lang w:val="en-US" w:eastAsia="zh-CN" w:bidi="ar-SA"/>
    </w:rPr>
  </w:style>
  <w:style w:type="character" w:customStyle="1" w:styleId="2611">
    <w:name w:val="正文样式 仿宋 四号 Char"/>
    <w:link w:val="2612"/>
    <w:autoRedefine/>
    <w:qFormat/>
    <w:locked/>
    <w:uiPriority w:val="0"/>
    <w:rPr>
      <w:rFonts w:ascii="仿宋_GB2312" w:hAnsi="宋体" w:eastAsia="仿宋_GB2312" w:cs="宋体"/>
      <w:sz w:val="28"/>
    </w:rPr>
  </w:style>
  <w:style w:type="paragraph" w:customStyle="1" w:styleId="2612">
    <w:name w:val="正文样式 仿宋 四号"/>
    <w:basedOn w:val="1"/>
    <w:link w:val="2611"/>
    <w:autoRedefine/>
    <w:qFormat/>
    <w:uiPriority w:val="0"/>
    <w:pPr>
      <w:spacing w:line="520" w:lineRule="exact"/>
      <w:ind w:firstLine="556"/>
    </w:pPr>
    <w:rPr>
      <w:rFonts w:ascii="仿宋_GB2312" w:hAnsi="宋体" w:eastAsia="仿宋_GB2312" w:cs="宋体"/>
      <w:kern w:val="0"/>
      <w:sz w:val="28"/>
      <w:szCs w:val="20"/>
    </w:rPr>
  </w:style>
  <w:style w:type="character" w:customStyle="1" w:styleId="2613">
    <w:name w:val="表头（仿宋 小四） Char"/>
    <w:link w:val="2614"/>
    <w:autoRedefine/>
    <w:qFormat/>
    <w:locked/>
    <w:uiPriority w:val="0"/>
    <w:rPr>
      <w:rFonts w:ascii="仿宋_GB2312" w:hAnsi="宋体" w:eastAsia="仿宋_GB2312" w:cs="宋体"/>
      <w:color w:val="000000"/>
      <w:sz w:val="24"/>
    </w:rPr>
  </w:style>
  <w:style w:type="paragraph" w:customStyle="1" w:styleId="2614">
    <w:name w:val="表头（仿宋 小四）"/>
    <w:basedOn w:val="1"/>
    <w:link w:val="2613"/>
    <w:autoRedefine/>
    <w:qFormat/>
    <w:uiPriority w:val="0"/>
    <w:pPr>
      <w:spacing w:line="520" w:lineRule="exact"/>
      <w:jc w:val="center"/>
    </w:pPr>
    <w:rPr>
      <w:rFonts w:ascii="仿宋_GB2312" w:hAnsi="宋体" w:eastAsia="仿宋_GB2312" w:cs="宋体"/>
      <w:color w:val="000000"/>
      <w:kern w:val="0"/>
      <w:sz w:val="24"/>
      <w:szCs w:val="20"/>
    </w:rPr>
  </w:style>
  <w:style w:type="paragraph" w:customStyle="1" w:styleId="2615">
    <w:name w:val="样式 正文 + 首行缩进:  2 字符 行距: 固定值 25 磅"/>
    <w:basedOn w:val="1"/>
    <w:autoRedefine/>
    <w:qFormat/>
    <w:uiPriority w:val="0"/>
    <w:pPr>
      <w:widowControl/>
      <w:wordWrap w:val="0"/>
      <w:topLinePunct/>
      <w:spacing w:line="500" w:lineRule="exact"/>
      <w:ind w:firstLine="200" w:firstLineChars="200"/>
      <w:jc w:val="left"/>
    </w:pPr>
    <w:rPr>
      <w:rFonts w:cs="宋体"/>
      <w:sz w:val="28"/>
      <w:szCs w:val="20"/>
    </w:rPr>
  </w:style>
  <w:style w:type="paragraph" w:customStyle="1" w:styleId="2616">
    <w:name w:val="图-说明"/>
    <w:autoRedefine/>
    <w:qFormat/>
    <w:uiPriority w:val="0"/>
    <w:pPr>
      <w:snapToGrid w:val="0"/>
      <w:spacing w:line="312" w:lineRule="auto"/>
      <w:jc w:val="center"/>
    </w:pPr>
    <w:rPr>
      <w:rFonts w:ascii="黑体" w:hAnsi="Times New Roman" w:eastAsia="黑体" w:cs="Times New Roman"/>
      <w:b/>
      <w:kern w:val="2"/>
      <w:sz w:val="21"/>
      <w:lang w:val="en-US" w:eastAsia="zh-CN" w:bidi="ar-SA"/>
    </w:rPr>
  </w:style>
  <w:style w:type="paragraph" w:customStyle="1" w:styleId="2617">
    <w:name w:val="_Style 627"/>
    <w:autoRedefine/>
    <w:qFormat/>
    <w:uiPriority w:val="99"/>
    <w:pPr>
      <w:widowControl w:val="0"/>
      <w:jc w:val="both"/>
    </w:pPr>
    <w:rPr>
      <w:rFonts w:ascii="Calibri" w:hAnsi="Calibri" w:eastAsia="宋体" w:cs="Times New Roman"/>
      <w:kern w:val="2"/>
      <w:sz w:val="21"/>
      <w:szCs w:val="22"/>
      <w:lang w:val="en-US" w:eastAsia="zh-CN" w:bidi="ar-SA"/>
    </w:rPr>
  </w:style>
  <w:style w:type="paragraph" w:customStyle="1" w:styleId="2618">
    <w:name w:val="正文311"/>
    <w:autoRedefine/>
    <w:qFormat/>
    <w:uiPriority w:val="0"/>
    <w:pPr>
      <w:widowControl w:val="0"/>
      <w:adjustRightInd w:val="0"/>
      <w:spacing w:line="312" w:lineRule="atLeast"/>
      <w:jc w:val="both"/>
    </w:pPr>
    <w:rPr>
      <w:rFonts w:ascii="Arial" w:hAnsi="Times New Roman" w:eastAsia="楷体_GB2312" w:cs="Times New Roman"/>
      <w:spacing w:val="-6"/>
      <w:sz w:val="28"/>
      <w:lang w:val="en-US" w:eastAsia="zh-CN" w:bidi="ar-SA"/>
    </w:rPr>
  </w:style>
  <w:style w:type="character" w:customStyle="1" w:styleId="2619">
    <w:name w:val="Char Char Char Char211"/>
    <w:link w:val="2620"/>
    <w:autoRedefine/>
    <w:qFormat/>
    <w:locked/>
    <w:uiPriority w:val="0"/>
    <w:rPr>
      <w:sz w:val="24"/>
      <w:szCs w:val="24"/>
    </w:rPr>
  </w:style>
  <w:style w:type="paragraph" w:customStyle="1" w:styleId="2620">
    <w:name w:val="Char Char Char31"/>
    <w:basedOn w:val="1"/>
    <w:link w:val="2619"/>
    <w:autoRedefine/>
    <w:qFormat/>
    <w:uiPriority w:val="0"/>
    <w:rPr>
      <w:kern w:val="0"/>
      <w:sz w:val="24"/>
    </w:rPr>
  </w:style>
  <w:style w:type="paragraph" w:customStyle="1" w:styleId="2621">
    <w:name w:val="Char1 Char Char Char Char Char Char21"/>
    <w:basedOn w:val="1"/>
    <w:autoRedefine/>
    <w:qFormat/>
    <w:uiPriority w:val="0"/>
    <w:pPr>
      <w:spacing w:line="360" w:lineRule="auto"/>
      <w:ind w:firstLine="200" w:firstLineChars="200"/>
    </w:pPr>
    <w:rPr>
      <w:rFonts w:ascii="宋体" w:hAnsi="宋体" w:eastAsia="楷体_GB2312" w:cs="宋体"/>
      <w:spacing w:val="-6"/>
      <w:sz w:val="28"/>
    </w:rPr>
  </w:style>
  <w:style w:type="paragraph" w:customStyle="1" w:styleId="2622">
    <w:name w:val="Char43"/>
    <w:basedOn w:val="1"/>
    <w:autoRedefine/>
    <w:qFormat/>
    <w:uiPriority w:val="0"/>
    <w:rPr>
      <w:rFonts w:ascii="Arial" w:eastAsia="楷体_GB2312"/>
      <w:spacing w:val="-6"/>
      <w:sz w:val="28"/>
    </w:rPr>
  </w:style>
  <w:style w:type="paragraph" w:customStyle="1" w:styleId="2623">
    <w:name w:val="Char Char6 Char Char Char Char11"/>
    <w:basedOn w:val="1"/>
    <w:autoRedefine/>
    <w:qFormat/>
    <w:uiPriority w:val="0"/>
    <w:pPr>
      <w:widowControl/>
      <w:spacing w:after="160" w:line="240" w:lineRule="exact"/>
      <w:jc w:val="left"/>
    </w:pPr>
    <w:rPr>
      <w:rFonts w:ascii="Arial" w:hAnsi="Arial" w:eastAsia="Times New Roman" w:cs="Verdana"/>
      <w:b/>
      <w:spacing w:val="-6"/>
      <w:kern w:val="0"/>
      <w:sz w:val="28"/>
      <w:lang w:eastAsia="en-US"/>
    </w:rPr>
  </w:style>
  <w:style w:type="paragraph" w:customStyle="1" w:styleId="2624">
    <w:name w:val="Char Char Char Char Char Char Char Char1 Char Char Char Char11"/>
    <w:basedOn w:val="1"/>
    <w:qFormat/>
    <w:uiPriority w:val="0"/>
    <w:rPr>
      <w:rFonts w:ascii="Arial" w:eastAsia="楷体_GB2312"/>
      <w:spacing w:val="-6"/>
    </w:rPr>
  </w:style>
  <w:style w:type="paragraph" w:customStyle="1" w:styleId="2625">
    <w:name w:val="Char Char Char Char51"/>
    <w:basedOn w:val="1"/>
    <w:autoRedefine/>
    <w:qFormat/>
    <w:uiPriority w:val="0"/>
    <w:rPr>
      <w:rFonts w:ascii="Arial" w:eastAsia="楷体_GB2312"/>
      <w:spacing w:val="-6"/>
      <w:sz w:val="28"/>
    </w:rPr>
  </w:style>
  <w:style w:type="paragraph" w:customStyle="1" w:styleId="2626">
    <w:name w:val="Char Char Char Char Char Char Char Char Char1 Char31"/>
    <w:basedOn w:val="1"/>
    <w:autoRedefine/>
    <w:qFormat/>
    <w:uiPriority w:val="0"/>
    <w:pPr>
      <w:widowControl/>
      <w:spacing w:after="160" w:line="240" w:lineRule="exact"/>
      <w:jc w:val="left"/>
    </w:pPr>
    <w:rPr>
      <w:rFonts w:ascii="Arial" w:hAnsi="Arial" w:eastAsia="Times New Roman" w:cs="Verdana"/>
      <w:b/>
      <w:spacing w:val="-6"/>
      <w:kern w:val="0"/>
      <w:sz w:val="28"/>
      <w:lang w:eastAsia="en-US"/>
    </w:rPr>
  </w:style>
  <w:style w:type="paragraph" w:customStyle="1" w:styleId="2627">
    <w:name w:val="Char Char Char1 Char Char Char Char Char Char Char21"/>
    <w:basedOn w:val="1"/>
    <w:autoRedefine/>
    <w:qFormat/>
    <w:uiPriority w:val="0"/>
    <w:rPr>
      <w:rFonts w:ascii="Tahoma" w:hAnsi="Tahoma" w:eastAsia="楷体_GB2312"/>
      <w:spacing w:val="-6"/>
      <w:sz w:val="28"/>
      <w:szCs w:val="20"/>
    </w:rPr>
  </w:style>
  <w:style w:type="paragraph" w:customStyle="1" w:styleId="2628">
    <w:name w:val="Char Char Char Char131"/>
    <w:basedOn w:val="1"/>
    <w:qFormat/>
    <w:uiPriority w:val="0"/>
    <w:pPr>
      <w:widowControl/>
      <w:jc w:val="left"/>
    </w:pPr>
    <w:rPr>
      <w:rFonts w:ascii="Arial" w:eastAsia="楷体_GB2312"/>
      <w:spacing w:val="-6"/>
      <w:kern w:val="0"/>
      <w:sz w:val="28"/>
      <w:szCs w:val="20"/>
    </w:rPr>
  </w:style>
  <w:style w:type="paragraph" w:customStyle="1" w:styleId="2629">
    <w:name w:val="无间隔112"/>
    <w:autoRedefine/>
    <w:qFormat/>
    <w:uiPriority w:val="0"/>
    <w:pPr>
      <w:widowControl w:val="0"/>
      <w:jc w:val="both"/>
    </w:pPr>
    <w:rPr>
      <w:rFonts w:ascii="Arial" w:hAnsi="Arial" w:eastAsia="仿宋" w:cs="Times New Roman"/>
      <w:w w:val="90"/>
      <w:kern w:val="2"/>
      <w:sz w:val="24"/>
      <w:szCs w:val="24"/>
      <w:lang w:val="en-US" w:eastAsia="zh-CN" w:bidi="ar-SA"/>
    </w:rPr>
  </w:style>
  <w:style w:type="paragraph" w:customStyle="1" w:styleId="2630">
    <w:name w:val="Char Char Char Char Char Char Char Char Char1 Char Char Char Char41"/>
    <w:basedOn w:val="1"/>
    <w:autoRedefine/>
    <w:qFormat/>
    <w:uiPriority w:val="0"/>
    <w:rPr>
      <w:rFonts w:ascii="Arial" w:eastAsia="楷体_GB2312"/>
      <w:spacing w:val="-6"/>
      <w:szCs w:val="21"/>
    </w:rPr>
  </w:style>
  <w:style w:type="paragraph" w:customStyle="1" w:styleId="2631">
    <w:name w:val="Char Char Char Char Char Char Char Char Char Char Char Char Char31"/>
    <w:basedOn w:val="1"/>
    <w:autoRedefine/>
    <w:qFormat/>
    <w:uiPriority w:val="0"/>
    <w:pPr>
      <w:widowControl/>
      <w:spacing w:after="160" w:line="240" w:lineRule="exact"/>
      <w:jc w:val="left"/>
    </w:pPr>
    <w:rPr>
      <w:rFonts w:ascii="Arial" w:hAnsi="Arial" w:eastAsia="Times New Roman" w:cs="Verdana"/>
      <w:b/>
      <w:spacing w:val="-6"/>
      <w:kern w:val="0"/>
      <w:sz w:val="28"/>
      <w:lang w:eastAsia="en-US"/>
    </w:rPr>
  </w:style>
  <w:style w:type="paragraph" w:customStyle="1" w:styleId="2632">
    <w:name w:val="Char2 Char Char Char11"/>
    <w:basedOn w:val="1"/>
    <w:autoRedefine/>
    <w:qFormat/>
    <w:uiPriority w:val="0"/>
    <w:rPr>
      <w:rFonts w:ascii="Arial" w:eastAsia="楷体_GB2312"/>
      <w:spacing w:val="-6"/>
      <w:sz w:val="28"/>
    </w:rPr>
  </w:style>
  <w:style w:type="character" w:customStyle="1" w:styleId="2633">
    <w:name w:val="正文文本 (2)_"/>
    <w:link w:val="2634"/>
    <w:autoRedefine/>
    <w:qFormat/>
    <w:locked/>
    <w:uiPriority w:val="99"/>
    <w:rPr>
      <w:rFonts w:ascii="MingLiU" w:hAnsi="MingLiU" w:eastAsia="MingLiU" w:cs="MingLiU"/>
      <w:shd w:val="clear" w:color="auto" w:fill="FFFFFF"/>
    </w:rPr>
  </w:style>
  <w:style w:type="paragraph" w:customStyle="1" w:styleId="2634">
    <w:name w:val="正文文本 (2)"/>
    <w:basedOn w:val="1"/>
    <w:link w:val="2633"/>
    <w:autoRedefine/>
    <w:qFormat/>
    <w:uiPriority w:val="99"/>
    <w:pPr>
      <w:shd w:val="clear" w:color="auto" w:fill="FFFFFF"/>
      <w:spacing w:before="120" w:line="466" w:lineRule="exact"/>
      <w:jc w:val="distribute"/>
    </w:pPr>
    <w:rPr>
      <w:rFonts w:ascii="MingLiU" w:hAnsi="MingLiU" w:eastAsia="MingLiU" w:cs="MingLiU"/>
      <w:kern w:val="0"/>
      <w:sz w:val="20"/>
      <w:szCs w:val="20"/>
    </w:rPr>
  </w:style>
  <w:style w:type="character" w:customStyle="1" w:styleId="2635">
    <w:name w:val="正文文本 (4)_"/>
    <w:link w:val="2636"/>
    <w:autoRedefine/>
    <w:qFormat/>
    <w:locked/>
    <w:uiPriority w:val="99"/>
    <w:rPr>
      <w:rFonts w:ascii="宋体" w:hAnsi="宋体" w:cs="宋体"/>
      <w:sz w:val="18"/>
      <w:szCs w:val="18"/>
      <w:shd w:val="clear" w:color="auto" w:fill="FFFFFF"/>
    </w:rPr>
  </w:style>
  <w:style w:type="paragraph" w:customStyle="1" w:styleId="2636">
    <w:name w:val="正文文本 (4)"/>
    <w:basedOn w:val="1"/>
    <w:link w:val="2635"/>
    <w:autoRedefine/>
    <w:qFormat/>
    <w:uiPriority w:val="99"/>
    <w:pPr>
      <w:shd w:val="clear" w:color="auto" w:fill="FFFFFF"/>
      <w:spacing w:line="240" w:lineRule="atLeast"/>
      <w:jc w:val="left"/>
    </w:pPr>
    <w:rPr>
      <w:rFonts w:ascii="宋体" w:hAnsi="宋体" w:cs="宋体"/>
      <w:kern w:val="0"/>
      <w:sz w:val="18"/>
      <w:szCs w:val="18"/>
    </w:rPr>
  </w:style>
  <w:style w:type="paragraph" w:customStyle="1" w:styleId="2637">
    <w:name w:val="正文文本 (2)1"/>
    <w:basedOn w:val="1"/>
    <w:autoRedefine/>
    <w:qFormat/>
    <w:uiPriority w:val="99"/>
    <w:pPr>
      <w:shd w:val="clear" w:color="auto" w:fill="FFFFFF"/>
      <w:spacing w:line="466" w:lineRule="exact"/>
      <w:ind w:hanging="800"/>
      <w:jc w:val="left"/>
    </w:pPr>
    <w:rPr>
      <w:rFonts w:ascii="宋体" w:hAnsi="Arial Unicode MS" w:cs="宋体"/>
      <w:kern w:val="0"/>
      <w:sz w:val="24"/>
    </w:rPr>
  </w:style>
  <w:style w:type="character" w:customStyle="1" w:styleId="2638">
    <w:name w:val="正文文本 (5) Exact"/>
    <w:link w:val="2639"/>
    <w:autoRedefine/>
    <w:qFormat/>
    <w:locked/>
    <w:uiPriority w:val="99"/>
    <w:rPr>
      <w:rFonts w:ascii="宋体" w:hAnsi="宋体" w:cs="宋体"/>
      <w:sz w:val="13"/>
      <w:szCs w:val="13"/>
      <w:shd w:val="clear" w:color="auto" w:fill="FFFFFF"/>
    </w:rPr>
  </w:style>
  <w:style w:type="paragraph" w:customStyle="1" w:styleId="2639">
    <w:name w:val="正文文本 (5)"/>
    <w:basedOn w:val="1"/>
    <w:link w:val="2638"/>
    <w:autoRedefine/>
    <w:qFormat/>
    <w:uiPriority w:val="99"/>
    <w:pPr>
      <w:shd w:val="clear" w:color="auto" w:fill="FFFFFF"/>
      <w:spacing w:line="240" w:lineRule="atLeast"/>
      <w:jc w:val="left"/>
    </w:pPr>
    <w:rPr>
      <w:rFonts w:ascii="宋体" w:hAnsi="宋体" w:cs="宋体"/>
      <w:kern w:val="0"/>
      <w:sz w:val="13"/>
      <w:szCs w:val="13"/>
    </w:rPr>
  </w:style>
  <w:style w:type="character" w:customStyle="1" w:styleId="2640">
    <w:name w:val="标题 #2_"/>
    <w:link w:val="2641"/>
    <w:qFormat/>
    <w:locked/>
    <w:uiPriority w:val="99"/>
    <w:rPr>
      <w:rFonts w:ascii="宋体" w:hAnsi="宋体" w:cs="宋体"/>
      <w:shd w:val="clear" w:color="auto" w:fill="FFFFFF"/>
    </w:rPr>
  </w:style>
  <w:style w:type="paragraph" w:customStyle="1" w:styleId="2641">
    <w:name w:val="标题 #2"/>
    <w:basedOn w:val="1"/>
    <w:link w:val="2640"/>
    <w:autoRedefine/>
    <w:qFormat/>
    <w:uiPriority w:val="99"/>
    <w:pPr>
      <w:shd w:val="clear" w:color="auto" w:fill="FFFFFF"/>
      <w:spacing w:after="60" w:line="240" w:lineRule="atLeast"/>
      <w:jc w:val="distribute"/>
      <w:outlineLvl w:val="1"/>
    </w:pPr>
    <w:rPr>
      <w:rFonts w:ascii="宋体" w:hAnsi="宋体" w:cs="宋体"/>
      <w:kern w:val="0"/>
      <w:sz w:val="20"/>
      <w:szCs w:val="20"/>
    </w:rPr>
  </w:style>
  <w:style w:type="paragraph" w:customStyle="1" w:styleId="2642">
    <w:name w:val="报告书正文段落"/>
    <w:basedOn w:val="1"/>
    <w:autoRedefine/>
    <w:qFormat/>
    <w:uiPriority w:val="0"/>
    <w:pPr>
      <w:spacing w:line="520" w:lineRule="exact"/>
      <w:ind w:firstLine="480" w:firstLineChars="200"/>
      <w:jc w:val="left"/>
    </w:pPr>
    <w:rPr>
      <w:rFonts w:cs="宋体"/>
      <w:kern w:val="0"/>
      <w:sz w:val="24"/>
      <w:lang w:val="zh-CN"/>
    </w:rPr>
  </w:style>
  <w:style w:type="paragraph" w:customStyle="1" w:styleId="2643">
    <w:name w:val="报告格式—正文"/>
    <w:basedOn w:val="1"/>
    <w:autoRedefine/>
    <w:qFormat/>
    <w:uiPriority w:val="0"/>
    <w:pPr>
      <w:adjustRightInd w:val="0"/>
      <w:spacing w:line="580" w:lineRule="exact"/>
      <w:ind w:firstLine="584" w:firstLineChars="200"/>
      <w:jc w:val="left"/>
    </w:pPr>
    <w:rPr>
      <w:spacing w:val="6"/>
      <w:kern w:val="0"/>
      <w:sz w:val="28"/>
      <w:szCs w:val="36"/>
    </w:rPr>
  </w:style>
  <w:style w:type="paragraph" w:customStyle="1" w:styleId="2644">
    <w:name w:val="注"/>
    <w:basedOn w:val="1"/>
    <w:next w:val="1"/>
    <w:autoRedefine/>
    <w:qFormat/>
    <w:uiPriority w:val="0"/>
    <w:pPr>
      <w:widowControl/>
      <w:spacing w:before="60" w:after="60" w:line="312" w:lineRule="auto"/>
    </w:pPr>
    <w:rPr>
      <w:rFonts w:eastAsia="黑体"/>
      <w:kern w:val="0"/>
      <w:szCs w:val="20"/>
    </w:rPr>
  </w:style>
  <w:style w:type="paragraph" w:customStyle="1" w:styleId="2645">
    <w:name w:val="正文缩进41"/>
    <w:basedOn w:val="1"/>
    <w:autoRedefine/>
    <w:qFormat/>
    <w:uiPriority w:val="0"/>
    <w:pPr>
      <w:spacing w:line="500" w:lineRule="exact"/>
      <w:ind w:firstLine="560" w:firstLineChars="200"/>
    </w:pPr>
    <w:rPr>
      <w:rFonts w:ascii="仿宋_GB2312" w:eastAsia="仿宋_GB2312"/>
      <w:sz w:val="28"/>
    </w:rPr>
  </w:style>
  <w:style w:type="paragraph" w:customStyle="1" w:styleId="2646">
    <w:name w:val="缩进"/>
    <w:basedOn w:val="1"/>
    <w:autoRedefine/>
    <w:qFormat/>
    <w:uiPriority w:val="0"/>
    <w:pPr>
      <w:autoSpaceDE w:val="0"/>
      <w:autoSpaceDN w:val="0"/>
      <w:adjustRightInd w:val="0"/>
      <w:spacing w:line="400" w:lineRule="atLeast"/>
      <w:ind w:firstLine="425"/>
    </w:pPr>
    <w:rPr>
      <w:kern w:val="0"/>
      <w:sz w:val="24"/>
      <w:szCs w:val="20"/>
    </w:rPr>
  </w:style>
  <w:style w:type="paragraph" w:customStyle="1" w:styleId="2647">
    <w:name w:val="小标题"/>
    <w:basedOn w:val="1"/>
    <w:link w:val="3143"/>
    <w:autoRedefine/>
    <w:qFormat/>
    <w:uiPriority w:val="0"/>
    <w:pPr>
      <w:adjustRightInd w:val="0"/>
      <w:spacing w:beforeLines="20" w:afterLines="20" w:line="480" w:lineRule="atLeast"/>
      <w:jc w:val="left"/>
    </w:pPr>
    <w:rPr>
      <w:rFonts w:ascii="Abadi MT Condensed" w:hAnsi="Abadi MT Condensed"/>
      <w:bCs/>
      <w:kern w:val="0"/>
      <w:sz w:val="24"/>
      <w:szCs w:val="20"/>
    </w:rPr>
  </w:style>
  <w:style w:type="paragraph" w:customStyle="1" w:styleId="2648">
    <w:name w:val="列表1"/>
    <w:basedOn w:val="59"/>
    <w:autoRedefine/>
    <w:qFormat/>
    <w:uiPriority w:val="0"/>
    <w:pPr>
      <w:tabs>
        <w:tab w:val="left" w:pos="1727"/>
        <w:tab w:val="left" w:pos="1884"/>
      </w:tabs>
      <w:snapToGrid w:val="0"/>
      <w:spacing w:line="360" w:lineRule="auto"/>
      <w:ind w:left="0" w:firstLine="0" w:firstLineChars="0"/>
      <w:outlineLvl w:val="0"/>
    </w:pPr>
    <w:rPr>
      <w:rFonts w:ascii="宋体" w:hAnsi="宋体"/>
      <w:sz w:val="32"/>
      <w:szCs w:val="20"/>
    </w:rPr>
  </w:style>
  <w:style w:type="paragraph" w:customStyle="1" w:styleId="2649">
    <w:name w:val="无间隔111"/>
    <w:autoRedefine/>
    <w:qFormat/>
    <w:uiPriority w:val="0"/>
    <w:pPr>
      <w:widowControl w:val="0"/>
      <w:jc w:val="both"/>
    </w:pPr>
    <w:rPr>
      <w:rFonts w:ascii="Arial" w:hAnsi="Arial" w:eastAsia="仿宋" w:cs="Times New Roman"/>
      <w:w w:val="90"/>
      <w:kern w:val="2"/>
      <w:sz w:val="24"/>
      <w:szCs w:val="24"/>
      <w:lang w:val="en-US" w:eastAsia="zh-CN" w:bidi="ar-SA"/>
    </w:rPr>
  </w:style>
  <w:style w:type="character" w:customStyle="1" w:styleId="2650">
    <w:name w:val="表格样式lulu Char"/>
    <w:link w:val="2651"/>
    <w:autoRedefine/>
    <w:qFormat/>
    <w:locked/>
    <w:uiPriority w:val="0"/>
    <w:rPr>
      <w:kern w:val="2"/>
      <w:sz w:val="21"/>
      <w:szCs w:val="21"/>
    </w:rPr>
  </w:style>
  <w:style w:type="paragraph" w:customStyle="1" w:styleId="2651">
    <w:name w:val="表格样式lulu"/>
    <w:basedOn w:val="1"/>
    <w:link w:val="2650"/>
    <w:autoRedefine/>
    <w:qFormat/>
    <w:uiPriority w:val="0"/>
    <w:pPr>
      <w:snapToGrid w:val="0"/>
      <w:jc w:val="center"/>
    </w:pPr>
    <w:rPr>
      <w:szCs w:val="21"/>
    </w:rPr>
  </w:style>
  <w:style w:type="paragraph" w:customStyle="1" w:styleId="2652">
    <w:name w:val="reader-word-layer reader-word-s3-14"/>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2653">
    <w:name w:val="reader-word-layer reader-word-s3-16"/>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2654">
    <w:name w:val="Char Char4 Char Char Char Char Char Char"/>
    <w:basedOn w:val="1"/>
    <w:autoRedefine/>
    <w:qFormat/>
    <w:uiPriority w:val="0"/>
    <w:pPr>
      <w:spacing w:beforeLines="50" w:afterLines="100"/>
      <w:jc w:val="center"/>
    </w:pPr>
  </w:style>
  <w:style w:type="paragraph" w:customStyle="1" w:styleId="2655">
    <w:name w:val="reader-word-layer reader-word-s1-31"/>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2656">
    <w:name w:val="reader-word-layer reader-word-s1-30"/>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2657">
    <w:name w:val="reader-word-layer reader-word-s1-32"/>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2658">
    <w:name w:val="reader-word-layer reader-word-s2-3"/>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2659">
    <w:name w:val="reader-word-layer reader-word-s2-6"/>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2660">
    <w:name w:val="reader-word-layer reader-word-s3-2"/>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2661">
    <w:name w:val="reader-word-layer reader-word-s3-4"/>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2662">
    <w:name w:val="reader-word-layer reader-word-s3-5"/>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2663">
    <w:name w:val="reader-word-layer reader-word-s1-4"/>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2664">
    <w:name w:val="reader-word-layer reader-word-s1-1"/>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2665">
    <w:name w:val="reader-word-layer reader-word-s1-45"/>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2666">
    <w:name w:val="reader-word-layer reader-word-s1-60"/>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2667">
    <w:name w:val="reader-word-layer reader-word-s1-40"/>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2668">
    <w:name w:val="reader-word-layer reader-word-s1-48"/>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2669">
    <w:name w:val="reader-word-layer reader-word-s1-35"/>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2670">
    <w:name w:val="reader-word-layer reader-word-s1-29"/>
    <w:basedOn w:val="1"/>
    <w:qFormat/>
    <w:uiPriority w:val="0"/>
    <w:pPr>
      <w:widowControl/>
      <w:spacing w:before="100" w:beforeAutospacing="1" w:after="100" w:afterAutospacing="1"/>
      <w:jc w:val="left"/>
    </w:pPr>
    <w:rPr>
      <w:rFonts w:ascii="宋体" w:hAnsi="宋体" w:cs="宋体"/>
      <w:kern w:val="0"/>
      <w:sz w:val="24"/>
    </w:rPr>
  </w:style>
  <w:style w:type="paragraph" w:customStyle="1" w:styleId="2671">
    <w:name w:val="reader-word-layer reader-word-s2-1"/>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2672">
    <w:name w:val="reader-word-layer reader-word-s2-48"/>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2673">
    <w:name w:val="reader-word-layer reader-word-s2-24"/>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2674">
    <w:name w:val="reader-word-layer reader-word-s2-49"/>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2675">
    <w:name w:val="reader-word-layer reader-word-s2-5"/>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2676">
    <w:name w:val="reader-word-layer reader-word-s2-36"/>
    <w:basedOn w:val="1"/>
    <w:qFormat/>
    <w:uiPriority w:val="0"/>
    <w:pPr>
      <w:widowControl/>
      <w:spacing w:before="100" w:beforeAutospacing="1" w:after="100" w:afterAutospacing="1"/>
      <w:jc w:val="left"/>
    </w:pPr>
    <w:rPr>
      <w:rFonts w:ascii="宋体" w:hAnsi="宋体" w:cs="宋体"/>
      <w:kern w:val="0"/>
      <w:sz w:val="24"/>
    </w:rPr>
  </w:style>
  <w:style w:type="paragraph" w:customStyle="1" w:styleId="2677">
    <w:name w:val="reader-word-layer reader-word-s2-16"/>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2678">
    <w:name w:val="reader-word-layer reader-word-s2-47"/>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2679">
    <w:name w:val="reader-word-layer reader-word-s2-50"/>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2680">
    <w:name w:val="reader-word-layer reader-word-s2-44"/>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2681">
    <w:name w:val="reader-word-layer reader-word-s2-29"/>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2682">
    <w:name w:val="reader-word-layer reader-word-s2-45"/>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2683">
    <w:name w:val="reader-word-layer reader-word-s2-21"/>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2684">
    <w:name w:val="reader-word-layer reader-word-s2-28"/>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2685">
    <w:name w:val="reader-word-layer reader-word-s2-7"/>
    <w:basedOn w:val="1"/>
    <w:autoRedefine/>
    <w:qFormat/>
    <w:uiPriority w:val="0"/>
    <w:pPr>
      <w:widowControl/>
      <w:spacing w:before="100" w:beforeAutospacing="1" w:after="100" w:afterAutospacing="1"/>
      <w:jc w:val="left"/>
    </w:pPr>
    <w:rPr>
      <w:rFonts w:ascii="宋体" w:hAnsi="宋体" w:cs="宋体"/>
      <w:kern w:val="0"/>
      <w:sz w:val="24"/>
    </w:rPr>
  </w:style>
  <w:style w:type="character" w:customStyle="1" w:styleId="2686">
    <w:name w:val="表后段落 Char Char Char Char"/>
    <w:link w:val="2687"/>
    <w:autoRedefine/>
    <w:qFormat/>
    <w:locked/>
    <w:uiPriority w:val="0"/>
    <w:rPr>
      <w:rFonts w:ascii="楷体_GB2312" w:eastAsia="楷体_GB2312"/>
      <w:sz w:val="28"/>
      <w:szCs w:val="28"/>
    </w:rPr>
  </w:style>
  <w:style w:type="paragraph" w:customStyle="1" w:styleId="2687">
    <w:name w:val="表后段落 Char Char Char"/>
    <w:basedOn w:val="1"/>
    <w:link w:val="2686"/>
    <w:autoRedefine/>
    <w:qFormat/>
    <w:uiPriority w:val="0"/>
    <w:pPr>
      <w:spacing w:beforeLines="75" w:line="360" w:lineRule="auto"/>
      <w:ind w:firstLine="200" w:firstLineChars="200"/>
    </w:pPr>
    <w:rPr>
      <w:rFonts w:ascii="楷体_GB2312" w:eastAsia="楷体_GB2312"/>
      <w:kern w:val="0"/>
      <w:sz w:val="28"/>
      <w:szCs w:val="28"/>
    </w:rPr>
  </w:style>
  <w:style w:type="character" w:customStyle="1" w:styleId="2688">
    <w:name w:val="4-25正 Char"/>
    <w:link w:val="2689"/>
    <w:autoRedefine/>
    <w:qFormat/>
    <w:locked/>
    <w:uiPriority w:val="0"/>
    <w:rPr>
      <w:sz w:val="24"/>
    </w:rPr>
  </w:style>
  <w:style w:type="paragraph" w:customStyle="1" w:styleId="2689">
    <w:name w:val="4-25正"/>
    <w:basedOn w:val="1"/>
    <w:link w:val="2688"/>
    <w:autoRedefine/>
    <w:qFormat/>
    <w:uiPriority w:val="0"/>
    <w:pPr>
      <w:widowControl/>
      <w:spacing w:before="40" w:after="40" w:line="360" w:lineRule="auto"/>
      <w:ind w:firstLine="480" w:firstLineChars="200"/>
    </w:pPr>
    <w:rPr>
      <w:kern w:val="0"/>
      <w:sz w:val="24"/>
      <w:szCs w:val="20"/>
    </w:rPr>
  </w:style>
  <w:style w:type="character" w:customStyle="1" w:styleId="2690">
    <w:name w:val="大纲正文 Char"/>
    <w:link w:val="2691"/>
    <w:autoRedefine/>
    <w:qFormat/>
    <w:locked/>
    <w:uiPriority w:val="0"/>
    <w:rPr>
      <w:sz w:val="24"/>
    </w:rPr>
  </w:style>
  <w:style w:type="paragraph" w:customStyle="1" w:styleId="2691">
    <w:name w:val="大纲正文"/>
    <w:basedOn w:val="1"/>
    <w:link w:val="2690"/>
    <w:autoRedefine/>
    <w:qFormat/>
    <w:uiPriority w:val="0"/>
    <w:pPr>
      <w:widowControl/>
      <w:adjustRightInd w:val="0"/>
      <w:snapToGrid w:val="0"/>
      <w:spacing w:afterLines="50" w:line="300" w:lineRule="auto"/>
      <w:ind w:firstLine="480" w:firstLineChars="200"/>
    </w:pPr>
    <w:rPr>
      <w:kern w:val="0"/>
      <w:sz w:val="24"/>
      <w:szCs w:val="20"/>
    </w:rPr>
  </w:style>
  <w:style w:type="paragraph" w:customStyle="1" w:styleId="2692">
    <w:name w:val="黄表格"/>
    <w:basedOn w:val="1"/>
    <w:autoRedefine/>
    <w:qFormat/>
    <w:uiPriority w:val="0"/>
    <w:pPr>
      <w:widowControl/>
      <w:autoSpaceDE w:val="0"/>
      <w:autoSpaceDN w:val="0"/>
      <w:adjustRightInd w:val="0"/>
      <w:jc w:val="center"/>
    </w:pPr>
    <w:rPr>
      <w:rFonts w:cs="宋体"/>
      <w:kern w:val="0"/>
      <w:szCs w:val="21"/>
    </w:rPr>
  </w:style>
  <w:style w:type="character" w:customStyle="1" w:styleId="2693">
    <w:name w:val="本文正文 Char"/>
    <w:link w:val="2694"/>
    <w:autoRedefine/>
    <w:qFormat/>
    <w:locked/>
    <w:uiPriority w:val="0"/>
    <w:rPr>
      <w:kern w:val="2"/>
      <w:sz w:val="24"/>
      <w:szCs w:val="24"/>
    </w:rPr>
  </w:style>
  <w:style w:type="paragraph" w:customStyle="1" w:styleId="2694">
    <w:name w:val="本文正文"/>
    <w:basedOn w:val="1"/>
    <w:link w:val="2693"/>
    <w:qFormat/>
    <w:uiPriority w:val="0"/>
    <w:pPr>
      <w:spacing w:line="480" w:lineRule="exact"/>
    </w:pPr>
    <w:rPr>
      <w:sz w:val="24"/>
    </w:rPr>
  </w:style>
  <w:style w:type="paragraph" w:customStyle="1" w:styleId="2695">
    <w:name w:val="中文报告书样式"/>
    <w:basedOn w:val="1"/>
    <w:autoRedefine/>
    <w:qFormat/>
    <w:uiPriority w:val="0"/>
    <w:pPr>
      <w:adjustRightInd w:val="0"/>
      <w:spacing w:line="360" w:lineRule="auto"/>
      <w:ind w:firstLine="482"/>
    </w:pPr>
    <w:rPr>
      <w:kern w:val="24"/>
      <w:sz w:val="24"/>
      <w:szCs w:val="20"/>
    </w:rPr>
  </w:style>
  <w:style w:type="character" w:customStyle="1" w:styleId="2696">
    <w:name w:val="君邦正文 Char2"/>
    <w:link w:val="2697"/>
    <w:autoRedefine/>
    <w:qFormat/>
    <w:locked/>
    <w:uiPriority w:val="0"/>
    <w:rPr>
      <w:bCs/>
      <w:sz w:val="24"/>
    </w:rPr>
  </w:style>
  <w:style w:type="paragraph" w:customStyle="1" w:styleId="2697">
    <w:name w:val="君邦正文"/>
    <w:link w:val="2696"/>
    <w:autoRedefine/>
    <w:qFormat/>
    <w:uiPriority w:val="0"/>
    <w:pPr>
      <w:snapToGrid w:val="0"/>
      <w:spacing w:after="60" w:line="360" w:lineRule="auto"/>
      <w:ind w:firstLine="480" w:firstLineChars="200"/>
      <w:jc w:val="both"/>
    </w:pPr>
    <w:rPr>
      <w:rFonts w:ascii="Times New Roman" w:hAnsi="Times New Roman" w:eastAsia="宋体" w:cs="Times New Roman"/>
      <w:bCs/>
      <w:sz w:val="24"/>
      <w:lang w:val="en-US" w:eastAsia="zh-CN" w:bidi="ar-SA"/>
    </w:rPr>
  </w:style>
  <w:style w:type="paragraph" w:customStyle="1" w:styleId="2698">
    <w:name w:val="Char Char4 Char Char Char Char Char Char Char Char Char Char Char Char Char Char Char Char"/>
    <w:basedOn w:val="1"/>
    <w:autoRedefine/>
    <w:qFormat/>
    <w:uiPriority w:val="0"/>
    <w:rPr>
      <w:sz w:val="24"/>
    </w:rPr>
  </w:style>
  <w:style w:type="paragraph" w:customStyle="1" w:styleId="2699">
    <w:name w:val="Char Char4 Char Char Char Char Char Char Char Char Char Char Char Char Char Char Char Char Char Char"/>
    <w:basedOn w:val="1"/>
    <w:autoRedefine/>
    <w:qFormat/>
    <w:uiPriority w:val="0"/>
    <w:rPr>
      <w:sz w:val="24"/>
    </w:rPr>
  </w:style>
  <w:style w:type="paragraph" w:customStyle="1" w:styleId="2700">
    <w:name w:val="默认段落字体 Para Char Char Char1 Char"/>
    <w:basedOn w:val="1"/>
    <w:autoRedefine/>
    <w:qFormat/>
    <w:uiPriority w:val="0"/>
    <w:pPr>
      <w:spacing w:line="240" w:lineRule="atLeast"/>
      <w:ind w:left="420" w:firstLine="420"/>
    </w:pPr>
    <w:rPr>
      <w:kern w:val="0"/>
      <w:szCs w:val="21"/>
    </w:rPr>
  </w:style>
  <w:style w:type="paragraph" w:customStyle="1" w:styleId="2701">
    <w:name w:val="标题 2+ 行距: 固定值 24 磅 Char"/>
    <w:basedOn w:val="4"/>
    <w:autoRedefine/>
    <w:qFormat/>
    <w:uiPriority w:val="0"/>
    <w:pPr>
      <w:spacing w:line="480" w:lineRule="exact"/>
    </w:pPr>
    <w:rPr>
      <w:rFonts w:ascii="Arial" w:hAnsi="Arial"/>
      <w:lang w:val="zh-CN"/>
    </w:rPr>
  </w:style>
  <w:style w:type="paragraph" w:customStyle="1" w:styleId="2702">
    <w:name w:val="正文缩近"/>
    <w:basedOn w:val="1"/>
    <w:autoRedefine/>
    <w:qFormat/>
    <w:uiPriority w:val="0"/>
    <w:pPr>
      <w:spacing w:line="360" w:lineRule="auto"/>
      <w:ind w:firstLine="560" w:firstLineChars="200"/>
    </w:pPr>
    <w:rPr>
      <w:sz w:val="28"/>
      <w:szCs w:val="28"/>
    </w:rPr>
  </w:style>
  <w:style w:type="paragraph" w:customStyle="1" w:styleId="2703">
    <w:name w:val="参考文献行"/>
    <w:basedOn w:val="33"/>
    <w:autoRedefine/>
    <w:qFormat/>
    <w:uiPriority w:val="0"/>
    <w:pPr>
      <w:widowControl w:val="0"/>
      <w:snapToGrid/>
      <w:spacing w:before="0" w:after="120" w:line="240" w:lineRule="auto"/>
      <w:ind w:right="0"/>
    </w:pPr>
    <w:rPr>
      <w:kern w:val="2"/>
      <w:sz w:val="21"/>
      <w:lang w:val="zh-CN"/>
    </w:rPr>
  </w:style>
  <w:style w:type="paragraph" w:customStyle="1" w:styleId="2704">
    <w:name w:val="正文标准样式"/>
    <w:basedOn w:val="1"/>
    <w:autoRedefine/>
    <w:qFormat/>
    <w:uiPriority w:val="0"/>
    <w:pPr>
      <w:adjustRightInd w:val="0"/>
      <w:spacing w:line="300" w:lineRule="auto"/>
      <w:ind w:firstLine="482"/>
    </w:pPr>
    <w:rPr>
      <w:kern w:val="0"/>
      <w:sz w:val="24"/>
      <w:szCs w:val="20"/>
    </w:rPr>
  </w:style>
  <w:style w:type="paragraph" w:customStyle="1" w:styleId="2705">
    <w:name w:val="样式 样式 标题 1 + 段前: 0 磅 段后: 0 磅 行距: 1.5 倍行距 + 段前: 7.8 磅 段后: 7.8 磅"/>
    <w:basedOn w:val="1"/>
    <w:autoRedefine/>
    <w:qFormat/>
    <w:uiPriority w:val="0"/>
    <w:pPr>
      <w:keepNext/>
      <w:keepLines/>
      <w:spacing w:before="156" w:after="156" w:line="480" w:lineRule="auto"/>
      <w:jc w:val="center"/>
      <w:outlineLvl w:val="0"/>
    </w:pPr>
    <w:rPr>
      <w:rFonts w:cs="宋体"/>
      <w:b/>
      <w:bCs/>
      <w:kern w:val="44"/>
      <w:sz w:val="32"/>
      <w:szCs w:val="20"/>
    </w:rPr>
  </w:style>
  <w:style w:type="character" w:customStyle="1" w:styleId="2706">
    <w:name w:val="l_text Char"/>
    <w:link w:val="2707"/>
    <w:qFormat/>
    <w:locked/>
    <w:uiPriority w:val="0"/>
    <w:rPr>
      <w:rFonts w:ascii="宋体" w:hAnsi="宋体" w:cs="宋体"/>
      <w:sz w:val="28"/>
      <w:szCs w:val="28"/>
      <w:lang w:val="en-GB"/>
    </w:rPr>
  </w:style>
  <w:style w:type="paragraph" w:customStyle="1" w:styleId="2707">
    <w:name w:val="l_text"/>
    <w:basedOn w:val="1"/>
    <w:link w:val="2706"/>
    <w:autoRedefine/>
    <w:qFormat/>
    <w:uiPriority w:val="0"/>
    <w:pPr>
      <w:widowControl/>
      <w:overflowPunct w:val="0"/>
      <w:autoSpaceDE w:val="0"/>
      <w:autoSpaceDN w:val="0"/>
      <w:adjustRightInd w:val="0"/>
      <w:spacing w:line="360" w:lineRule="auto"/>
      <w:ind w:left="170" w:firstLine="680"/>
    </w:pPr>
    <w:rPr>
      <w:rFonts w:ascii="宋体" w:hAnsi="宋体" w:cs="宋体"/>
      <w:kern w:val="0"/>
      <w:sz w:val="28"/>
      <w:szCs w:val="28"/>
      <w:lang w:val="en-GB"/>
    </w:rPr>
  </w:style>
  <w:style w:type="paragraph" w:customStyle="1" w:styleId="2708">
    <w:name w:val="TITLE-2"/>
    <w:basedOn w:val="1"/>
    <w:autoRedefine/>
    <w:qFormat/>
    <w:uiPriority w:val="0"/>
    <w:pPr>
      <w:adjustRightInd w:val="0"/>
      <w:spacing w:line="480" w:lineRule="atLeast"/>
      <w:ind w:left="284" w:hanging="284"/>
    </w:pPr>
    <w:rPr>
      <w:rFonts w:eastAsia="DFKai-SB"/>
      <w:kern w:val="0"/>
      <w:sz w:val="28"/>
      <w:szCs w:val="20"/>
      <w:lang w:eastAsia="zh-TW"/>
    </w:rPr>
  </w:style>
  <w:style w:type="paragraph" w:customStyle="1" w:styleId="2709">
    <w:name w:val="表格文本"/>
    <w:basedOn w:val="1"/>
    <w:next w:val="1"/>
    <w:link w:val="3117"/>
    <w:autoRedefine/>
    <w:qFormat/>
    <w:uiPriority w:val="99"/>
    <w:pPr>
      <w:spacing w:line="240" w:lineRule="exact"/>
    </w:pPr>
    <w:rPr>
      <w:szCs w:val="20"/>
    </w:rPr>
  </w:style>
  <w:style w:type="paragraph" w:customStyle="1" w:styleId="2710">
    <w:name w:val="宏福3A"/>
    <w:basedOn w:val="1733"/>
    <w:autoRedefine/>
    <w:qFormat/>
    <w:uiPriority w:val="0"/>
    <w:rPr>
      <w:b/>
    </w:rPr>
  </w:style>
  <w:style w:type="paragraph" w:customStyle="1" w:styleId="2711">
    <w:name w:val="样式 标题 1 + 宋体"/>
    <w:basedOn w:val="3"/>
    <w:autoRedefine/>
    <w:qFormat/>
    <w:uiPriority w:val="0"/>
    <w:pPr>
      <w:keepLines/>
      <w:overflowPunct/>
      <w:snapToGrid/>
      <w:spacing w:before="340" w:after="330" w:line="576" w:lineRule="auto"/>
      <w:ind w:left="0" w:firstLine="0"/>
    </w:pPr>
    <w:rPr>
      <w:rFonts w:ascii="宋体" w:hAnsi="宋体" w:eastAsia="方正姚体"/>
      <w:color w:val="auto"/>
      <w:sz w:val="36"/>
      <w:szCs w:val="44"/>
      <w:lang w:val="zh-CN"/>
    </w:rPr>
  </w:style>
  <w:style w:type="paragraph" w:customStyle="1" w:styleId="2712">
    <w:name w:val="样式 标题 3 + 宋体 Char"/>
    <w:basedOn w:val="5"/>
    <w:autoRedefine/>
    <w:qFormat/>
    <w:uiPriority w:val="0"/>
    <w:pPr>
      <w:spacing w:line="360" w:lineRule="auto"/>
    </w:pPr>
    <w:rPr>
      <w:rFonts w:ascii="宋体" w:hAnsi="宋体"/>
      <w:sz w:val="30"/>
      <w:szCs w:val="30"/>
      <w:lang w:val="zh-CN"/>
    </w:rPr>
  </w:style>
  <w:style w:type="paragraph" w:customStyle="1" w:styleId="2713">
    <w:name w:val="1.1"/>
    <w:autoRedefine/>
    <w:qFormat/>
    <w:uiPriority w:val="0"/>
    <w:pPr>
      <w:widowControl w:val="0"/>
      <w:tabs>
        <w:tab w:val="left" w:pos="855"/>
      </w:tabs>
      <w:ind w:left="855" w:hanging="855"/>
      <w:jc w:val="both"/>
    </w:pPr>
    <w:rPr>
      <w:rFonts w:ascii="Times New Roman" w:hAnsi="Times New Roman" w:eastAsia="宋体" w:cs="Times New Roman"/>
      <w:kern w:val="2"/>
      <w:sz w:val="24"/>
      <w:lang w:val="en-US" w:eastAsia="zh-CN" w:bidi="ar-SA"/>
    </w:rPr>
  </w:style>
  <w:style w:type="paragraph" w:customStyle="1" w:styleId="2714">
    <w:name w:val="宏福2"/>
    <w:basedOn w:val="4"/>
    <w:autoRedefine/>
    <w:qFormat/>
    <w:uiPriority w:val="0"/>
    <w:pPr>
      <w:snapToGrid w:val="0"/>
      <w:spacing w:before="240" w:after="0" w:line="240" w:lineRule="auto"/>
    </w:pPr>
    <w:rPr>
      <w:rFonts w:ascii="Arial" w:hAnsi="Arial"/>
      <w:bCs w:val="0"/>
      <w:sz w:val="30"/>
      <w:szCs w:val="20"/>
      <w:lang w:val="zh-CN"/>
    </w:rPr>
  </w:style>
  <w:style w:type="paragraph" w:customStyle="1" w:styleId="2715">
    <w:name w:val="正文表"/>
    <w:basedOn w:val="1"/>
    <w:qFormat/>
    <w:uiPriority w:val="0"/>
    <w:pPr>
      <w:adjustRightInd w:val="0"/>
      <w:spacing w:line="288" w:lineRule="auto"/>
      <w:jc w:val="left"/>
    </w:pPr>
    <w:rPr>
      <w:kern w:val="0"/>
      <w:sz w:val="24"/>
      <w:szCs w:val="20"/>
      <w:lang w:val="en-GB"/>
    </w:rPr>
  </w:style>
  <w:style w:type="paragraph" w:customStyle="1" w:styleId="2716">
    <w:name w:val="正文标号"/>
    <w:basedOn w:val="1"/>
    <w:autoRedefine/>
    <w:qFormat/>
    <w:uiPriority w:val="0"/>
    <w:pPr>
      <w:adjustRightInd w:val="0"/>
      <w:spacing w:before="60" w:after="60" w:line="288" w:lineRule="auto"/>
      <w:ind w:left="1320" w:hanging="469"/>
      <w:jc w:val="left"/>
    </w:pPr>
    <w:rPr>
      <w:kern w:val="0"/>
      <w:sz w:val="24"/>
      <w:szCs w:val="20"/>
      <w:lang w:val="en-GB"/>
    </w:rPr>
  </w:style>
  <w:style w:type="paragraph" w:customStyle="1" w:styleId="2717">
    <w:name w:val="页眉下"/>
    <w:basedOn w:val="53"/>
    <w:autoRedefine/>
    <w:qFormat/>
    <w:uiPriority w:val="0"/>
    <w:pPr>
      <w:adjustRightInd w:val="0"/>
      <w:snapToGrid/>
      <w:spacing w:before="60"/>
      <w:jc w:val="right"/>
    </w:pPr>
    <w:rPr>
      <w:lang w:val="en-GB"/>
    </w:rPr>
  </w:style>
  <w:style w:type="paragraph" w:customStyle="1" w:styleId="2718">
    <w:name w:val="页眉右"/>
    <w:basedOn w:val="222"/>
    <w:autoRedefine/>
    <w:qFormat/>
    <w:uiPriority w:val="0"/>
    <w:pPr>
      <w:spacing w:before="0" w:after="0" w:line="240" w:lineRule="auto"/>
      <w:jc w:val="right"/>
      <w:textAlignment w:val="auto"/>
    </w:pPr>
    <w:rPr>
      <w:sz w:val="18"/>
    </w:rPr>
  </w:style>
  <w:style w:type="paragraph" w:customStyle="1" w:styleId="2719">
    <w:name w:val="表单位"/>
    <w:basedOn w:val="1"/>
    <w:autoRedefine/>
    <w:qFormat/>
    <w:uiPriority w:val="0"/>
    <w:pPr>
      <w:adjustRightInd w:val="0"/>
      <w:spacing w:before="60" w:after="60" w:line="288" w:lineRule="auto"/>
      <w:ind w:left="851"/>
      <w:jc w:val="right"/>
    </w:pPr>
    <w:rPr>
      <w:kern w:val="44"/>
      <w:sz w:val="18"/>
      <w:szCs w:val="20"/>
      <w:lang w:val="en-GB"/>
    </w:rPr>
  </w:style>
  <w:style w:type="paragraph" w:customStyle="1" w:styleId="2720">
    <w:name w:val="英文表文"/>
    <w:basedOn w:val="1"/>
    <w:autoRedefine/>
    <w:qFormat/>
    <w:uiPriority w:val="0"/>
    <w:pPr>
      <w:adjustRightInd w:val="0"/>
      <w:spacing w:line="288" w:lineRule="auto"/>
      <w:jc w:val="left"/>
    </w:pPr>
    <w:rPr>
      <w:kern w:val="0"/>
      <w:sz w:val="22"/>
      <w:szCs w:val="20"/>
      <w:lang w:val="en-GB"/>
    </w:rPr>
  </w:style>
  <w:style w:type="paragraph" w:customStyle="1" w:styleId="2721">
    <w:name w:val="英文表头"/>
    <w:basedOn w:val="1"/>
    <w:autoRedefine/>
    <w:qFormat/>
    <w:uiPriority w:val="0"/>
    <w:pPr>
      <w:adjustRightInd w:val="0"/>
      <w:spacing w:before="60" w:after="60"/>
      <w:jc w:val="center"/>
    </w:pPr>
    <w:rPr>
      <w:b/>
      <w:kern w:val="0"/>
      <w:sz w:val="24"/>
      <w:szCs w:val="20"/>
      <w:lang w:val="en-GB"/>
    </w:rPr>
  </w:style>
  <w:style w:type="paragraph" w:customStyle="1" w:styleId="2722">
    <w:name w:val="英文表项"/>
    <w:basedOn w:val="1"/>
    <w:autoRedefine/>
    <w:qFormat/>
    <w:uiPriority w:val="0"/>
    <w:pPr>
      <w:adjustRightInd w:val="0"/>
      <w:spacing w:before="60" w:after="60"/>
      <w:jc w:val="center"/>
    </w:pPr>
    <w:rPr>
      <w:i/>
      <w:kern w:val="0"/>
      <w:sz w:val="22"/>
      <w:szCs w:val="20"/>
      <w:lang w:val="en-GB"/>
    </w:rPr>
  </w:style>
  <w:style w:type="paragraph" w:customStyle="1" w:styleId="2723">
    <w:name w:val="单行"/>
    <w:basedOn w:val="1"/>
    <w:autoRedefine/>
    <w:qFormat/>
    <w:uiPriority w:val="0"/>
    <w:pPr>
      <w:adjustRightInd w:val="0"/>
      <w:spacing w:line="288" w:lineRule="auto"/>
      <w:ind w:left="851"/>
      <w:jc w:val="left"/>
    </w:pPr>
    <w:rPr>
      <w:kern w:val="0"/>
      <w:sz w:val="24"/>
      <w:szCs w:val="20"/>
      <w:lang w:val="en-GB"/>
    </w:rPr>
  </w:style>
  <w:style w:type="paragraph" w:customStyle="1" w:styleId="2724">
    <w:name w:val="表格填充1"/>
    <w:basedOn w:val="1"/>
    <w:qFormat/>
    <w:uiPriority w:val="0"/>
    <w:pPr>
      <w:adjustRightInd w:val="0"/>
      <w:snapToGrid w:val="0"/>
      <w:spacing w:line="400" w:lineRule="exact"/>
      <w:jc w:val="center"/>
    </w:pPr>
    <w:rPr>
      <w:szCs w:val="20"/>
    </w:rPr>
  </w:style>
  <w:style w:type="paragraph" w:customStyle="1" w:styleId="2725">
    <w:name w:val="正文文本缩进 32"/>
    <w:basedOn w:val="1"/>
    <w:autoRedefine/>
    <w:qFormat/>
    <w:uiPriority w:val="0"/>
    <w:pPr>
      <w:adjustRightInd w:val="0"/>
      <w:spacing w:line="480" w:lineRule="exact"/>
      <w:ind w:firstLine="525"/>
    </w:pPr>
    <w:rPr>
      <w:rFonts w:ascii="宋体"/>
      <w:sz w:val="28"/>
      <w:szCs w:val="20"/>
    </w:rPr>
  </w:style>
  <w:style w:type="paragraph" w:customStyle="1" w:styleId="2726">
    <w:name w:val="Char Char Char Char Char Char Char Char Char Char Char1 Char Char Char Char Char Char Char Char Char Char Char Char Char Char Char Char1"/>
    <w:basedOn w:val="1"/>
    <w:autoRedefine/>
    <w:qFormat/>
    <w:uiPriority w:val="0"/>
    <w:rPr>
      <w:sz w:val="24"/>
    </w:rPr>
  </w:style>
  <w:style w:type="paragraph" w:customStyle="1" w:styleId="2727">
    <w:name w:val="Char Char Char Char Char Char Char Char1 Char Char Char Char Char Char Char Char Char Char1"/>
    <w:basedOn w:val="1"/>
    <w:autoRedefine/>
    <w:qFormat/>
    <w:uiPriority w:val="0"/>
    <w:rPr>
      <w:sz w:val="24"/>
    </w:rPr>
  </w:style>
  <w:style w:type="paragraph" w:customStyle="1" w:styleId="2728">
    <w:name w:val="Char Char Char Char Char Char Char Char Char Char Char1 Char Char Char Char Char Char1 Char Char Char Char Char Char Char Char Char Char Char Char1"/>
    <w:basedOn w:val="1"/>
    <w:autoRedefine/>
    <w:qFormat/>
    <w:uiPriority w:val="0"/>
    <w:rPr>
      <w:sz w:val="24"/>
    </w:rPr>
  </w:style>
  <w:style w:type="paragraph" w:customStyle="1" w:styleId="2729">
    <w:name w:val="Char Char Char Char Char Char Char Char Char Char Char Char Char Char Char Char Char Char Char Char Char Char Char Char1"/>
    <w:basedOn w:val="1"/>
    <w:autoRedefine/>
    <w:qFormat/>
    <w:uiPriority w:val="0"/>
    <w:rPr>
      <w:sz w:val="24"/>
    </w:rPr>
  </w:style>
  <w:style w:type="paragraph" w:customStyle="1" w:styleId="2730">
    <w:name w:val="Char Char Char Char Char Char Char Char Char Char Char Char Char Char Char Char Char Char Char Char Char Char Char Char Char Char Char Char Char Char Char Char Char Char Char Char1"/>
    <w:basedOn w:val="1"/>
    <w:autoRedefine/>
    <w:qFormat/>
    <w:uiPriority w:val="0"/>
    <w:rPr>
      <w:sz w:val="24"/>
    </w:rPr>
  </w:style>
  <w:style w:type="paragraph" w:customStyle="1" w:styleId="2731">
    <w:name w:val="Char Char Char Char Char Char Char Char Char Char Char Char Char Char Char Char Char Char Char1"/>
    <w:basedOn w:val="1"/>
    <w:autoRedefine/>
    <w:qFormat/>
    <w:uiPriority w:val="0"/>
    <w:rPr>
      <w:sz w:val="24"/>
    </w:rPr>
  </w:style>
  <w:style w:type="paragraph" w:customStyle="1" w:styleId="2732">
    <w:name w:val="Char Char Char Char Char Char Char Char Char Char Char Char Char Char Char Char Char Char1"/>
    <w:basedOn w:val="1"/>
    <w:autoRedefine/>
    <w:qFormat/>
    <w:uiPriority w:val="0"/>
    <w:rPr>
      <w:sz w:val="24"/>
    </w:rPr>
  </w:style>
  <w:style w:type="paragraph" w:customStyle="1" w:styleId="2733">
    <w:name w:val="Char Char Char Char Char Char Char Char Char Char Char1 Char Char Char Char Char Char2"/>
    <w:basedOn w:val="1"/>
    <w:autoRedefine/>
    <w:qFormat/>
    <w:uiPriority w:val="0"/>
    <w:rPr>
      <w:sz w:val="24"/>
    </w:rPr>
  </w:style>
  <w:style w:type="paragraph" w:customStyle="1" w:styleId="2734">
    <w:name w:val="Char Char Char Char Char Char Char Char Char Char Char Char Char Char Char Char Char Char Char Char Char Char Char Char Char Char Char Char Char Char1"/>
    <w:basedOn w:val="1"/>
    <w:autoRedefine/>
    <w:qFormat/>
    <w:uiPriority w:val="0"/>
    <w:rPr>
      <w:sz w:val="24"/>
    </w:rPr>
  </w:style>
  <w:style w:type="paragraph" w:customStyle="1" w:styleId="2735">
    <w:name w:val="Char Char Char Char Char Char Char Char Char Char Char1"/>
    <w:basedOn w:val="1"/>
    <w:autoRedefine/>
    <w:qFormat/>
    <w:uiPriority w:val="0"/>
    <w:rPr>
      <w:sz w:val="24"/>
    </w:rPr>
  </w:style>
  <w:style w:type="paragraph" w:customStyle="1" w:styleId="2736">
    <w:name w:val="Char Char Char Char Char Char Char Char Char Char Char1 Char Char Char Char1"/>
    <w:basedOn w:val="1"/>
    <w:autoRedefine/>
    <w:qFormat/>
    <w:uiPriority w:val="0"/>
    <w:rPr>
      <w:sz w:val="24"/>
    </w:rPr>
  </w:style>
  <w:style w:type="paragraph" w:customStyle="1" w:styleId="2737">
    <w:name w:val="Char Char Char Char Char Char Char Char Char Char Char Char Char Char Char Char Char Char Char Char Char Char Char Char Char Char2"/>
    <w:basedOn w:val="1"/>
    <w:autoRedefine/>
    <w:qFormat/>
    <w:uiPriority w:val="0"/>
    <w:rPr>
      <w:sz w:val="24"/>
    </w:rPr>
  </w:style>
  <w:style w:type="paragraph" w:customStyle="1" w:styleId="2738">
    <w:name w:val="Char Char Char Char Char Char Char Char Char Char Char Char Char Char Char Char Char1"/>
    <w:basedOn w:val="1"/>
    <w:autoRedefine/>
    <w:qFormat/>
    <w:uiPriority w:val="0"/>
    <w:rPr>
      <w:sz w:val="24"/>
    </w:rPr>
  </w:style>
  <w:style w:type="paragraph" w:customStyle="1" w:styleId="2739">
    <w:name w:val="Char Char Char Char Char Char Char Char Char Char Char Char Char Char Char Char Char Char Char Char Char Char Char Char Char Char Char Char Char Char Char Char Char Char Char Char Char Char1"/>
    <w:basedOn w:val="1"/>
    <w:autoRedefine/>
    <w:qFormat/>
    <w:uiPriority w:val="0"/>
    <w:rPr>
      <w:sz w:val="24"/>
    </w:rPr>
  </w:style>
  <w:style w:type="paragraph" w:customStyle="1" w:styleId="2740">
    <w:name w:val="Char Char Char Char Char Char Char Char Char Char Char Char Char Char1"/>
    <w:basedOn w:val="1"/>
    <w:autoRedefine/>
    <w:qFormat/>
    <w:uiPriority w:val="0"/>
    <w:rPr>
      <w:sz w:val="24"/>
    </w:rPr>
  </w:style>
  <w:style w:type="paragraph" w:customStyle="1" w:styleId="2741">
    <w:name w:val="Char Char Char Char Char Char Char Char Char Char Char Char Char Char Char Char Char Char Char Char Char Char Char Char Char Char11"/>
    <w:basedOn w:val="1"/>
    <w:autoRedefine/>
    <w:qFormat/>
    <w:uiPriority w:val="0"/>
    <w:rPr>
      <w:sz w:val="24"/>
    </w:rPr>
  </w:style>
  <w:style w:type="paragraph" w:customStyle="1" w:styleId="2742">
    <w:name w:val="Char Char Char Char Char Char Char Char Char Char Char1 Char Char Char Char Char Char1 Char1"/>
    <w:basedOn w:val="1"/>
    <w:autoRedefine/>
    <w:qFormat/>
    <w:uiPriority w:val="0"/>
    <w:rPr>
      <w:sz w:val="24"/>
    </w:rPr>
  </w:style>
  <w:style w:type="paragraph" w:customStyle="1" w:styleId="2743">
    <w:name w:val="Char Char Char Char Char Char Char Char Char Char Char1 Char Char Char Char Char Char11"/>
    <w:basedOn w:val="1"/>
    <w:autoRedefine/>
    <w:qFormat/>
    <w:uiPriority w:val="0"/>
    <w:rPr>
      <w:sz w:val="24"/>
    </w:rPr>
  </w:style>
  <w:style w:type="paragraph" w:customStyle="1" w:styleId="2744">
    <w:name w:val="Char Char Char Char Char Char Char Char Char Char Char Char Char Char Char Char Char Char Char Char Char Char Char Char Char Char Char Char Char Char Char Char Char1 Char Char Char Char Char Char1"/>
    <w:basedOn w:val="1"/>
    <w:autoRedefine/>
    <w:qFormat/>
    <w:uiPriority w:val="0"/>
    <w:rPr>
      <w:sz w:val="24"/>
    </w:rPr>
  </w:style>
  <w:style w:type="paragraph" w:customStyle="1" w:styleId="2745">
    <w:name w:val="Char Char Char Char Char Char Char Char1 Char Char Char Char Char Char Char Char Char Char Char Char1"/>
    <w:basedOn w:val="1"/>
    <w:autoRedefine/>
    <w:qFormat/>
    <w:uiPriority w:val="0"/>
    <w:rPr>
      <w:sz w:val="24"/>
    </w:rPr>
  </w:style>
  <w:style w:type="paragraph" w:customStyle="1" w:styleId="2746">
    <w:name w:val="Char Char Char Char Char Char Char Char Char Char Char Char Char Char Char1"/>
    <w:basedOn w:val="1"/>
    <w:autoRedefine/>
    <w:qFormat/>
    <w:uiPriority w:val="0"/>
    <w:rPr>
      <w:sz w:val="24"/>
    </w:rPr>
  </w:style>
  <w:style w:type="paragraph" w:customStyle="1" w:styleId="2747">
    <w:name w:val="Char Char Char Char Char Char Char Char1 Char Char Char Char Char Char Char Char Char Char Char Char1 Char1"/>
    <w:basedOn w:val="1"/>
    <w:autoRedefine/>
    <w:qFormat/>
    <w:uiPriority w:val="0"/>
    <w:rPr>
      <w:sz w:val="24"/>
    </w:rPr>
  </w:style>
  <w:style w:type="paragraph" w:customStyle="1" w:styleId="2748">
    <w:name w:val="Char Char Char Char Char Char Char Char Char Char Char Char Char Char Char Char Char Char Char Char Char Char Char Char Char1"/>
    <w:basedOn w:val="1"/>
    <w:autoRedefine/>
    <w:qFormat/>
    <w:uiPriority w:val="0"/>
    <w:rPr>
      <w:sz w:val="24"/>
    </w:rPr>
  </w:style>
  <w:style w:type="paragraph" w:customStyle="1" w:styleId="2749">
    <w:name w:val="Char Char Char Char Char Char Char Char Char Char Char Char Char Char Char Char Char Char Char Char Char Char Char Char Char Char Char Char Char Char Char Char Char Char Char Char Char Char Char1"/>
    <w:basedOn w:val="1"/>
    <w:autoRedefine/>
    <w:qFormat/>
    <w:uiPriority w:val="0"/>
    <w:rPr>
      <w:sz w:val="24"/>
    </w:rPr>
  </w:style>
  <w:style w:type="paragraph" w:customStyle="1" w:styleId="2750">
    <w:name w:val="Char Char Char Char Char Char Char Char Char Char Char Char Char Char Char Char Char1 Char1"/>
    <w:basedOn w:val="1"/>
    <w:qFormat/>
    <w:uiPriority w:val="0"/>
    <w:rPr>
      <w:sz w:val="24"/>
    </w:rPr>
  </w:style>
  <w:style w:type="paragraph" w:customStyle="1" w:styleId="2751">
    <w:name w:val="Char4 Char Char Char Char Char Char1"/>
    <w:basedOn w:val="1"/>
    <w:autoRedefine/>
    <w:qFormat/>
    <w:uiPriority w:val="0"/>
    <w:rPr>
      <w:sz w:val="24"/>
    </w:rPr>
  </w:style>
  <w:style w:type="paragraph" w:customStyle="1" w:styleId="2752">
    <w:name w:val="Char Char4 Char Char Char Char Char Char1"/>
    <w:basedOn w:val="1"/>
    <w:autoRedefine/>
    <w:qFormat/>
    <w:uiPriority w:val="0"/>
    <w:pPr>
      <w:spacing w:beforeLines="50" w:afterLines="100"/>
      <w:jc w:val="center"/>
    </w:pPr>
  </w:style>
  <w:style w:type="paragraph" w:customStyle="1" w:styleId="2753">
    <w:name w:val="Char Char Char Char Char Char Char Char Char Char Char Char Char Char Char Char2"/>
    <w:basedOn w:val="1"/>
    <w:autoRedefine/>
    <w:qFormat/>
    <w:uiPriority w:val="0"/>
    <w:pPr>
      <w:spacing w:line="360" w:lineRule="auto"/>
      <w:ind w:firstLine="200" w:firstLineChars="200"/>
    </w:pPr>
    <w:rPr>
      <w:rFonts w:ascii="宋体" w:hAnsi="宋体" w:cs="宋体"/>
      <w:sz w:val="24"/>
    </w:rPr>
  </w:style>
  <w:style w:type="paragraph" w:customStyle="1" w:styleId="2754">
    <w:name w:val="Char1 Char Char Char1"/>
    <w:basedOn w:val="1"/>
    <w:autoRedefine/>
    <w:qFormat/>
    <w:uiPriority w:val="0"/>
  </w:style>
  <w:style w:type="paragraph" w:customStyle="1" w:styleId="2755">
    <w:name w:val="Char Char4 Char Char Char Char Char Char Char Char Char Char Char Char Char Char Char Char1"/>
    <w:basedOn w:val="1"/>
    <w:autoRedefine/>
    <w:qFormat/>
    <w:uiPriority w:val="0"/>
    <w:rPr>
      <w:sz w:val="24"/>
    </w:rPr>
  </w:style>
  <w:style w:type="paragraph" w:customStyle="1" w:styleId="2756">
    <w:name w:val="Char Char4 Char Char Char Char Char Char Char Char Char Char Char Char Char Char Char Char Char Char1"/>
    <w:basedOn w:val="1"/>
    <w:qFormat/>
    <w:uiPriority w:val="0"/>
    <w:rPr>
      <w:sz w:val="24"/>
    </w:rPr>
  </w:style>
  <w:style w:type="paragraph" w:customStyle="1" w:styleId="2757">
    <w:name w:val="样式 宋体 小四 行距: 多倍行距 1.2 字行"/>
    <w:basedOn w:val="1"/>
    <w:autoRedefine/>
    <w:qFormat/>
    <w:uiPriority w:val="0"/>
    <w:pPr>
      <w:topLinePunct/>
      <w:spacing w:line="360" w:lineRule="auto"/>
      <w:ind w:firstLine="549" w:firstLineChars="196"/>
    </w:pPr>
    <w:rPr>
      <w:rFonts w:ascii="宋体" w:hAnsi="宋体" w:cs="宋体"/>
      <w:kern w:val="0"/>
      <w:sz w:val="28"/>
      <w:szCs w:val="28"/>
    </w:rPr>
  </w:style>
  <w:style w:type="paragraph" w:customStyle="1" w:styleId="2758">
    <w:name w:val="样式 宋体 小四 行距: 多倍行距 1.2 字行1"/>
    <w:basedOn w:val="1"/>
    <w:autoRedefine/>
    <w:qFormat/>
    <w:uiPriority w:val="0"/>
    <w:pPr>
      <w:spacing w:line="360" w:lineRule="auto"/>
    </w:pPr>
    <w:rPr>
      <w:rFonts w:ascii="宋体" w:hAnsi="宋体" w:cs="宋体"/>
      <w:sz w:val="24"/>
      <w:szCs w:val="20"/>
    </w:rPr>
  </w:style>
  <w:style w:type="character" w:customStyle="1" w:styleId="2759">
    <w:name w:val="正文1-1 Char"/>
    <w:link w:val="2760"/>
    <w:autoRedefine/>
    <w:qFormat/>
    <w:locked/>
    <w:uiPriority w:val="0"/>
    <w:rPr>
      <w:rFonts w:ascii="宋体" w:hAnsi="宋体" w:eastAsia="仿宋_GB2312" w:cs="宋体"/>
      <w:sz w:val="28"/>
      <w:szCs w:val="24"/>
    </w:rPr>
  </w:style>
  <w:style w:type="paragraph" w:customStyle="1" w:styleId="2760">
    <w:name w:val="正文1-1"/>
    <w:basedOn w:val="1"/>
    <w:link w:val="2759"/>
    <w:autoRedefine/>
    <w:qFormat/>
    <w:uiPriority w:val="0"/>
    <w:pPr>
      <w:widowControl/>
      <w:snapToGrid w:val="0"/>
      <w:spacing w:line="360" w:lineRule="auto"/>
      <w:ind w:firstLine="200" w:firstLineChars="200"/>
      <w:jc w:val="left"/>
    </w:pPr>
    <w:rPr>
      <w:rFonts w:ascii="宋体" w:hAnsi="宋体" w:eastAsia="仿宋_GB2312" w:cs="宋体"/>
      <w:kern w:val="0"/>
      <w:sz w:val="28"/>
    </w:rPr>
  </w:style>
  <w:style w:type="character" w:customStyle="1" w:styleId="2761">
    <w:name w:val="zhuti Char Char"/>
    <w:link w:val="2762"/>
    <w:autoRedefine/>
    <w:qFormat/>
    <w:locked/>
    <w:uiPriority w:val="0"/>
    <w:rPr>
      <w:sz w:val="28"/>
      <w:szCs w:val="28"/>
    </w:rPr>
  </w:style>
  <w:style w:type="paragraph" w:customStyle="1" w:styleId="2762">
    <w:name w:val="zhuti"/>
    <w:basedOn w:val="1"/>
    <w:link w:val="2761"/>
    <w:autoRedefine/>
    <w:qFormat/>
    <w:uiPriority w:val="0"/>
    <w:pPr>
      <w:widowControl/>
      <w:spacing w:line="360" w:lineRule="auto"/>
      <w:ind w:firstLine="560" w:firstLineChars="200"/>
      <w:jc w:val="left"/>
    </w:pPr>
    <w:rPr>
      <w:kern w:val="0"/>
      <w:sz w:val="28"/>
      <w:szCs w:val="28"/>
    </w:rPr>
  </w:style>
  <w:style w:type="paragraph" w:customStyle="1" w:styleId="2763">
    <w:name w:val="Char28"/>
    <w:basedOn w:val="1"/>
    <w:autoRedefine/>
    <w:qFormat/>
    <w:uiPriority w:val="0"/>
    <w:rPr>
      <w:sz w:val="24"/>
    </w:rPr>
  </w:style>
  <w:style w:type="paragraph" w:customStyle="1" w:styleId="2764">
    <w:name w:val="正文缩进6"/>
    <w:basedOn w:val="1"/>
    <w:autoRedefine/>
    <w:qFormat/>
    <w:uiPriority w:val="0"/>
    <w:pPr>
      <w:adjustRightInd w:val="0"/>
      <w:ind w:firstLine="420" w:firstLineChars="200"/>
    </w:pPr>
    <w:rPr>
      <w:rFonts w:hAnsi="宋体"/>
      <w:sz w:val="24"/>
      <w:szCs w:val="20"/>
    </w:rPr>
  </w:style>
  <w:style w:type="paragraph" w:customStyle="1" w:styleId="2765">
    <w:name w:val="正文文本缩进 33"/>
    <w:basedOn w:val="1"/>
    <w:autoRedefine/>
    <w:qFormat/>
    <w:uiPriority w:val="0"/>
    <w:pPr>
      <w:adjustRightInd w:val="0"/>
      <w:spacing w:line="480" w:lineRule="exact"/>
      <w:ind w:firstLine="525"/>
    </w:pPr>
    <w:rPr>
      <w:rFonts w:ascii="宋体"/>
      <w:sz w:val="28"/>
      <w:szCs w:val="20"/>
    </w:rPr>
  </w:style>
  <w:style w:type="paragraph" w:customStyle="1" w:styleId="2766">
    <w:name w:val="Char Char1 Char Char Char Char3"/>
    <w:basedOn w:val="1"/>
    <w:autoRedefine/>
    <w:qFormat/>
    <w:uiPriority w:val="0"/>
    <w:rPr>
      <w:sz w:val="24"/>
    </w:rPr>
  </w:style>
  <w:style w:type="paragraph" w:customStyle="1" w:styleId="2767">
    <w:name w:val="Char Char Char Char Char Char Char Char Char Char3"/>
    <w:basedOn w:val="1"/>
    <w:autoRedefine/>
    <w:qFormat/>
    <w:uiPriority w:val="0"/>
    <w:rPr>
      <w:sz w:val="24"/>
    </w:rPr>
  </w:style>
  <w:style w:type="paragraph" w:customStyle="1" w:styleId="2768">
    <w:name w:val="Char Char Char Char Char Char Char Char Char Char Char1 Char Char Char Char Char Char Char Char Char Char Char Char Char Char Char Char3"/>
    <w:basedOn w:val="1"/>
    <w:autoRedefine/>
    <w:qFormat/>
    <w:uiPriority w:val="0"/>
    <w:rPr>
      <w:sz w:val="24"/>
    </w:rPr>
  </w:style>
  <w:style w:type="paragraph" w:customStyle="1" w:styleId="2769">
    <w:name w:val="Char Char Char Char Char Char Char Char1 Char Char Char Char Char Char Char Char Char Char3"/>
    <w:basedOn w:val="1"/>
    <w:autoRedefine/>
    <w:qFormat/>
    <w:uiPriority w:val="0"/>
    <w:rPr>
      <w:sz w:val="24"/>
    </w:rPr>
  </w:style>
  <w:style w:type="paragraph" w:customStyle="1" w:styleId="2770">
    <w:name w:val="Char Char Char Char Char Char Char Char Char Char Char1 Char Char Char Char Char Char1 Char Char Char Char Char Char Char Char Char Char Char Char3"/>
    <w:basedOn w:val="1"/>
    <w:autoRedefine/>
    <w:qFormat/>
    <w:uiPriority w:val="0"/>
    <w:rPr>
      <w:sz w:val="24"/>
    </w:rPr>
  </w:style>
  <w:style w:type="paragraph" w:customStyle="1" w:styleId="2771">
    <w:name w:val="Char Char Char Char Char Char Char Char Char Char Char Char Char Char Char Char Char Char Char Char Char Char Char Char3"/>
    <w:basedOn w:val="1"/>
    <w:autoRedefine/>
    <w:qFormat/>
    <w:uiPriority w:val="0"/>
    <w:rPr>
      <w:sz w:val="24"/>
    </w:rPr>
  </w:style>
  <w:style w:type="paragraph" w:customStyle="1" w:styleId="2772">
    <w:name w:val="Char Char Char Char Char Char Char Char Char Char Char Char Char Char Char Char Char Char Char Char Char Char Char Char Char Char Char Char Char Char Char Char Char Char Char Char6"/>
    <w:basedOn w:val="1"/>
    <w:autoRedefine/>
    <w:qFormat/>
    <w:uiPriority w:val="0"/>
    <w:rPr>
      <w:sz w:val="24"/>
    </w:rPr>
  </w:style>
  <w:style w:type="paragraph" w:customStyle="1" w:styleId="2773">
    <w:name w:val="Char Char Char Char Char Char Char Char Char Char Char Char Char Char Char Char Char Char Char3"/>
    <w:basedOn w:val="1"/>
    <w:autoRedefine/>
    <w:qFormat/>
    <w:uiPriority w:val="0"/>
    <w:rPr>
      <w:sz w:val="24"/>
    </w:rPr>
  </w:style>
  <w:style w:type="paragraph" w:customStyle="1" w:styleId="2774">
    <w:name w:val="Char Char Char Char Char Char Char Char Char Char Char Char Char Char Char Char Char Char3"/>
    <w:basedOn w:val="1"/>
    <w:autoRedefine/>
    <w:qFormat/>
    <w:uiPriority w:val="0"/>
    <w:rPr>
      <w:sz w:val="24"/>
    </w:rPr>
  </w:style>
  <w:style w:type="paragraph" w:customStyle="1" w:styleId="2775">
    <w:name w:val="Char Char Char Char Char Char Char Char Char Char Char1 Char Char Char Char Char Char4"/>
    <w:basedOn w:val="1"/>
    <w:autoRedefine/>
    <w:qFormat/>
    <w:uiPriority w:val="0"/>
    <w:rPr>
      <w:sz w:val="24"/>
    </w:rPr>
  </w:style>
  <w:style w:type="paragraph" w:customStyle="1" w:styleId="2776">
    <w:name w:val="Char Char Char Char Char Char Char Char Char Char Char Char Char Char Char Char Char Char Char Char Char Char Char Char Char Char Char Char Char Char3"/>
    <w:basedOn w:val="1"/>
    <w:autoRedefine/>
    <w:qFormat/>
    <w:uiPriority w:val="0"/>
    <w:rPr>
      <w:sz w:val="24"/>
    </w:rPr>
  </w:style>
  <w:style w:type="paragraph" w:customStyle="1" w:styleId="2777">
    <w:name w:val="Char Char Char Char Char Char Char Char Char Char Char6"/>
    <w:basedOn w:val="1"/>
    <w:autoRedefine/>
    <w:qFormat/>
    <w:uiPriority w:val="0"/>
    <w:rPr>
      <w:sz w:val="24"/>
    </w:rPr>
  </w:style>
  <w:style w:type="paragraph" w:customStyle="1" w:styleId="2778">
    <w:name w:val="Char Char Char Char Char Char Char Char Char Char Char1 Char Char Char Char3"/>
    <w:basedOn w:val="1"/>
    <w:autoRedefine/>
    <w:qFormat/>
    <w:uiPriority w:val="0"/>
    <w:rPr>
      <w:sz w:val="24"/>
    </w:rPr>
  </w:style>
  <w:style w:type="paragraph" w:customStyle="1" w:styleId="2779">
    <w:name w:val="Char Char Char Char Char Char Char Char Char Char Char Char Char Char Char Char Char Char Char Char Char Char Char Char Char Char4"/>
    <w:basedOn w:val="1"/>
    <w:autoRedefine/>
    <w:qFormat/>
    <w:uiPriority w:val="0"/>
    <w:rPr>
      <w:sz w:val="24"/>
    </w:rPr>
  </w:style>
  <w:style w:type="paragraph" w:customStyle="1" w:styleId="2780">
    <w:name w:val="Char Char Char Char Char Char Char Char Char Char Char Char3"/>
    <w:basedOn w:val="1"/>
    <w:autoRedefine/>
    <w:qFormat/>
    <w:uiPriority w:val="0"/>
    <w:rPr>
      <w:sz w:val="24"/>
    </w:rPr>
  </w:style>
  <w:style w:type="paragraph" w:customStyle="1" w:styleId="2781">
    <w:name w:val="Char Char Char Char Char Char Char Char Char Char Char Char Char Char Char Char Char3"/>
    <w:basedOn w:val="1"/>
    <w:autoRedefine/>
    <w:qFormat/>
    <w:uiPriority w:val="0"/>
    <w:rPr>
      <w:sz w:val="24"/>
    </w:rPr>
  </w:style>
  <w:style w:type="paragraph" w:customStyle="1" w:styleId="2782">
    <w:name w:val="Char Char Char Char Char Char Char Char Char Char Char Char Char Char Char Char Char Char Char Char Char Char Char Char Char Char Char Char Char Char Char Char Char Char Char Char Char Char3"/>
    <w:basedOn w:val="1"/>
    <w:autoRedefine/>
    <w:qFormat/>
    <w:uiPriority w:val="0"/>
    <w:rPr>
      <w:sz w:val="24"/>
    </w:rPr>
  </w:style>
  <w:style w:type="paragraph" w:customStyle="1" w:styleId="2783">
    <w:name w:val="Char Char Char Char Char Char Char Char Char Char Char Char Char Char3"/>
    <w:basedOn w:val="1"/>
    <w:autoRedefine/>
    <w:qFormat/>
    <w:uiPriority w:val="0"/>
    <w:rPr>
      <w:sz w:val="24"/>
    </w:rPr>
  </w:style>
  <w:style w:type="paragraph" w:customStyle="1" w:styleId="2784">
    <w:name w:val="Char Char Char Char Char Char Char Char Char Char Char Char Char Char Char Char Char Char Char Char Char Char Char Char Char Char13"/>
    <w:basedOn w:val="1"/>
    <w:autoRedefine/>
    <w:qFormat/>
    <w:uiPriority w:val="0"/>
    <w:rPr>
      <w:sz w:val="24"/>
    </w:rPr>
  </w:style>
  <w:style w:type="paragraph" w:customStyle="1" w:styleId="2785">
    <w:name w:val="Char Char Char Char Char Char Char Char Char Char Char1 Char Char Char Char Char Char1 Char3"/>
    <w:basedOn w:val="1"/>
    <w:autoRedefine/>
    <w:qFormat/>
    <w:uiPriority w:val="0"/>
    <w:rPr>
      <w:sz w:val="24"/>
    </w:rPr>
  </w:style>
  <w:style w:type="paragraph" w:customStyle="1" w:styleId="2786">
    <w:name w:val="Char Char Char Char Char Char Char Char Char Char Char1 Char Char Char Char Char Char13"/>
    <w:basedOn w:val="1"/>
    <w:autoRedefine/>
    <w:qFormat/>
    <w:uiPriority w:val="0"/>
    <w:rPr>
      <w:sz w:val="24"/>
    </w:rPr>
  </w:style>
  <w:style w:type="paragraph" w:customStyle="1" w:styleId="2787">
    <w:name w:val="Char Char Char Char Char Char Char Char Char Char Char Char Char Char Char Char Char Char Char Char Char Char Char Char Char Char Char Char Char Char Char Char Char1 Char Char Char Char Char Char3"/>
    <w:basedOn w:val="1"/>
    <w:autoRedefine/>
    <w:qFormat/>
    <w:uiPriority w:val="0"/>
    <w:rPr>
      <w:sz w:val="24"/>
    </w:rPr>
  </w:style>
  <w:style w:type="paragraph" w:customStyle="1" w:styleId="2788">
    <w:name w:val="Char Char Char14"/>
    <w:basedOn w:val="1"/>
    <w:autoRedefine/>
    <w:qFormat/>
    <w:uiPriority w:val="0"/>
    <w:rPr>
      <w:sz w:val="24"/>
    </w:rPr>
  </w:style>
  <w:style w:type="paragraph" w:customStyle="1" w:styleId="2789">
    <w:name w:val="Char Char Char Char Char Char Char Char1 Char Char Char Char Char Char Char Char Char Char Char Char3"/>
    <w:basedOn w:val="1"/>
    <w:autoRedefine/>
    <w:qFormat/>
    <w:uiPriority w:val="0"/>
    <w:rPr>
      <w:sz w:val="24"/>
    </w:rPr>
  </w:style>
  <w:style w:type="paragraph" w:customStyle="1" w:styleId="2790">
    <w:name w:val="Char Char Char Char Char Char Char Char Char Char Char Char Char Char Char3"/>
    <w:basedOn w:val="1"/>
    <w:autoRedefine/>
    <w:qFormat/>
    <w:uiPriority w:val="0"/>
    <w:rPr>
      <w:sz w:val="24"/>
    </w:rPr>
  </w:style>
  <w:style w:type="paragraph" w:customStyle="1" w:styleId="2791">
    <w:name w:val="Char Char Char Char Char Char Char Char1 Char Char Char Char Char Char Char Char Char Char Char Char1 Char3"/>
    <w:basedOn w:val="1"/>
    <w:autoRedefine/>
    <w:qFormat/>
    <w:uiPriority w:val="0"/>
    <w:rPr>
      <w:sz w:val="24"/>
    </w:rPr>
  </w:style>
  <w:style w:type="paragraph" w:customStyle="1" w:styleId="2792">
    <w:name w:val="字元3"/>
    <w:basedOn w:val="1"/>
    <w:autoRedefine/>
    <w:qFormat/>
    <w:uiPriority w:val="0"/>
    <w:rPr>
      <w:sz w:val="24"/>
    </w:rPr>
  </w:style>
  <w:style w:type="paragraph" w:customStyle="1" w:styleId="2793">
    <w:name w:val="Char Char Char Char Char Char Char Char Char Char Char Char Char Char Char Char Char Char Char Char Char Char Char Char Char3"/>
    <w:basedOn w:val="1"/>
    <w:autoRedefine/>
    <w:qFormat/>
    <w:uiPriority w:val="0"/>
    <w:rPr>
      <w:sz w:val="24"/>
    </w:rPr>
  </w:style>
  <w:style w:type="paragraph" w:customStyle="1" w:styleId="2794">
    <w:name w:val="Char Char Char Char Char Char Char Char Char Char Char Char Char Char Char Char Char Char Char Char Char Char Char Char Char Char Char Char Char Char Char Char Char Char Char Char Char Char Char3"/>
    <w:basedOn w:val="1"/>
    <w:autoRedefine/>
    <w:qFormat/>
    <w:uiPriority w:val="0"/>
    <w:rPr>
      <w:sz w:val="24"/>
    </w:rPr>
  </w:style>
  <w:style w:type="paragraph" w:customStyle="1" w:styleId="2795">
    <w:name w:val="Char Char Char Char Char Char Char Char Char Char Char Char Char Char Char Char Char1 Char3"/>
    <w:basedOn w:val="1"/>
    <w:autoRedefine/>
    <w:qFormat/>
    <w:uiPriority w:val="0"/>
    <w:rPr>
      <w:sz w:val="24"/>
    </w:rPr>
  </w:style>
  <w:style w:type="paragraph" w:customStyle="1" w:styleId="2796">
    <w:name w:val="Char4 Char Char Char Char Char Char3"/>
    <w:basedOn w:val="1"/>
    <w:autoRedefine/>
    <w:qFormat/>
    <w:uiPriority w:val="0"/>
    <w:rPr>
      <w:sz w:val="24"/>
    </w:rPr>
  </w:style>
  <w:style w:type="paragraph" w:customStyle="1" w:styleId="2797">
    <w:name w:val="Char4 Char Char Char3"/>
    <w:basedOn w:val="1"/>
    <w:autoRedefine/>
    <w:qFormat/>
    <w:uiPriority w:val="0"/>
    <w:rPr>
      <w:sz w:val="24"/>
    </w:rPr>
  </w:style>
  <w:style w:type="paragraph" w:customStyle="1" w:styleId="2798">
    <w:name w:val="Char Char Char Char Char Char Char Char1 Char Char Char Char3"/>
    <w:basedOn w:val="1"/>
    <w:autoRedefine/>
    <w:qFormat/>
    <w:uiPriority w:val="0"/>
  </w:style>
  <w:style w:type="paragraph" w:customStyle="1" w:styleId="2799">
    <w:name w:val="Char Char4 Char Char Char Char Char Char3"/>
    <w:basedOn w:val="1"/>
    <w:autoRedefine/>
    <w:qFormat/>
    <w:uiPriority w:val="0"/>
    <w:pPr>
      <w:spacing w:beforeLines="50" w:afterLines="100"/>
      <w:jc w:val="center"/>
    </w:pPr>
  </w:style>
  <w:style w:type="paragraph" w:customStyle="1" w:styleId="2800">
    <w:name w:val="Char Char Char Char Char Char Char Char Char Char Char Char Char Char Char Char4"/>
    <w:basedOn w:val="1"/>
    <w:autoRedefine/>
    <w:qFormat/>
    <w:uiPriority w:val="0"/>
    <w:pPr>
      <w:spacing w:line="360" w:lineRule="auto"/>
      <w:ind w:firstLine="200" w:firstLineChars="200"/>
    </w:pPr>
    <w:rPr>
      <w:rFonts w:ascii="宋体" w:hAnsi="宋体" w:cs="宋体"/>
      <w:sz w:val="24"/>
    </w:rPr>
  </w:style>
  <w:style w:type="paragraph" w:customStyle="1" w:styleId="2801">
    <w:name w:val="Char Char Char Char Char Char Char Char Char1 Char Char Char Char Char Char Char4"/>
    <w:basedOn w:val="1"/>
    <w:autoRedefine/>
    <w:qFormat/>
    <w:uiPriority w:val="0"/>
    <w:rPr>
      <w:szCs w:val="21"/>
    </w:rPr>
  </w:style>
  <w:style w:type="paragraph" w:customStyle="1" w:styleId="2802">
    <w:name w:val="Char1 Char Char Char3"/>
    <w:basedOn w:val="1"/>
    <w:autoRedefine/>
    <w:qFormat/>
    <w:uiPriority w:val="0"/>
  </w:style>
  <w:style w:type="paragraph" w:customStyle="1" w:styleId="2803">
    <w:name w:val="Char Char4 Char Char Char Char Char Char Char Char Char Char Char Char Char Char Char Char3"/>
    <w:basedOn w:val="1"/>
    <w:autoRedefine/>
    <w:qFormat/>
    <w:uiPriority w:val="0"/>
    <w:rPr>
      <w:sz w:val="24"/>
    </w:rPr>
  </w:style>
  <w:style w:type="paragraph" w:customStyle="1" w:styleId="2804">
    <w:name w:val="Char Char4 Char Char Char Char Char Char Char Char Char Char Char Char Char Char Char Char Char Char3"/>
    <w:basedOn w:val="1"/>
    <w:autoRedefine/>
    <w:qFormat/>
    <w:uiPriority w:val="0"/>
    <w:rPr>
      <w:sz w:val="24"/>
    </w:rPr>
  </w:style>
  <w:style w:type="paragraph" w:customStyle="1" w:styleId="2805">
    <w:name w:val="正文缩进7"/>
    <w:basedOn w:val="1"/>
    <w:autoRedefine/>
    <w:qFormat/>
    <w:uiPriority w:val="0"/>
    <w:pPr>
      <w:adjustRightInd w:val="0"/>
      <w:ind w:firstLine="420" w:firstLineChars="200"/>
    </w:pPr>
    <w:rPr>
      <w:rFonts w:hAnsi="宋体"/>
      <w:sz w:val="24"/>
      <w:szCs w:val="20"/>
    </w:rPr>
  </w:style>
  <w:style w:type="paragraph" w:customStyle="1" w:styleId="2806">
    <w:name w:val="日期4"/>
    <w:basedOn w:val="1"/>
    <w:next w:val="1"/>
    <w:autoRedefine/>
    <w:qFormat/>
    <w:uiPriority w:val="0"/>
    <w:pPr>
      <w:adjustRightInd w:val="0"/>
    </w:pPr>
    <w:rPr>
      <w:szCs w:val="20"/>
    </w:rPr>
  </w:style>
  <w:style w:type="paragraph" w:customStyle="1" w:styleId="2807">
    <w:name w:val="正文文本缩进 24"/>
    <w:basedOn w:val="1"/>
    <w:autoRedefine/>
    <w:qFormat/>
    <w:uiPriority w:val="0"/>
    <w:pPr>
      <w:adjustRightInd w:val="0"/>
      <w:spacing w:line="480" w:lineRule="atLeast"/>
      <w:ind w:firstLine="630"/>
    </w:pPr>
    <w:rPr>
      <w:rFonts w:ascii="宋体"/>
      <w:sz w:val="28"/>
      <w:szCs w:val="20"/>
    </w:rPr>
  </w:style>
  <w:style w:type="paragraph" w:customStyle="1" w:styleId="2808">
    <w:name w:val="正文文本缩进 34"/>
    <w:basedOn w:val="1"/>
    <w:autoRedefine/>
    <w:qFormat/>
    <w:uiPriority w:val="0"/>
    <w:pPr>
      <w:adjustRightInd w:val="0"/>
      <w:spacing w:line="480" w:lineRule="exact"/>
      <w:ind w:firstLine="525"/>
    </w:pPr>
    <w:rPr>
      <w:rFonts w:ascii="宋体"/>
      <w:sz w:val="28"/>
      <w:szCs w:val="20"/>
    </w:rPr>
  </w:style>
  <w:style w:type="paragraph" w:customStyle="1" w:styleId="2809">
    <w:name w:val="正文文本缩进5"/>
    <w:basedOn w:val="1"/>
    <w:autoRedefine/>
    <w:qFormat/>
    <w:uiPriority w:val="0"/>
    <w:pPr>
      <w:adjustRightInd w:val="0"/>
      <w:spacing w:after="120" w:line="360" w:lineRule="auto"/>
      <w:ind w:left="420" w:leftChars="200" w:firstLine="200" w:firstLineChars="200"/>
    </w:pPr>
    <w:rPr>
      <w:sz w:val="24"/>
    </w:rPr>
  </w:style>
  <w:style w:type="paragraph" w:customStyle="1" w:styleId="2810">
    <w:name w:val="列出段落6"/>
    <w:basedOn w:val="1"/>
    <w:autoRedefine/>
    <w:qFormat/>
    <w:uiPriority w:val="0"/>
    <w:pPr>
      <w:ind w:firstLine="420" w:firstLineChars="200"/>
    </w:pPr>
    <w:rPr>
      <w:rFonts w:ascii="Calibri" w:hAnsi="Calibri"/>
      <w:szCs w:val="22"/>
    </w:rPr>
  </w:style>
  <w:style w:type="paragraph" w:customStyle="1" w:styleId="2811">
    <w:name w:val="Char Char Char Char Char Char Char Char Char Char2"/>
    <w:basedOn w:val="1"/>
    <w:autoRedefine/>
    <w:qFormat/>
    <w:uiPriority w:val="0"/>
    <w:rPr>
      <w:sz w:val="24"/>
    </w:rPr>
  </w:style>
  <w:style w:type="paragraph" w:customStyle="1" w:styleId="2812">
    <w:name w:val="Char Char Char Char Char Char Char Char Char Char Char1 Char Char Char Char Char Char Char Char Char Char Char Char Char Char Char Char2"/>
    <w:basedOn w:val="1"/>
    <w:autoRedefine/>
    <w:qFormat/>
    <w:uiPriority w:val="0"/>
    <w:rPr>
      <w:sz w:val="24"/>
    </w:rPr>
  </w:style>
  <w:style w:type="paragraph" w:customStyle="1" w:styleId="2813">
    <w:name w:val="Char Char Char Char Char Char Char Char1 Char Char Char Char Char Char Char Char Char Char2"/>
    <w:basedOn w:val="1"/>
    <w:autoRedefine/>
    <w:qFormat/>
    <w:uiPriority w:val="0"/>
    <w:rPr>
      <w:sz w:val="24"/>
    </w:rPr>
  </w:style>
  <w:style w:type="paragraph" w:customStyle="1" w:styleId="2814">
    <w:name w:val="Char Char Char Char Char Char Char Char Char Char Char1 Char Char Char Char Char Char1 Char Char Char Char Char Char Char Char Char Char Char Char2"/>
    <w:basedOn w:val="1"/>
    <w:autoRedefine/>
    <w:qFormat/>
    <w:uiPriority w:val="0"/>
    <w:rPr>
      <w:sz w:val="24"/>
    </w:rPr>
  </w:style>
  <w:style w:type="paragraph" w:customStyle="1" w:styleId="2815">
    <w:name w:val="Char Char Char Char Char Char Char Char Char Char Char Char Char Char Char Char Char Char Char Char Char Char Char Char2"/>
    <w:basedOn w:val="1"/>
    <w:autoRedefine/>
    <w:qFormat/>
    <w:uiPriority w:val="0"/>
    <w:rPr>
      <w:sz w:val="24"/>
    </w:rPr>
  </w:style>
  <w:style w:type="paragraph" w:customStyle="1" w:styleId="2816">
    <w:name w:val="Char Char Char Char Char Char Char Char Char Char Char Char Char Char Char Char Char Char Char Char Char Char Char Char Char Char Char Char Char Char Char Char Char Char Char Char5"/>
    <w:basedOn w:val="1"/>
    <w:autoRedefine/>
    <w:qFormat/>
    <w:uiPriority w:val="0"/>
    <w:rPr>
      <w:sz w:val="24"/>
    </w:rPr>
  </w:style>
  <w:style w:type="paragraph" w:customStyle="1" w:styleId="2817">
    <w:name w:val="Char Char Char Char Char Char Char Char Char Char Char Char Char Char Char Char Char Char Char2"/>
    <w:basedOn w:val="1"/>
    <w:autoRedefine/>
    <w:qFormat/>
    <w:uiPriority w:val="0"/>
    <w:rPr>
      <w:sz w:val="24"/>
    </w:rPr>
  </w:style>
  <w:style w:type="paragraph" w:customStyle="1" w:styleId="2818">
    <w:name w:val="Char Char Char Char Char Char Char Char Char Char Char Char Char Char Char Char Char Char2"/>
    <w:basedOn w:val="1"/>
    <w:autoRedefine/>
    <w:qFormat/>
    <w:uiPriority w:val="0"/>
    <w:rPr>
      <w:sz w:val="24"/>
    </w:rPr>
  </w:style>
  <w:style w:type="paragraph" w:customStyle="1" w:styleId="2819">
    <w:name w:val="Char Char Char Char Char Char Char Char Char Char Char1 Char Char Char Char Char Char3"/>
    <w:basedOn w:val="1"/>
    <w:autoRedefine/>
    <w:qFormat/>
    <w:uiPriority w:val="0"/>
    <w:rPr>
      <w:sz w:val="24"/>
    </w:rPr>
  </w:style>
  <w:style w:type="paragraph" w:customStyle="1" w:styleId="2820">
    <w:name w:val="Char Char Char Char Char Char Char Char Char Char Char Char Char Char Char Char Char Char Char Char Char Char Char Char Char Char Char Char Char Char2"/>
    <w:basedOn w:val="1"/>
    <w:autoRedefine/>
    <w:qFormat/>
    <w:uiPriority w:val="0"/>
    <w:rPr>
      <w:sz w:val="24"/>
    </w:rPr>
  </w:style>
  <w:style w:type="paragraph" w:customStyle="1" w:styleId="2821">
    <w:name w:val="Char Char Char Char Char Char Char Char Char Char Char5"/>
    <w:basedOn w:val="1"/>
    <w:autoRedefine/>
    <w:qFormat/>
    <w:uiPriority w:val="0"/>
    <w:rPr>
      <w:sz w:val="24"/>
    </w:rPr>
  </w:style>
  <w:style w:type="paragraph" w:customStyle="1" w:styleId="2822">
    <w:name w:val="Char Char Char Char Char Char Char Char Char Char Char1 Char Char Char Char2"/>
    <w:basedOn w:val="1"/>
    <w:autoRedefine/>
    <w:qFormat/>
    <w:uiPriority w:val="0"/>
    <w:rPr>
      <w:sz w:val="24"/>
    </w:rPr>
  </w:style>
  <w:style w:type="paragraph" w:customStyle="1" w:styleId="2823">
    <w:name w:val="Char Char Char Char Char Char Char Char Char Char Char Char Char Char Char Char Char Char Char Char Char Char Char Char Char Char3"/>
    <w:basedOn w:val="1"/>
    <w:autoRedefine/>
    <w:qFormat/>
    <w:uiPriority w:val="0"/>
    <w:rPr>
      <w:sz w:val="24"/>
    </w:rPr>
  </w:style>
  <w:style w:type="paragraph" w:customStyle="1" w:styleId="2824">
    <w:name w:val="Char Char Char Char Char Char Char Char Char Char Char Char2"/>
    <w:basedOn w:val="1"/>
    <w:autoRedefine/>
    <w:qFormat/>
    <w:uiPriority w:val="0"/>
    <w:rPr>
      <w:sz w:val="24"/>
    </w:rPr>
  </w:style>
  <w:style w:type="paragraph" w:customStyle="1" w:styleId="2825">
    <w:name w:val="Char Char Char Char Char Char Char Char Char Char Char Char Char Char Char Char Char2"/>
    <w:basedOn w:val="1"/>
    <w:autoRedefine/>
    <w:qFormat/>
    <w:uiPriority w:val="0"/>
    <w:rPr>
      <w:sz w:val="24"/>
    </w:rPr>
  </w:style>
  <w:style w:type="paragraph" w:customStyle="1" w:styleId="2826">
    <w:name w:val="Char Char Char Char Char Char Char Char Char Char Char Char Char Char Char Char Char Char Char Char Char Char Char Char Char Char Char Char Char Char Char Char Char Char Char Char Char Char2"/>
    <w:basedOn w:val="1"/>
    <w:autoRedefine/>
    <w:qFormat/>
    <w:uiPriority w:val="0"/>
    <w:rPr>
      <w:sz w:val="24"/>
    </w:rPr>
  </w:style>
  <w:style w:type="paragraph" w:customStyle="1" w:styleId="2827">
    <w:name w:val="Char Char Char Char Char Char Char Char Char Char Char Char Char Char2"/>
    <w:basedOn w:val="1"/>
    <w:autoRedefine/>
    <w:qFormat/>
    <w:uiPriority w:val="0"/>
    <w:rPr>
      <w:sz w:val="24"/>
    </w:rPr>
  </w:style>
  <w:style w:type="paragraph" w:customStyle="1" w:styleId="2828">
    <w:name w:val="Char Char Char Char Char Char Char Char Char Char Char Char Char Char Char Char Char Char Char Char Char Char Char Char Char Char12"/>
    <w:basedOn w:val="1"/>
    <w:autoRedefine/>
    <w:qFormat/>
    <w:uiPriority w:val="0"/>
    <w:rPr>
      <w:sz w:val="24"/>
    </w:rPr>
  </w:style>
  <w:style w:type="paragraph" w:customStyle="1" w:styleId="2829">
    <w:name w:val="Char Char Char Char Char Char Char Char Char Char Char1 Char Char Char Char Char Char1 Char2"/>
    <w:basedOn w:val="1"/>
    <w:autoRedefine/>
    <w:qFormat/>
    <w:uiPriority w:val="0"/>
    <w:rPr>
      <w:sz w:val="24"/>
    </w:rPr>
  </w:style>
  <w:style w:type="paragraph" w:customStyle="1" w:styleId="2830">
    <w:name w:val="Char Char Char Char Char Char Char Char Char Char Char1 Char Char Char Char Char Char12"/>
    <w:basedOn w:val="1"/>
    <w:autoRedefine/>
    <w:qFormat/>
    <w:uiPriority w:val="0"/>
    <w:rPr>
      <w:sz w:val="24"/>
    </w:rPr>
  </w:style>
  <w:style w:type="paragraph" w:customStyle="1" w:styleId="2831">
    <w:name w:val="Char Char Char Char Char Char Char Char Char Char Char Char Char Char Char Char Char Char Char Char Char Char Char Char Char Char Char Char Char Char Char Char Char1 Char Char Char Char Char Char2"/>
    <w:basedOn w:val="1"/>
    <w:autoRedefine/>
    <w:qFormat/>
    <w:uiPriority w:val="0"/>
    <w:rPr>
      <w:sz w:val="24"/>
    </w:rPr>
  </w:style>
  <w:style w:type="paragraph" w:customStyle="1" w:styleId="2832">
    <w:name w:val="Char Char Char Char Char Char Char Char1 Char Char Char Char Char Char Char Char Char Char Char Char2"/>
    <w:basedOn w:val="1"/>
    <w:autoRedefine/>
    <w:qFormat/>
    <w:uiPriority w:val="0"/>
    <w:rPr>
      <w:sz w:val="24"/>
    </w:rPr>
  </w:style>
  <w:style w:type="paragraph" w:customStyle="1" w:styleId="2833">
    <w:name w:val="Char Char Char Char Char Char Char Char Char Char Char Char Char Char Char2"/>
    <w:basedOn w:val="1"/>
    <w:autoRedefine/>
    <w:qFormat/>
    <w:uiPriority w:val="0"/>
    <w:rPr>
      <w:sz w:val="24"/>
    </w:rPr>
  </w:style>
  <w:style w:type="paragraph" w:customStyle="1" w:styleId="2834">
    <w:name w:val="Char Char Char Char Char Char Char Char1 Char Char Char Char Char Char Char Char Char Char Char Char1 Char2"/>
    <w:basedOn w:val="1"/>
    <w:autoRedefine/>
    <w:qFormat/>
    <w:uiPriority w:val="0"/>
    <w:rPr>
      <w:sz w:val="24"/>
    </w:rPr>
  </w:style>
  <w:style w:type="paragraph" w:customStyle="1" w:styleId="2835">
    <w:name w:val="字元2"/>
    <w:basedOn w:val="1"/>
    <w:autoRedefine/>
    <w:qFormat/>
    <w:uiPriority w:val="0"/>
    <w:rPr>
      <w:sz w:val="24"/>
    </w:rPr>
  </w:style>
  <w:style w:type="paragraph" w:customStyle="1" w:styleId="2836">
    <w:name w:val="Char Char Char Char Char Char Char Char Char Char Char Char Char Char Char Char Char Char Char Char Char Char Char Char Char2"/>
    <w:basedOn w:val="1"/>
    <w:autoRedefine/>
    <w:qFormat/>
    <w:uiPriority w:val="0"/>
    <w:rPr>
      <w:sz w:val="24"/>
    </w:rPr>
  </w:style>
  <w:style w:type="paragraph" w:customStyle="1" w:styleId="2837">
    <w:name w:val="Char Char Char Char Char Char Char Char Char Char Char Char Char Char Char Char Char Char Char Char Char Char Char Char Char Char Char Char Char Char Char Char Char Char Char Char Char Char Char2"/>
    <w:basedOn w:val="1"/>
    <w:autoRedefine/>
    <w:qFormat/>
    <w:uiPriority w:val="0"/>
    <w:rPr>
      <w:sz w:val="24"/>
    </w:rPr>
  </w:style>
  <w:style w:type="paragraph" w:customStyle="1" w:styleId="2838">
    <w:name w:val="Char Char Char Char Char Char Char Char Char Char Char Char Char Char Char Char Char1 Char2"/>
    <w:basedOn w:val="1"/>
    <w:autoRedefine/>
    <w:qFormat/>
    <w:uiPriority w:val="0"/>
    <w:rPr>
      <w:sz w:val="24"/>
    </w:rPr>
  </w:style>
  <w:style w:type="paragraph" w:customStyle="1" w:styleId="2839">
    <w:name w:val="Char4 Char Char Char Char Char Char2"/>
    <w:basedOn w:val="1"/>
    <w:autoRedefine/>
    <w:qFormat/>
    <w:uiPriority w:val="0"/>
    <w:rPr>
      <w:sz w:val="24"/>
    </w:rPr>
  </w:style>
  <w:style w:type="paragraph" w:customStyle="1" w:styleId="2840">
    <w:name w:val="Char Char Char Char Char Char Char Char1 Char Char Char Char2"/>
    <w:basedOn w:val="1"/>
    <w:autoRedefine/>
    <w:qFormat/>
    <w:uiPriority w:val="0"/>
  </w:style>
  <w:style w:type="paragraph" w:customStyle="1" w:styleId="2841">
    <w:name w:val="Char Char4 Char Char Char Char Char Char2"/>
    <w:basedOn w:val="1"/>
    <w:autoRedefine/>
    <w:qFormat/>
    <w:uiPriority w:val="0"/>
    <w:pPr>
      <w:spacing w:beforeLines="50" w:afterLines="100"/>
      <w:jc w:val="center"/>
    </w:pPr>
  </w:style>
  <w:style w:type="paragraph" w:customStyle="1" w:styleId="2842">
    <w:name w:val="Char Char Char Char Char Char Char Char Char Char Char Char Char Char Char Char3"/>
    <w:basedOn w:val="1"/>
    <w:autoRedefine/>
    <w:qFormat/>
    <w:uiPriority w:val="0"/>
    <w:pPr>
      <w:spacing w:line="360" w:lineRule="auto"/>
      <w:ind w:firstLine="200" w:firstLineChars="200"/>
    </w:pPr>
    <w:rPr>
      <w:rFonts w:ascii="宋体" w:hAnsi="宋体" w:cs="宋体"/>
      <w:sz w:val="24"/>
    </w:rPr>
  </w:style>
  <w:style w:type="paragraph" w:customStyle="1" w:styleId="2843">
    <w:name w:val="Char Char Char Char Char Char Char Char Char1 Char Char Char Char Char Char Char3"/>
    <w:basedOn w:val="1"/>
    <w:autoRedefine/>
    <w:qFormat/>
    <w:uiPriority w:val="0"/>
    <w:rPr>
      <w:szCs w:val="21"/>
    </w:rPr>
  </w:style>
  <w:style w:type="paragraph" w:customStyle="1" w:styleId="2844">
    <w:name w:val="Char1 Char Char Char2"/>
    <w:basedOn w:val="1"/>
    <w:autoRedefine/>
    <w:qFormat/>
    <w:uiPriority w:val="0"/>
  </w:style>
  <w:style w:type="paragraph" w:customStyle="1" w:styleId="2845">
    <w:name w:val="普通(网站)4"/>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2846">
    <w:name w:val="Char Char4 Char Char Char Char Char Char Char Char Char Char Char Char Char Char Char Char2"/>
    <w:basedOn w:val="1"/>
    <w:autoRedefine/>
    <w:qFormat/>
    <w:uiPriority w:val="0"/>
    <w:rPr>
      <w:sz w:val="24"/>
    </w:rPr>
  </w:style>
  <w:style w:type="paragraph" w:customStyle="1" w:styleId="2847">
    <w:name w:val="Char Char4 Char Char Char Char Char Char Char Char Char Char Char Char Char Char Char Char Char Char2"/>
    <w:basedOn w:val="1"/>
    <w:autoRedefine/>
    <w:qFormat/>
    <w:uiPriority w:val="0"/>
    <w:rPr>
      <w:sz w:val="24"/>
    </w:rPr>
  </w:style>
  <w:style w:type="paragraph" w:customStyle="1" w:styleId="2848">
    <w:name w:val="xl307"/>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2849">
    <w:name w:val="xl308"/>
    <w:basedOn w:val="1"/>
    <w:autoRedefine/>
    <w:qFormat/>
    <w:uiPriority w:val="0"/>
    <w:pPr>
      <w:widowControl/>
      <w:pBdr>
        <w:top w:val="single" w:color="auto" w:sz="4" w:space="0"/>
        <w:right w:val="single" w:color="auto" w:sz="4" w:space="0"/>
      </w:pBdr>
      <w:spacing w:before="100" w:beforeAutospacing="1" w:after="100" w:afterAutospacing="1"/>
      <w:jc w:val="center"/>
    </w:pPr>
    <w:rPr>
      <w:rFonts w:ascii="宋体" w:hAnsi="宋体" w:cs="宋体"/>
      <w:b/>
      <w:bCs/>
      <w:kern w:val="0"/>
      <w:sz w:val="18"/>
      <w:szCs w:val="18"/>
    </w:rPr>
  </w:style>
  <w:style w:type="paragraph" w:customStyle="1" w:styleId="2850">
    <w:name w:val="xl309"/>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cs="宋体"/>
      <w:b/>
      <w:bCs/>
      <w:color w:val="000000"/>
      <w:kern w:val="0"/>
      <w:sz w:val="18"/>
      <w:szCs w:val="18"/>
    </w:rPr>
  </w:style>
  <w:style w:type="paragraph" w:customStyle="1" w:styleId="2851">
    <w:name w:val="xl310"/>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cs="宋体"/>
      <w:b/>
      <w:bCs/>
      <w:kern w:val="0"/>
      <w:sz w:val="18"/>
      <w:szCs w:val="18"/>
    </w:rPr>
  </w:style>
  <w:style w:type="paragraph" w:customStyle="1" w:styleId="2852">
    <w:name w:val="xl311"/>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kern w:val="0"/>
      <w:sz w:val="18"/>
      <w:szCs w:val="18"/>
    </w:rPr>
  </w:style>
  <w:style w:type="paragraph" w:customStyle="1" w:styleId="2853">
    <w:name w:val="xl312"/>
    <w:basedOn w:val="1"/>
    <w:autoRedefine/>
    <w:qFormat/>
    <w:uiPriority w:val="0"/>
    <w:pPr>
      <w:widowControl/>
      <w:pBdr>
        <w:bottom w:val="single" w:color="auto" w:sz="4" w:space="0"/>
        <w:right w:val="single" w:color="auto" w:sz="4" w:space="0"/>
      </w:pBdr>
      <w:spacing w:before="100" w:beforeAutospacing="1" w:after="100" w:afterAutospacing="1"/>
      <w:jc w:val="center"/>
    </w:pPr>
    <w:rPr>
      <w:b/>
      <w:bCs/>
      <w:kern w:val="0"/>
      <w:sz w:val="18"/>
      <w:szCs w:val="18"/>
    </w:rPr>
  </w:style>
  <w:style w:type="paragraph" w:customStyle="1" w:styleId="2854">
    <w:name w:val="xl313"/>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b/>
      <w:bCs/>
      <w:color w:val="000000"/>
      <w:kern w:val="0"/>
      <w:sz w:val="18"/>
      <w:szCs w:val="18"/>
    </w:rPr>
  </w:style>
  <w:style w:type="paragraph" w:customStyle="1" w:styleId="2855">
    <w:name w:val="xl314"/>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b/>
      <w:bCs/>
      <w:kern w:val="0"/>
      <w:sz w:val="18"/>
      <w:szCs w:val="18"/>
    </w:rPr>
  </w:style>
  <w:style w:type="paragraph" w:customStyle="1" w:styleId="2856">
    <w:name w:val="xl315"/>
    <w:basedOn w:val="1"/>
    <w:autoRedefine/>
    <w:qFormat/>
    <w:uiPriority w:val="0"/>
    <w:pPr>
      <w:widowControl/>
      <w:pBdr>
        <w:left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2857">
    <w:name w:val="xl316"/>
    <w:basedOn w:val="1"/>
    <w:autoRedefine/>
    <w:qFormat/>
    <w:uiPriority w:val="0"/>
    <w:pPr>
      <w:widowControl/>
      <w:pBdr>
        <w:top w:val="single" w:color="auto" w:sz="4" w:space="0"/>
        <w:bottom w:val="single" w:color="auto" w:sz="4" w:space="0"/>
        <w:right w:val="single" w:color="auto" w:sz="4" w:space="0"/>
      </w:pBdr>
      <w:spacing w:before="100" w:beforeAutospacing="1" w:after="100" w:afterAutospacing="1"/>
      <w:jc w:val="center"/>
    </w:pPr>
    <w:rPr>
      <w:color w:val="000000"/>
      <w:kern w:val="0"/>
      <w:sz w:val="18"/>
      <w:szCs w:val="18"/>
    </w:rPr>
  </w:style>
  <w:style w:type="paragraph" w:customStyle="1" w:styleId="2858">
    <w:name w:val="xl31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000000"/>
      <w:kern w:val="0"/>
      <w:sz w:val="18"/>
      <w:szCs w:val="18"/>
    </w:rPr>
  </w:style>
  <w:style w:type="paragraph" w:customStyle="1" w:styleId="2859">
    <w:name w:val="xl31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color w:val="000000"/>
      <w:kern w:val="0"/>
      <w:sz w:val="18"/>
      <w:szCs w:val="18"/>
    </w:rPr>
  </w:style>
  <w:style w:type="paragraph" w:customStyle="1" w:styleId="2860">
    <w:name w:val="xl31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color w:val="000000"/>
      <w:kern w:val="0"/>
      <w:sz w:val="18"/>
      <w:szCs w:val="18"/>
    </w:rPr>
  </w:style>
  <w:style w:type="paragraph" w:customStyle="1" w:styleId="2861">
    <w:name w:val="xl32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kern w:val="0"/>
      <w:sz w:val="18"/>
      <w:szCs w:val="18"/>
    </w:rPr>
  </w:style>
  <w:style w:type="paragraph" w:customStyle="1" w:styleId="2862">
    <w:name w:val="xl32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kern w:val="0"/>
      <w:sz w:val="18"/>
      <w:szCs w:val="18"/>
    </w:rPr>
  </w:style>
  <w:style w:type="paragraph" w:customStyle="1" w:styleId="2863">
    <w:name w:val="xl32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kern w:val="0"/>
      <w:sz w:val="18"/>
      <w:szCs w:val="18"/>
    </w:rPr>
  </w:style>
  <w:style w:type="paragraph" w:customStyle="1" w:styleId="2864">
    <w:name w:val="xl32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kern w:val="0"/>
      <w:sz w:val="18"/>
      <w:szCs w:val="18"/>
    </w:rPr>
  </w:style>
  <w:style w:type="paragraph" w:customStyle="1" w:styleId="2865">
    <w:name w:val="xl324"/>
    <w:basedOn w:val="1"/>
    <w:autoRedefine/>
    <w:qFormat/>
    <w:uiPriority w:val="0"/>
    <w:pPr>
      <w:widowControl/>
      <w:pBdr>
        <w:left w:val="single" w:color="auto" w:sz="4" w:space="0"/>
        <w:right w:val="single" w:color="auto" w:sz="4" w:space="0"/>
      </w:pBdr>
      <w:spacing w:before="100" w:beforeAutospacing="1" w:after="100" w:afterAutospacing="1"/>
      <w:jc w:val="center"/>
    </w:pPr>
    <w:rPr>
      <w:kern w:val="0"/>
      <w:sz w:val="18"/>
      <w:szCs w:val="18"/>
    </w:rPr>
  </w:style>
  <w:style w:type="paragraph" w:customStyle="1" w:styleId="2866">
    <w:name w:val="xl32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color w:val="FF00FF"/>
      <w:kern w:val="0"/>
      <w:sz w:val="18"/>
      <w:szCs w:val="18"/>
    </w:rPr>
  </w:style>
  <w:style w:type="paragraph" w:customStyle="1" w:styleId="2867">
    <w:name w:val="xl32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FF00FF"/>
      <w:kern w:val="0"/>
      <w:sz w:val="18"/>
      <w:szCs w:val="18"/>
    </w:rPr>
  </w:style>
  <w:style w:type="paragraph" w:customStyle="1" w:styleId="2868">
    <w:name w:val="xl327"/>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2869">
    <w:name w:val="xl32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2870">
    <w:name w:val="xl329"/>
    <w:basedOn w:val="1"/>
    <w:autoRedefine/>
    <w:qFormat/>
    <w:uiPriority w:val="0"/>
    <w:pPr>
      <w:widowControl/>
      <w:pBdr>
        <w:top w:val="single" w:color="auto" w:sz="4" w:space="0"/>
        <w:bottom w:val="single" w:color="auto" w:sz="4" w:space="0"/>
        <w:right w:val="single" w:color="auto" w:sz="4" w:space="0"/>
      </w:pBdr>
      <w:spacing w:before="100" w:beforeAutospacing="1" w:after="100" w:afterAutospacing="1"/>
      <w:jc w:val="center"/>
    </w:pPr>
    <w:rPr>
      <w:kern w:val="0"/>
      <w:sz w:val="18"/>
      <w:szCs w:val="18"/>
    </w:rPr>
  </w:style>
  <w:style w:type="paragraph" w:customStyle="1" w:styleId="2871">
    <w:name w:val="xl330"/>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cs="宋体"/>
      <w:color w:val="000000"/>
      <w:kern w:val="0"/>
      <w:sz w:val="18"/>
      <w:szCs w:val="18"/>
    </w:rPr>
  </w:style>
  <w:style w:type="paragraph" w:customStyle="1" w:styleId="2872">
    <w:name w:val="xl33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color w:val="000000"/>
      <w:kern w:val="0"/>
      <w:sz w:val="18"/>
      <w:szCs w:val="18"/>
    </w:rPr>
  </w:style>
  <w:style w:type="paragraph" w:customStyle="1" w:styleId="2873">
    <w:name w:val="xl332"/>
    <w:basedOn w:val="1"/>
    <w:autoRedefine/>
    <w:qFormat/>
    <w:uiPriority w:val="0"/>
    <w:pPr>
      <w:widowControl/>
      <w:pBdr>
        <w:left w:val="single" w:color="auto" w:sz="4" w:space="0"/>
        <w:right w:val="single" w:color="auto" w:sz="4" w:space="0"/>
      </w:pBdr>
      <w:spacing w:before="100" w:beforeAutospacing="1" w:after="100" w:afterAutospacing="1"/>
      <w:jc w:val="center"/>
    </w:pPr>
    <w:rPr>
      <w:color w:val="000000"/>
      <w:kern w:val="0"/>
      <w:sz w:val="18"/>
      <w:szCs w:val="18"/>
    </w:rPr>
  </w:style>
  <w:style w:type="paragraph" w:customStyle="1" w:styleId="2874">
    <w:name w:val="xl33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000000"/>
      <w:kern w:val="0"/>
      <w:sz w:val="18"/>
      <w:szCs w:val="18"/>
    </w:rPr>
  </w:style>
  <w:style w:type="paragraph" w:customStyle="1" w:styleId="2875">
    <w:name w:val="xl33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color w:val="000000"/>
      <w:kern w:val="0"/>
      <w:sz w:val="18"/>
      <w:szCs w:val="18"/>
    </w:rPr>
  </w:style>
  <w:style w:type="paragraph" w:customStyle="1" w:styleId="2876">
    <w:name w:val="xl335"/>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color w:val="000000"/>
      <w:kern w:val="0"/>
      <w:sz w:val="18"/>
      <w:szCs w:val="18"/>
    </w:rPr>
  </w:style>
  <w:style w:type="paragraph" w:customStyle="1" w:styleId="2877">
    <w:name w:val="xl336"/>
    <w:basedOn w:val="1"/>
    <w:autoRedefine/>
    <w:qFormat/>
    <w:uiPriority w:val="0"/>
    <w:pPr>
      <w:widowControl/>
      <w:pBdr>
        <w:left w:val="single" w:color="auto" w:sz="4" w:space="0"/>
        <w:right w:val="single" w:color="auto" w:sz="4" w:space="0"/>
      </w:pBdr>
      <w:spacing w:before="100" w:beforeAutospacing="1" w:after="100" w:afterAutospacing="1"/>
      <w:jc w:val="center"/>
    </w:pPr>
    <w:rPr>
      <w:rFonts w:ascii="宋体" w:hAnsi="宋体" w:cs="宋体"/>
      <w:color w:val="000000"/>
      <w:kern w:val="0"/>
      <w:sz w:val="18"/>
      <w:szCs w:val="18"/>
    </w:rPr>
  </w:style>
  <w:style w:type="paragraph" w:customStyle="1" w:styleId="2878">
    <w:name w:val="xl33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color w:val="FF00FF"/>
      <w:kern w:val="0"/>
      <w:sz w:val="18"/>
      <w:szCs w:val="18"/>
    </w:rPr>
  </w:style>
  <w:style w:type="paragraph" w:customStyle="1" w:styleId="2879">
    <w:name w:val="xl338"/>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000000"/>
      <w:kern w:val="0"/>
      <w:sz w:val="18"/>
      <w:szCs w:val="18"/>
    </w:rPr>
  </w:style>
  <w:style w:type="paragraph" w:customStyle="1" w:styleId="2880">
    <w:name w:val="xl33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kern w:val="0"/>
      <w:sz w:val="18"/>
      <w:szCs w:val="18"/>
    </w:rPr>
  </w:style>
  <w:style w:type="paragraph" w:customStyle="1" w:styleId="2881">
    <w:name w:val="xl340"/>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center"/>
    </w:pPr>
    <w:rPr>
      <w:kern w:val="0"/>
      <w:sz w:val="18"/>
      <w:szCs w:val="18"/>
    </w:rPr>
  </w:style>
  <w:style w:type="paragraph" w:customStyle="1" w:styleId="2882">
    <w:name w:val="xl34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color w:val="FF0000"/>
      <w:kern w:val="0"/>
      <w:sz w:val="18"/>
      <w:szCs w:val="18"/>
    </w:rPr>
  </w:style>
  <w:style w:type="paragraph" w:customStyle="1" w:styleId="2883">
    <w:name w:val="xl34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color w:val="0000FF"/>
      <w:kern w:val="0"/>
      <w:sz w:val="18"/>
      <w:szCs w:val="18"/>
      <w:u w:val="single"/>
    </w:rPr>
  </w:style>
  <w:style w:type="paragraph" w:customStyle="1" w:styleId="2884">
    <w:name w:val="xl34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000000"/>
      <w:kern w:val="0"/>
      <w:sz w:val="18"/>
      <w:szCs w:val="18"/>
    </w:rPr>
  </w:style>
  <w:style w:type="paragraph" w:customStyle="1" w:styleId="2885">
    <w:name w:val="xl34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color w:val="000000"/>
      <w:kern w:val="0"/>
      <w:sz w:val="18"/>
      <w:szCs w:val="18"/>
    </w:rPr>
  </w:style>
  <w:style w:type="paragraph" w:customStyle="1" w:styleId="2886">
    <w:name w:val="xl34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color w:val="000000"/>
      <w:kern w:val="0"/>
      <w:sz w:val="18"/>
      <w:szCs w:val="18"/>
    </w:rPr>
  </w:style>
  <w:style w:type="paragraph" w:customStyle="1" w:styleId="2887">
    <w:name w:val="xl346"/>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宋体" w:hAnsi="宋体" w:cs="宋体"/>
      <w:b/>
      <w:bCs/>
      <w:kern w:val="0"/>
      <w:sz w:val="18"/>
      <w:szCs w:val="18"/>
    </w:rPr>
  </w:style>
  <w:style w:type="paragraph" w:customStyle="1" w:styleId="2888">
    <w:name w:val="xl347"/>
    <w:basedOn w:val="1"/>
    <w:autoRedefine/>
    <w:qFormat/>
    <w:uiPriority w:val="0"/>
    <w:pPr>
      <w:widowControl/>
      <w:pBdr>
        <w:top w:val="single" w:color="auto" w:sz="4" w:space="0"/>
        <w:bottom w:val="single" w:color="auto" w:sz="4" w:space="0"/>
      </w:pBdr>
      <w:spacing w:before="100" w:beforeAutospacing="1" w:after="100" w:afterAutospacing="1"/>
      <w:jc w:val="center"/>
    </w:pPr>
    <w:rPr>
      <w:b/>
      <w:bCs/>
      <w:kern w:val="0"/>
      <w:sz w:val="18"/>
      <w:szCs w:val="18"/>
    </w:rPr>
  </w:style>
  <w:style w:type="paragraph" w:customStyle="1" w:styleId="2889">
    <w:name w:val="xl348"/>
    <w:basedOn w:val="1"/>
    <w:autoRedefine/>
    <w:qFormat/>
    <w:uiPriority w:val="0"/>
    <w:pPr>
      <w:widowControl/>
      <w:pBdr>
        <w:top w:val="single" w:color="auto" w:sz="4" w:space="0"/>
        <w:bottom w:val="single" w:color="auto" w:sz="4" w:space="0"/>
        <w:right w:val="single" w:color="auto" w:sz="4" w:space="0"/>
      </w:pBdr>
      <w:spacing w:before="100" w:beforeAutospacing="1" w:after="100" w:afterAutospacing="1"/>
      <w:jc w:val="center"/>
    </w:pPr>
    <w:rPr>
      <w:b/>
      <w:bCs/>
      <w:kern w:val="0"/>
      <w:sz w:val="18"/>
      <w:szCs w:val="18"/>
    </w:rPr>
  </w:style>
  <w:style w:type="paragraph" w:customStyle="1" w:styleId="2890">
    <w:name w:val="xl349"/>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宋体" w:hAnsi="宋体" w:cs="宋体"/>
      <w:kern w:val="0"/>
      <w:sz w:val="18"/>
      <w:szCs w:val="18"/>
    </w:rPr>
  </w:style>
  <w:style w:type="paragraph" w:customStyle="1" w:styleId="2891">
    <w:name w:val="xl350"/>
    <w:basedOn w:val="1"/>
    <w:autoRedefine/>
    <w:qFormat/>
    <w:uiPriority w:val="0"/>
    <w:pPr>
      <w:widowControl/>
      <w:pBdr>
        <w:top w:val="single" w:color="auto" w:sz="4" w:space="0"/>
        <w:bottom w:val="single" w:color="auto" w:sz="4" w:space="0"/>
      </w:pBdr>
      <w:spacing w:before="100" w:beforeAutospacing="1" w:after="100" w:afterAutospacing="1"/>
      <w:jc w:val="center"/>
    </w:pPr>
    <w:rPr>
      <w:kern w:val="0"/>
      <w:sz w:val="18"/>
      <w:szCs w:val="18"/>
    </w:rPr>
  </w:style>
  <w:style w:type="paragraph" w:customStyle="1" w:styleId="2892">
    <w:name w:val="xl351"/>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宋体" w:hAnsi="宋体" w:cs="宋体"/>
      <w:kern w:val="0"/>
      <w:sz w:val="18"/>
      <w:szCs w:val="18"/>
    </w:rPr>
  </w:style>
  <w:style w:type="paragraph" w:customStyle="1" w:styleId="2893">
    <w:name w:val="xl352"/>
    <w:basedOn w:val="1"/>
    <w:autoRedefine/>
    <w:qFormat/>
    <w:uiPriority w:val="0"/>
    <w:pPr>
      <w:widowControl/>
      <w:pBdr>
        <w:top w:val="single" w:color="auto" w:sz="4" w:space="0"/>
        <w:bottom w:val="single" w:color="auto" w:sz="4" w:space="0"/>
      </w:pBdr>
      <w:spacing w:before="100" w:beforeAutospacing="1" w:after="100" w:afterAutospacing="1"/>
      <w:jc w:val="center"/>
    </w:pPr>
    <w:rPr>
      <w:kern w:val="0"/>
      <w:sz w:val="18"/>
      <w:szCs w:val="18"/>
    </w:rPr>
  </w:style>
  <w:style w:type="paragraph" w:customStyle="1" w:styleId="2894">
    <w:name w:val="xl353"/>
    <w:basedOn w:val="1"/>
    <w:autoRedefine/>
    <w:qFormat/>
    <w:uiPriority w:val="0"/>
    <w:pPr>
      <w:widowControl/>
      <w:pBdr>
        <w:top w:val="single" w:color="auto" w:sz="4" w:space="0"/>
        <w:bottom w:val="single" w:color="auto" w:sz="4" w:space="0"/>
        <w:right w:val="single" w:color="auto" w:sz="4" w:space="0"/>
      </w:pBdr>
      <w:spacing w:before="100" w:beforeAutospacing="1" w:after="100" w:afterAutospacing="1"/>
      <w:jc w:val="center"/>
    </w:pPr>
    <w:rPr>
      <w:kern w:val="0"/>
      <w:sz w:val="18"/>
      <w:szCs w:val="18"/>
    </w:rPr>
  </w:style>
  <w:style w:type="paragraph" w:customStyle="1" w:styleId="2895">
    <w:name w:val="xl35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kern w:val="0"/>
      <w:sz w:val="18"/>
      <w:szCs w:val="18"/>
    </w:rPr>
  </w:style>
  <w:style w:type="paragraph" w:customStyle="1" w:styleId="2896">
    <w:name w:val="xl355"/>
    <w:basedOn w:val="1"/>
    <w:autoRedefine/>
    <w:qFormat/>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2897">
    <w:name w:val="xl356"/>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jc w:val="center"/>
    </w:pPr>
    <w:rPr>
      <w:kern w:val="0"/>
      <w:sz w:val="18"/>
      <w:szCs w:val="18"/>
    </w:rPr>
  </w:style>
  <w:style w:type="paragraph" w:customStyle="1" w:styleId="2898">
    <w:name w:val="xl35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2899">
    <w:name w:val="xl358"/>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center"/>
    </w:pPr>
    <w:rPr>
      <w:color w:val="000000"/>
      <w:kern w:val="0"/>
      <w:sz w:val="18"/>
      <w:szCs w:val="18"/>
    </w:rPr>
  </w:style>
  <w:style w:type="paragraph" w:customStyle="1" w:styleId="2900">
    <w:name w:val="xl359"/>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cs="宋体"/>
      <w:b/>
      <w:bCs/>
      <w:color w:val="000000"/>
      <w:kern w:val="0"/>
      <w:sz w:val="18"/>
      <w:szCs w:val="18"/>
    </w:rPr>
  </w:style>
  <w:style w:type="paragraph" w:customStyle="1" w:styleId="2901">
    <w:name w:val="xl360"/>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color w:val="000000"/>
      <w:kern w:val="0"/>
      <w:sz w:val="18"/>
      <w:szCs w:val="18"/>
    </w:rPr>
  </w:style>
  <w:style w:type="paragraph" w:customStyle="1" w:styleId="2902">
    <w:name w:val="xl361"/>
    <w:basedOn w:val="1"/>
    <w:autoRedefine/>
    <w:qFormat/>
    <w:uiPriority w:val="0"/>
    <w:pPr>
      <w:widowControl/>
      <w:pBdr>
        <w:top w:val="single" w:color="auto" w:sz="4" w:space="0"/>
        <w:left w:val="single" w:color="auto" w:sz="4" w:space="0"/>
      </w:pBdr>
      <w:spacing w:before="100" w:beforeAutospacing="1" w:after="100" w:afterAutospacing="1"/>
      <w:jc w:val="center"/>
    </w:pPr>
    <w:rPr>
      <w:rFonts w:ascii="宋体" w:hAnsi="宋体" w:cs="宋体"/>
      <w:b/>
      <w:bCs/>
      <w:kern w:val="0"/>
      <w:sz w:val="18"/>
      <w:szCs w:val="18"/>
    </w:rPr>
  </w:style>
  <w:style w:type="paragraph" w:customStyle="1" w:styleId="2903">
    <w:name w:val="xl362"/>
    <w:basedOn w:val="1"/>
    <w:autoRedefine/>
    <w:qFormat/>
    <w:uiPriority w:val="0"/>
    <w:pPr>
      <w:widowControl/>
      <w:pBdr>
        <w:top w:val="single" w:color="auto" w:sz="4" w:space="0"/>
      </w:pBdr>
      <w:spacing w:before="100" w:beforeAutospacing="1" w:after="100" w:afterAutospacing="1"/>
      <w:jc w:val="center"/>
    </w:pPr>
    <w:rPr>
      <w:rFonts w:ascii="宋体" w:hAnsi="宋体" w:cs="宋体"/>
      <w:b/>
      <w:bCs/>
      <w:kern w:val="0"/>
      <w:sz w:val="18"/>
      <w:szCs w:val="18"/>
    </w:rPr>
  </w:style>
  <w:style w:type="paragraph" w:customStyle="1" w:styleId="2904">
    <w:name w:val="xl363"/>
    <w:basedOn w:val="1"/>
    <w:autoRedefine/>
    <w:qFormat/>
    <w:uiPriority w:val="0"/>
    <w:pPr>
      <w:widowControl/>
      <w:pBdr>
        <w:left w:val="single" w:color="auto" w:sz="4" w:space="0"/>
        <w:bottom w:val="single" w:color="auto" w:sz="4" w:space="0"/>
      </w:pBdr>
      <w:spacing w:before="100" w:beforeAutospacing="1" w:after="100" w:afterAutospacing="1"/>
      <w:jc w:val="center"/>
    </w:pPr>
    <w:rPr>
      <w:rFonts w:ascii="宋体" w:hAnsi="宋体" w:cs="宋体"/>
      <w:b/>
      <w:bCs/>
      <w:kern w:val="0"/>
      <w:sz w:val="18"/>
      <w:szCs w:val="18"/>
    </w:rPr>
  </w:style>
  <w:style w:type="paragraph" w:customStyle="1" w:styleId="2905">
    <w:name w:val="xl364"/>
    <w:basedOn w:val="1"/>
    <w:autoRedefine/>
    <w:qFormat/>
    <w:uiPriority w:val="0"/>
    <w:pPr>
      <w:widowControl/>
      <w:pBdr>
        <w:bottom w:val="single" w:color="auto" w:sz="4" w:space="0"/>
      </w:pBdr>
      <w:spacing w:before="100" w:beforeAutospacing="1" w:after="100" w:afterAutospacing="1"/>
      <w:jc w:val="center"/>
    </w:pPr>
    <w:rPr>
      <w:rFonts w:ascii="宋体" w:hAnsi="宋体" w:cs="宋体"/>
      <w:b/>
      <w:bCs/>
      <w:kern w:val="0"/>
      <w:sz w:val="18"/>
      <w:szCs w:val="18"/>
    </w:rPr>
  </w:style>
  <w:style w:type="paragraph" w:customStyle="1" w:styleId="2906">
    <w:name w:val="xl365"/>
    <w:basedOn w:val="1"/>
    <w:autoRedefine/>
    <w:qFormat/>
    <w:uiPriority w:val="0"/>
    <w:pPr>
      <w:widowControl/>
      <w:pBdr>
        <w:bottom w:val="single" w:color="auto" w:sz="4" w:space="0"/>
        <w:right w:val="single" w:color="auto" w:sz="4" w:space="0"/>
      </w:pBdr>
      <w:spacing w:before="100" w:beforeAutospacing="1" w:after="100" w:afterAutospacing="1"/>
      <w:jc w:val="center"/>
    </w:pPr>
    <w:rPr>
      <w:rFonts w:ascii="宋体" w:hAnsi="宋体" w:cs="宋体"/>
      <w:b/>
      <w:bCs/>
      <w:kern w:val="0"/>
      <w:sz w:val="18"/>
      <w:szCs w:val="18"/>
    </w:rPr>
  </w:style>
  <w:style w:type="character" w:customStyle="1" w:styleId="2907">
    <w:name w:val="hhcwt表格文字 Char"/>
    <w:link w:val="2908"/>
    <w:autoRedefine/>
    <w:qFormat/>
    <w:locked/>
    <w:uiPriority w:val="0"/>
    <w:rPr>
      <w:rFonts w:ascii="仿宋_GB2312" w:eastAsia="仿宋_GB2312" w:cs="宋体"/>
      <w:kern w:val="2"/>
      <w:sz w:val="21"/>
    </w:rPr>
  </w:style>
  <w:style w:type="paragraph" w:customStyle="1" w:styleId="2908">
    <w:name w:val="hhcwt表格文字"/>
    <w:basedOn w:val="1"/>
    <w:link w:val="2907"/>
    <w:autoRedefine/>
    <w:qFormat/>
    <w:uiPriority w:val="0"/>
    <w:pPr>
      <w:jc w:val="center"/>
    </w:pPr>
    <w:rPr>
      <w:rFonts w:ascii="仿宋_GB2312" w:eastAsia="仿宋_GB2312" w:cs="宋体"/>
      <w:szCs w:val="20"/>
    </w:rPr>
  </w:style>
  <w:style w:type="paragraph" w:customStyle="1" w:styleId="2909">
    <w:name w:val="Table Title"/>
    <w:basedOn w:val="1"/>
    <w:autoRedefine/>
    <w:qFormat/>
    <w:uiPriority w:val="0"/>
    <w:pPr>
      <w:widowControl/>
      <w:snapToGrid w:val="0"/>
      <w:spacing w:beforeLines="50" w:afterLines="50" w:line="400" w:lineRule="exact"/>
      <w:jc w:val="center"/>
    </w:pPr>
    <w:rPr>
      <w:sz w:val="24"/>
    </w:rPr>
  </w:style>
  <w:style w:type="paragraph" w:customStyle="1" w:styleId="2910">
    <w:name w:val="黄桥正文"/>
    <w:basedOn w:val="1"/>
    <w:autoRedefine/>
    <w:qFormat/>
    <w:uiPriority w:val="0"/>
    <w:pPr>
      <w:widowControl/>
      <w:spacing w:line="360" w:lineRule="auto"/>
      <w:ind w:firstLine="200" w:firstLineChars="200"/>
    </w:pPr>
    <w:rPr>
      <w:rFonts w:cs="宋体"/>
      <w:kern w:val="0"/>
      <w:sz w:val="24"/>
    </w:rPr>
  </w:style>
  <w:style w:type="paragraph" w:customStyle="1" w:styleId="2911">
    <w:name w:val="样式 样式 宋体 小四 首行缩进:  1 厘米 段前: 3 磅 段后: 3 磅 行距: 1.5 倍行距 + 首行缩进:  2 字符"/>
    <w:basedOn w:val="1"/>
    <w:autoRedefine/>
    <w:qFormat/>
    <w:uiPriority w:val="0"/>
    <w:pPr>
      <w:spacing w:before="60" w:after="60" w:line="360" w:lineRule="auto"/>
      <w:ind w:firstLine="200" w:firstLineChars="200"/>
    </w:pPr>
    <w:rPr>
      <w:rFonts w:ascii="宋体" w:hAnsi="宋体" w:cs="宋体"/>
      <w:kern w:val="0"/>
      <w:sz w:val="28"/>
      <w:szCs w:val="20"/>
    </w:rPr>
  </w:style>
  <w:style w:type="paragraph" w:customStyle="1" w:styleId="2912">
    <w:name w:val="Main Para no Chapter #"/>
    <w:basedOn w:val="1"/>
    <w:autoRedefine/>
    <w:qFormat/>
    <w:uiPriority w:val="0"/>
    <w:pPr>
      <w:widowControl/>
      <w:spacing w:after="240"/>
      <w:jc w:val="left"/>
      <w:outlineLvl w:val="1"/>
    </w:pPr>
    <w:rPr>
      <w:rFonts w:eastAsia="Times New Roman"/>
      <w:kern w:val="0"/>
      <w:sz w:val="24"/>
      <w:szCs w:val="20"/>
    </w:rPr>
  </w:style>
  <w:style w:type="paragraph" w:customStyle="1" w:styleId="2913">
    <w:name w:val="谏壁表头（chen）"/>
    <w:basedOn w:val="1"/>
    <w:autoRedefine/>
    <w:qFormat/>
    <w:uiPriority w:val="0"/>
    <w:pPr>
      <w:spacing w:line="360" w:lineRule="auto"/>
      <w:ind w:firstLine="200" w:firstLineChars="200"/>
      <w:jc w:val="center"/>
    </w:pPr>
    <w:rPr>
      <w:b/>
      <w:bCs/>
      <w:sz w:val="24"/>
    </w:rPr>
  </w:style>
  <w:style w:type="paragraph" w:customStyle="1" w:styleId="2914">
    <w:name w:val="谏壁标题2(chen）"/>
    <w:basedOn w:val="1"/>
    <w:qFormat/>
    <w:uiPriority w:val="0"/>
    <w:pPr>
      <w:keepNext/>
      <w:keepLines/>
      <w:spacing w:after="120" w:line="360" w:lineRule="auto"/>
      <w:outlineLvl w:val="1"/>
    </w:pPr>
    <w:rPr>
      <w:rFonts w:eastAsia="黑体"/>
      <w:sz w:val="32"/>
      <w:szCs w:val="32"/>
    </w:rPr>
  </w:style>
  <w:style w:type="paragraph" w:customStyle="1" w:styleId="2915">
    <w:name w:val="样式 仿宋_GB2312 小四 居中 行距: 固定值 20 磅"/>
    <w:basedOn w:val="1"/>
    <w:autoRedefine/>
    <w:qFormat/>
    <w:uiPriority w:val="0"/>
    <w:pPr>
      <w:spacing w:line="400" w:lineRule="exact"/>
      <w:jc w:val="center"/>
    </w:pPr>
    <w:rPr>
      <w:rFonts w:ascii="仿宋_GB2312" w:hAnsi="宋体" w:eastAsia="仿宋_GB2312" w:cs="宋体"/>
      <w:sz w:val="24"/>
      <w:szCs w:val="20"/>
    </w:rPr>
  </w:style>
  <w:style w:type="character" w:customStyle="1" w:styleId="2916">
    <w:name w:val="表格名称 QJJ Char Char"/>
    <w:link w:val="2917"/>
    <w:autoRedefine/>
    <w:qFormat/>
    <w:locked/>
    <w:uiPriority w:val="0"/>
    <w:rPr>
      <w:rFonts w:ascii="黑体" w:hAnsi="Arial" w:eastAsia="黑体" w:cs="宋体"/>
      <w:sz w:val="24"/>
      <w:szCs w:val="24"/>
      <w:lang w:val="zh-CN"/>
    </w:rPr>
  </w:style>
  <w:style w:type="paragraph" w:customStyle="1" w:styleId="2917">
    <w:name w:val="表格名称 QJJ"/>
    <w:basedOn w:val="1"/>
    <w:link w:val="2916"/>
    <w:autoRedefine/>
    <w:qFormat/>
    <w:uiPriority w:val="0"/>
    <w:pPr>
      <w:wordWrap w:val="0"/>
      <w:snapToGrid w:val="0"/>
      <w:spacing w:line="520" w:lineRule="exact"/>
      <w:ind w:right="240" w:rightChars="100"/>
      <w:jc w:val="right"/>
    </w:pPr>
    <w:rPr>
      <w:rFonts w:ascii="黑体" w:hAnsi="Arial" w:eastAsia="黑体" w:cs="宋体"/>
      <w:kern w:val="0"/>
      <w:sz w:val="24"/>
      <w:lang w:val="zh-CN"/>
    </w:rPr>
  </w:style>
  <w:style w:type="character" w:customStyle="1" w:styleId="2918">
    <w:name w:val="段落 Char Char Char"/>
    <w:link w:val="2919"/>
    <w:autoRedefine/>
    <w:qFormat/>
    <w:locked/>
    <w:uiPriority w:val="0"/>
    <w:rPr>
      <w:sz w:val="24"/>
      <w:szCs w:val="24"/>
    </w:rPr>
  </w:style>
  <w:style w:type="paragraph" w:customStyle="1" w:styleId="2919">
    <w:name w:val="段落 Char"/>
    <w:basedOn w:val="1"/>
    <w:link w:val="2918"/>
    <w:autoRedefine/>
    <w:qFormat/>
    <w:uiPriority w:val="0"/>
    <w:pPr>
      <w:topLinePunct/>
      <w:snapToGrid w:val="0"/>
      <w:spacing w:line="360" w:lineRule="auto"/>
      <w:ind w:firstLine="200" w:firstLineChars="200"/>
    </w:pPr>
    <w:rPr>
      <w:kern w:val="0"/>
      <w:sz w:val="24"/>
    </w:rPr>
  </w:style>
  <w:style w:type="character" w:customStyle="1" w:styleId="2920">
    <w:name w:val="5表标题 Char Char"/>
    <w:link w:val="2921"/>
    <w:autoRedefine/>
    <w:qFormat/>
    <w:locked/>
    <w:uiPriority w:val="0"/>
    <w:rPr>
      <w:rFonts w:ascii="宋体" w:hAnsi="宋体" w:cs="宋体"/>
      <w:b/>
      <w:bCs/>
    </w:rPr>
  </w:style>
  <w:style w:type="paragraph" w:customStyle="1" w:styleId="2921">
    <w:name w:val="5表标题"/>
    <w:link w:val="2920"/>
    <w:qFormat/>
    <w:uiPriority w:val="0"/>
    <w:pPr>
      <w:jc w:val="center"/>
    </w:pPr>
    <w:rPr>
      <w:rFonts w:ascii="宋体" w:hAnsi="宋体" w:eastAsia="宋体" w:cs="宋体"/>
      <w:b/>
      <w:bCs/>
      <w:lang w:val="en-US" w:eastAsia="zh-CN" w:bidi="ar-SA"/>
    </w:rPr>
  </w:style>
  <w:style w:type="character" w:customStyle="1" w:styleId="2922">
    <w:name w:val="正文粗 Char1"/>
    <w:link w:val="2923"/>
    <w:autoRedefine/>
    <w:qFormat/>
    <w:locked/>
    <w:uiPriority w:val="0"/>
    <w:rPr>
      <w:b/>
      <w:sz w:val="28"/>
    </w:rPr>
  </w:style>
  <w:style w:type="paragraph" w:customStyle="1" w:styleId="2923">
    <w:name w:val="正文粗"/>
    <w:basedOn w:val="1"/>
    <w:link w:val="2922"/>
    <w:autoRedefine/>
    <w:qFormat/>
    <w:uiPriority w:val="0"/>
    <w:pPr>
      <w:adjustRightInd w:val="0"/>
      <w:spacing w:line="360" w:lineRule="auto"/>
      <w:ind w:firstLine="480" w:firstLineChars="200"/>
      <w:jc w:val="left"/>
    </w:pPr>
    <w:rPr>
      <w:b/>
      <w:kern w:val="0"/>
      <w:sz w:val="28"/>
      <w:szCs w:val="20"/>
    </w:rPr>
  </w:style>
  <w:style w:type="character" w:customStyle="1" w:styleId="2924">
    <w:name w:val="样式 表格 单位 QJJ Char Char"/>
    <w:link w:val="2925"/>
    <w:autoRedefine/>
    <w:qFormat/>
    <w:locked/>
    <w:uiPriority w:val="0"/>
    <w:rPr>
      <w:rFonts w:ascii="宋体" w:hAnsi="Arial" w:cs="宋体"/>
      <w:lang w:val="zh-CN"/>
    </w:rPr>
  </w:style>
  <w:style w:type="paragraph" w:customStyle="1" w:styleId="2925">
    <w:name w:val="样式 表格 单位 QJJ"/>
    <w:basedOn w:val="1"/>
    <w:link w:val="2924"/>
    <w:autoRedefine/>
    <w:qFormat/>
    <w:uiPriority w:val="0"/>
    <w:pPr>
      <w:wordWrap w:val="0"/>
      <w:snapToGrid w:val="0"/>
      <w:ind w:right="240" w:rightChars="100"/>
      <w:jc w:val="right"/>
    </w:pPr>
    <w:rPr>
      <w:rFonts w:ascii="宋体" w:hAnsi="Arial" w:cs="宋体"/>
      <w:kern w:val="0"/>
      <w:sz w:val="20"/>
      <w:szCs w:val="20"/>
      <w:lang w:val="zh-CN"/>
    </w:rPr>
  </w:style>
  <w:style w:type="character" w:customStyle="1" w:styleId="2926">
    <w:name w:val="样式 样式 样式 样式 样式 正文+首行缩进： + 首行缩进:  2 字符 + 宋体 Char"/>
    <w:link w:val="2927"/>
    <w:autoRedefine/>
    <w:qFormat/>
    <w:locked/>
    <w:uiPriority w:val="0"/>
    <w:rPr>
      <w:rFonts w:ascii="黑体" w:hAnsi="黑体" w:eastAsia="黑体" w:cs="宋体"/>
      <w:bCs/>
      <w:sz w:val="28"/>
      <w:szCs w:val="32"/>
    </w:rPr>
  </w:style>
  <w:style w:type="paragraph" w:customStyle="1" w:styleId="2927">
    <w:name w:val="样式 样式 样式 样式 样式 正文+首行缩进： + 首行缩进:  2 字符 + 宋体"/>
    <w:basedOn w:val="1"/>
    <w:link w:val="2926"/>
    <w:autoRedefine/>
    <w:qFormat/>
    <w:uiPriority w:val="0"/>
    <w:pPr>
      <w:widowControl/>
      <w:wordWrap w:val="0"/>
      <w:topLinePunct/>
      <w:spacing w:line="500" w:lineRule="exact"/>
      <w:ind w:firstLine="200" w:firstLineChars="200"/>
      <w:jc w:val="left"/>
    </w:pPr>
    <w:rPr>
      <w:rFonts w:ascii="黑体" w:hAnsi="黑体" w:eastAsia="黑体" w:cs="宋体"/>
      <w:bCs/>
      <w:kern w:val="0"/>
      <w:sz w:val="28"/>
      <w:szCs w:val="32"/>
    </w:rPr>
  </w:style>
  <w:style w:type="character" w:customStyle="1" w:styleId="2928">
    <w:name w:val="表格文字 QJJ Char Char"/>
    <w:link w:val="2929"/>
    <w:autoRedefine/>
    <w:qFormat/>
    <w:locked/>
    <w:uiPriority w:val="0"/>
    <w:rPr>
      <w:rFonts w:ascii="宋体" w:hAnsi="Arial" w:cs="Arial"/>
      <w:bCs/>
      <w:szCs w:val="21"/>
    </w:rPr>
  </w:style>
  <w:style w:type="paragraph" w:customStyle="1" w:styleId="2929">
    <w:name w:val="表格文字 QJJ"/>
    <w:basedOn w:val="1"/>
    <w:link w:val="2928"/>
    <w:autoRedefine/>
    <w:qFormat/>
    <w:uiPriority w:val="0"/>
    <w:pPr>
      <w:keepLines/>
      <w:widowControl/>
      <w:adjustRightInd w:val="0"/>
      <w:snapToGrid w:val="0"/>
      <w:spacing w:line="240" w:lineRule="exact"/>
      <w:jc w:val="center"/>
    </w:pPr>
    <w:rPr>
      <w:rFonts w:ascii="宋体" w:hAnsi="Arial" w:cs="Arial"/>
      <w:bCs/>
      <w:kern w:val="0"/>
      <w:sz w:val="20"/>
      <w:szCs w:val="21"/>
    </w:rPr>
  </w:style>
  <w:style w:type="paragraph" w:customStyle="1" w:styleId="2930">
    <w:name w:val="样式 正文 + (符号) 宋体 首行缩进:  2 字符"/>
    <w:basedOn w:val="1"/>
    <w:autoRedefine/>
    <w:qFormat/>
    <w:uiPriority w:val="0"/>
    <w:pPr>
      <w:widowControl/>
      <w:spacing w:line="500" w:lineRule="exact"/>
      <w:ind w:firstLine="200" w:firstLineChars="200"/>
      <w:jc w:val="left"/>
    </w:pPr>
    <w:rPr>
      <w:rFonts w:cs="宋体"/>
      <w:sz w:val="28"/>
      <w:szCs w:val="20"/>
    </w:rPr>
  </w:style>
  <w:style w:type="paragraph" w:customStyle="1" w:styleId="2931">
    <w:name w:val="列出段落7"/>
    <w:basedOn w:val="1"/>
    <w:autoRedefine/>
    <w:qFormat/>
    <w:uiPriority w:val="0"/>
    <w:pPr>
      <w:ind w:firstLine="420" w:firstLineChars="200"/>
    </w:pPr>
    <w:rPr>
      <w:rFonts w:ascii="Calibri" w:hAnsi="Calibri"/>
      <w:szCs w:val="22"/>
    </w:rPr>
  </w:style>
  <w:style w:type="paragraph" w:customStyle="1" w:styleId="2932">
    <w:name w:val="报告表名"/>
    <w:basedOn w:val="1"/>
    <w:next w:val="1"/>
    <w:autoRedefine/>
    <w:qFormat/>
    <w:uiPriority w:val="0"/>
    <w:pPr>
      <w:spacing w:line="300" w:lineRule="exact"/>
      <w:jc w:val="center"/>
    </w:pPr>
    <w:rPr>
      <w:sz w:val="28"/>
      <w:szCs w:val="28"/>
    </w:rPr>
  </w:style>
  <w:style w:type="paragraph" w:customStyle="1" w:styleId="2933">
    <w:name w:val="Char Char Char Char Char Char Char Char Char Char Char Char Char Char Char Char Char Char Char Char Char Char Char Char Char Char Char Char Char Char Char Char Char Char Char Char4"/>
    <w:basedOn w:val="1"/>
    <w:autoRedefine/>
    <w:qFormat/>
    <w:uiPriority w:val="0"/>
  </w:style>
  <w:style w:type="paragraph" w:customStyle="1" w:styleId="2934">
    <w:name w:val="分标题"/>
    <w:basedOn w:val="1"/>
    <w:next w:val="343"/>
    <w:autoRedefine/>
    <w:qFormat/>
    <w:uiPriority w:val="0"/>
    <w:pPr>
      <w:widowControl/>
      <w:spacing w:line="500" w:lineRule="exact"/>
      <w:ind w:firstLine="566" w:firstLineChars="202"/>
      <w:jc w:val="left"/>
    </w:pPr>
    <w:rPr>
      <w:kern w:val="0"/>
      <w:sz w:val="28"/>
      <w:szCs w:val="30"/>
    </w:rPr>
  </w:style>
  <w:style w:type="paragraph" w:customStyle="1" w:styleId="2935">
    <w:name w:val="大妹正文 Char"/>
    <w:basedOn w:val="3"/>
    <w:autoRedefine/>
    <w:qFormat/>
    <w:uiPriority w:val="0"/>
    <w:pPr>
      <w:keepNext w:val="0"/>
      <w:overflowPunct/>
      <w:snapToGrid/>
      <w:spacing w:before="0" w:after="0" w:line="360" w:lineRule="auto"/>
      <w:ind w:left="0" w:right="-31" w:rightChars="-15" w:firstLine="0"/>
      <w:jc w:val="center"/>
      <w:outlineLvl w:val="9"/>
    </w:pPr>
    <w:rPr>
      <w:rFonts w:ascii="宋体" w:hAnsi="宋体" w:eastAsia="宋体"/>
      <w:bCs w:val="0"/>
      <w:sz w:val="24"/>
      <w:szCs w:val="24"/>
      <w:lang w:val="zh-CN"/>
    </w:rPr>
  </w:style>
  <w:style w:type="paragraph" w:customStyle="1" w:styleId="2936">
    <w:name w:val="Char Char Char Char Char Char Char Char Char5"/>
    <w:basedOn w:val="1"/>
    <w:autoRedefine/>
    <w:qFormat/>
    <w:uiPriority w:val="0"/>
    <w:rPr>
      <w:sz w:val="24"/>
    </w:rPr>
  </w:style>
  <w:style w:type="paragraph" w:customStyle="1" w:styleId="2937">
    <w:name w:val="Char Char Char Char Char Char Char Char Char Char Char Char Char Char Char2 Char"/>
    <w:basedOn w:val="1"/>
    <w:autoRedefine/>
    <w:qFormat/>
    <w:uiPriority w:val="0"/>
  </w:style>
  <w:style w:type="paragraph" w:customStyle="1" w:styleId="2938">
    <w:name w:val="样式 正文文字缩进 + 首行缩进:  0.79 厘米"/>
    <w:basedOn w:val="34"/>
    <w:qFormat/>
    <w:uiPriority w:val="0"/>
    <w:pPr>
      <w:spacing w:after="0" w:line="400" w:lineRule="exact"/>
      <w:ind w:left="0" w:leftChars="0" w:firstLine="448"/>
    </w:pPr>
    <w:rPr>
      <w:rFonts w:ascii="宋体" w:hAnsi="宋体"/>
      <w:kern w:val="2"/>
      <w:lang w:val="zh-CN"/>
    </w:rPr>
  </w:style>
  <w:style w:type="paragraph" w:customStyle="1" w:styleId="2939">
    <w:name w:val="黑体"/>
    <w:basedOn w:val="1"/>
    <w:autoRedefine/>
    <w:qFormat/>
    <w:uiPriority w:val="0"/>
    <w:pPr>
      <w:spacing w:line="360" w:lineRule="auto"/>
      <w:ind w:firstLine="200" w:firstLineChars="200"/>
    </w:pPr>
    <w:rPr>
      <w:b/>
      <w:sz w:val="24"/>
    </w:rPr>
  </w:style>
  <w:style w:type="paragraph" w:customStyle="1" w:styleId="2940">
    <w:name w:val="样式 首行缩进:  0.85 厘米"/>
    <w:basedOn w:val="1"/>
    <w:autoRedefine/>
    <w:qFormat/>
    <w:uiPriority w:val="0"/>
    <w:pPr>
      <w:spacing w:line="400" w:lineRule="exact"/>
      <w:ind w:firstLine="561" w:firstLineChars="200"/>
    </w:pPr>
    <w:rPr>
      <w:bCs/>
      <w:sz w:val="24"/>
    </w:rPr>
  </w:style>
  <w:style w:type="paragraph" w:customStyle="1" w:styleId="2941">
    <w:name w:val="hao01-0"/>
    <w:autoRedefine/>
    <w:qFormat/>
    <w:uiPriority w:val="0"/>
    <w:pPr>
      <w:ind w:firstLine="200" w:firstLineChars="200"/>
    </w:pPr>
    <w:rPr>
      <w:rFonts w:ascii="Times New Roman" w:hAnsi="Times New Roman" w:eastAsia="宋体" w:cs="Times New Roman"/>
      <w:kern w:val="2"/>
      <w:sz w:val="24"/>
      <w:szCs w:val="24"/>
      <w:lang w:val="en-US" w:eastAsia="zh-CN" w:bidi="ar-SA"/>
    </w:rPr>
  </w:style>
  <w:style w:type="paragraph" w:customStyle="1" w:styleId="2942">
    <w:name w:val="表wei"/>
    <w:basedOn w:val="1"/>
    <w:autoRedefine/>
    <w:qFormat/>
    <w:uiPriority w:val="0"/>
    <w:pPr>
      <w:ind w:firstLine="480" w:firstLineChars="200"/>
    </w:pPr>
    <w:rPr>
      <w:sz w:val="24"/>
    </w:rPr>
  </w:style>
  <w:style w:type="paragraph" w:customStyle="1" w:styleId="2943">
    <w:name w:val="表文5中"/>
    <w:basedOn w:val="1"/>
    <w:autoRedefine/>
    <w:qFormat/>
    <w:uiPriority w:val="0"/>
    <w:pPr>
      <w:adjustRightInd w:val="0"/>
      <w:jc w:val="center"/>
    </w:pPr>
    <w:rPr>
      <w:kern w:val="0"/>
      <w:szCs w:val="20"/>
    </w:rPr>
  </w:style>
  <w:style w:type="paragraph" w:customStyle="1" w:styleId="2944">
    <w:name w:val="样式 正文 +"/>
    <w:basedOn w:val="1"/>
    <w:autoRedefine/>
    <w:qFormat/>
    <w:uiPriority w:val="0"/>
    <w:pPr>
      <w:spacing w:beforeLines="50" w:afterLines="50" w:line="360" w:lineRule="auto"/>
      <w:ind w:firstLine="480" w:firstLineChars="200"/>
    </w:pPr>
    <w:rPr>
      <w:rFonts w:cs="宋体"/>
      <w:sz w:val="24"/>
      <w:szCs w:val="20"/>
    </w:rPr>
  </w:style>
  <w:style w:type="paragraph" w:customStyle="1" w:styleId="2945">
    <w:name w:val="表芯左"/>
    <w:basedOn w:val="1"/>
    <w:autoRedefine/>
    <w:qFormat/>
    <w:uiPriority w:val="0"/>
    <w:pPr>
      <w:adjustRightInd w:val="0"/>
      <w:spacing w:line="320" w:lineRule="atLeast"/>
      <w:jc w:val="left"/>
    </w:pPr>
    <w:rPr>
      <w:rFonts w:eastAsia="楷体_GB2312"/>
      <w:spacing w:val="-12"/>
      <w:kern w:val="0"/>
      <w:szCs w:val="20"/>
    </w:rPr>
  </w:style>
  <w:style w:type="paragraph" w:customStyle="1" w:styleId="2946">
    <w:name w:val="正文一"/>
    <w:basedOn w:val="42"/>
    <w:autoRedefine/>
    <w:qFormat/>
    <w:uiPriority w:val="0"/>
    <w:pPr>
      <w:ind w:firstLine="425"/>
    </w:pPr>
    <w:rPr>
      <w:szCs w:val="24"/>
      <w:lang w:val="zh-CN"/>
    </w:rPr>
  </w:style>
  <w:style w:type="paragraph" w:customStyle="1" w:styleId="2947">
    <w:name w:val="reader-word-layer reader-word-s2-4"/>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2948">
    <w:name w:val="样式 样式 样式 正文 + (符号) 宋体 首行缩进:  2 字符 + 首行缩进:  2 字符 + 首行缩进:  2 字符"/>
    <w:basedOn w:val="1"/>
    <w:autoRedefine/>
    <w:qFormat/>
    <w:uiPriority w:val="0"/>
    <w:pPr>
      <w:widowControl/>
      <w:spacing w:line="500" w:lineRule="exact"/>
      <w:ind w:firstLine="200" w:firstLineChars="200"/>
      <w:jc w:val="left"/>
    </w:pPr>
    <w:rPr>
      <w:rFonts w:cs="宋体"/>
      <w:sz w:val="28"/>
      <w:szCs w:val="20"/>
    </w:rPr>
  </w:style>
  <w:style w:type="paragraph" w:customStyle="1" w:styleId="2949">
    <w:name w:val="正文居中4号"/>
    <w:basedOn w:val="1"/>
    <w:autoRedefine/>
    <w:qFormat/>
    <w:uiPriority w:val="0"/>
    <w:pPr>
      <w:spacing w:line="440" w:lineRule="exact"/>
      <w:jc w:val="center"/>
    </w:pPr>
    <w:rPr>
      <w:sz w:val="24"/>
    </w:rPr>
  </w:style>
  <w:style w:type="paragraph" w:customStyle="1" w:styleId="2950">
    <w:name w:val="T2标题"/>
    <w:basedOn w:val="4"/>
    <w:autoRedefine/>
    <w:qFormat/>
    <w:uiPriority w:val="0"/>
    <w:pPr>
      <w:widowControl/>
      <w:tabs>
        <w:tab w:val="left" w:pos="0"/>
      </w:tabs>
      <w:spacing w:before="0" w:after="0" w:line="360" w:lineRule="auto"/>
      <w:ind w:left="643" w:hanging="643"/>
      <w:jc w:val="left"/>
    </w:pPr>
    <w:rPr>
      <w:rFonts w:ascii="宋体" w:hAnsi="宋体" w:cs="宋体"/>
      <w:szCs w:val="20"/>
      <w:lang w:val="zh-CN"/>
    </w:rPr>
  </w:style>
  <w:style w:type="character" w:customStyle="1" w:styleId="2951">
    <w:name w:val="T3标题 Char Char1"/>
    <w:link w:val="2952"/>
    <w:autoRedefine/>
    <w:qFormat/>
    <w:locked/>
    <w:uiPriority w:val="0"/>
    <w:rPr>
      <w:rFonts w:ascii="宋体" w:hAnsi="宋体"/>
      <w:b/>
      <w:bCs/>
      <w:color w:val="FF0000"/>
      <w:kern w:val="18"/>
      <w:sz w:val="30"/>
      <w:szCs w:val="30"/>
      <w:lang w:val="zh-CN"/>
    </w:rPr>
  </w:style>
  <w:style w:type="paragraph" w:customStyle="1" w:styleId="2952">
    <w:name w:val="T3标题"/>
    <w:basedOn w:val="5"/>
    <w:link w:val="2951"/>
    <w:autoRedefine/>
    <w:qFormat/>
    <w:uiPriority w:val="0"/>
    <w:pPr>
      <w:tabs>
        <w:tab w:val="left" w:pos="480"/>
        <w:tab w:val="left" w:pos="840"/>
      </w:tabs>
      <w:spacing w:before="0" w:after="0" w:line="360" w:lineRule="auto"/>
      <w:ind w:left="643" w:hanging="643"/>
      <w:jc w:val="left"/>
    </w:pPr>
    <w:rPr>
      <w:rFonts w:ascii="宋体" w:hAnsi="宋体"/>
      <w:color w:val="FF0000"/>
      <w:kern w:val="18"/>
      <w:sz w:val="30"/>
      <w:szCs w:val="30"/>
      <w:lang w:val="zh-CN"/>
    </w:rPr>
  </w:style>
  <w:style w:type="paragraph" w:customStyle="1" w:styleId="2953">
    <w:name w:val="列出段落8"/>
    <w:basedOn w:val="1"/>
    <w:autoRedefine/>
    <w:qFormat/>
    <w:uiPriority w:val="0"/>
    <w:pPr>
      <w:ind w:firstLine="420" w:firstLineChars="200"/>
    </w:pPr>
    <w:rPr>
      <w:rFonts w:ascii="Calibri" w:hAnsi="Calibri"/>
      <w:szCs w:val="22"/>
    </w:rPr>
  </w:style>
  <w:style w:type="paragraph" w:customStyle="1" w:styleId="2954">
    <w:name w:val="Char Char Char Char Char Char Char Char Char Char Char Char Char Char Char Char Char Char Char Char Char Char Char Char Char Char Char Char Char Char Char Char Char Char Char Char3"/>
    <w:basedOn w:val="1"/>
    <w:autoRedefine/>
    <w:qFormat/>
    <w:uiPriority w:val="0"/>
  </w:style>
  <w:style w:type="paragraph" w:customStyle="1" w:styleId="2955">
    <w:name w:val="Char Char Char Char Char Char Char Char Char4"/>
    <w:basedOn w:val="1"/>
    <w:autoRedefine/>
    <w:qFormat/>
    <w:uiPriority w:val="0"/>
    <w:rPr>
      <w:sz w:val="24"/>
    </w:rPr>
  </w:style>
  <w:style w:type="paragraph" w:customStyle="1" w:styleId="2956">
    <w:name w:val="Char Char Char Char Char Char Char Char Char Char Char Char Char Char Char2 Char2"/>
    <w:basedOn w:val="1"/>
    <w:autoRedefine/>
    <w:qFormat/>
    <w:uiPriority w:val="0"/>
  </w:style>
  <w:style w:type="paragraph" w:customStyle="1" w:styleId="2957">
    <w:name w:val="正文首行缩进4"/>
    <w:basedOn w:val="33"/>
    <w:autoRedefine/>
    <w:qFormat/>
    <w:uiPriority w:val="0"/>
    <w:pPr>
      <w:widowControl w:val="0"/>
      <w:snapToGrid/>
      <w:spacing w:before="0" w:after="0" w:line="500" w:lineRule="exact"/>
      <w:ind w:right="0" w:firstLine="420" w:firstLineChars="200"/>
    </w:pPr>
    <w:rPr>
      <w:kern w:val="2"/>
      <w:sz w:val="21"/>
      <w:lang w:val="zh-CN"/>
    </w:rPr>
  </w:style>
  <w:style w:type="character" w:customStyle="1" w:styleId="2958">
    <w:name w:val="样式17 Char"/>
    <w:link w:val="2959"/>
    <w:autoRedefine/>
    <w:qFormat/>
    <w:locked/>
    <w:uiPriority w:val="0"/>
    <w:rPr>
      <w:sz w:val="18"/>
      <w:szCs w:val="18"/>
    </w:rPr>
  </w:style>
  <w:style w:type="paragraph" w:customStyle="1" w:styleId="2959">
    <w:name w:val="样式17"/>
    <w:basedOn w:val="1"/>
    <w:link w:val="2958"/>
    <w:qFormat/>
    <w:uiPriority w:val="0"/>
    <w:pPr>
      <w:tabs>
        <w:tab w:val="center" w:pos="4153"/>
        <w:tab w:val="right" w:pos="8306"/>
      </w:tabs>
      <w:snapToGrid w:val="0"/>
      <w:jc w:val="left"/>
    </w:pPr>
    <w:rPr>
      <w:kern w:val="0"/>
      <w:sz w:val="18"/>
      <w:szCs w:val="18"/>
    </w:rPr>
  </w:style>
  <w:style w:type="paragraph" w:customStyle="1" w:styleId="2960">
    <w:name w:val="列出段落9"/>
    <w:basedOn w:val="1"/>
    <w:autoRedefine/>
    <w:qFormat/>
    <w:uiPriority w:val="0"/>
    <w:pPr>
      <w:ind w:firstLine="420" w:firstLineChars="200"/>
    </w:pPr>
    <w:rPr>
      <w:rFonts w:ascii="Calibri" w:hAnsi="Calibri"/>
      <w:szCs w:val="22"/>
    </w:rPr>
  </w:style>
  <w:style w:type="paragraph" w:customStyle="1" w:styleId="2961">
    <w:name w:val="z-窗体顶端11"/>
    <w:basedOn w:val="1"/>
    <w:next w:val="1"/>
    <w:autoRedefine/>
    <w:qFormat/>
    <w:uiPriority w:val="0"/>
    <w:pPr>
      <w:widowControl/>
      <w:pBdr>
        <w:bottom w:val="single" w:color="auto" w:sz="6" w:space="1"/>
      </w:pBdr>
      <w:jc w:val="center"/>
    </w:pPr>
    <w:rPr>
      <w:rFonts w:ascii="Arial" w:hAnsi="Arial" w:eastAsia="Arial Unicode MS"/>
      <w:vanish/>
      <w:kern w:val="0"/>
      <w:sz w:val="16"/>
      <w:szCs w:val="16"/>
    </w:rPr>
  </w:style>
  <w:style w:type="paragraph" w:customStyle="1" w:styleId="2962">
    <w:name w:val="Char Char2 Char"/>
    <w:basedOn w:val="1"/>
    <w:autoRedefine/>
    <w:qFormat/>
    <w:uiPriority w:val="0"/>
    <w:rPr>
      <w:szCs w:val="21"/>
    </w:rPr>
  </w:style>
  <w:style w:type="paragraph" w:customStyle="1" w:styleId="2963">
    <w:name w:val="Standard"/>
    <w:basedOn w:val="1"/>
    <w:next w:val="1"/>
    <w:autoRedefine/>
    <w:qFormat/>
    <w:uiPriority w:val="0"/>
    <w:pPr>
      <w:autoSpaceDE w:val="0"/>
      <w:autoSpaceDN w:val="0"/>
      <w:adjustRightInd w:val="0"/>
      <w:jc w:val="left"/>
    </w:pPr>
    <w:rPr>
      <w:rFonts w:ascii="Arial" w:hAnsi="Arial" w:cs="Arial"/>
      <w:kern w:val="0"/>
      <w:sz w:val="24"/>
    </w:rPr>
  </w:style>
  <w:style w:type="paragraph" w:customStyle="1" w:styleId="2964">
    <w:name w:val="标2"/>
    <w:basedOn w:val="4"/>
    <w:next w:val="42"/>
    <w:autoRedefine/>
    <w:qFormat/>
    <w:uiPriority w:val="0"/>
    <w:pPr>
      <w:tabs>
        <w:tab w:val="left" w:pos="992"/>
        <w:tab w:val="center" w:pos="6804"/>
        <w:tab w:val="right" w:pos="7371"/>
      </w:tabs>
      <w:overflowPunct w:val="0"/>
      <w:adjustRightInd w:val="0"/>
      <w:spacing w:before="0" w:after="0" w:line="500" w:lineRule="exact"/>
      <w:ind w:left="992" w:hanging="567"/>
      <w:jc w:val="left"/>
    </w:pPr>
    <w:rPr>
      <w:rFonts w:ascii="Arial" w:hAnsi="Arial" w:eastAsia="黑体"/>
      <w:bCs w:val="0"/>
      <w:kern w:val="0"/>
      <w:sz w:val="28"/>
      <w:szCs w:val="20"/>
      <w:lang w:val="zh-CN"/>
    </w:rPr>
  </w:style>
  <w:style w:type="paragraph" w:customStyle="1" w:styleId="2965">
    <w:name w:val="z-窗体底端11"/>
    <w:basedOn w:val="1"/>
    <w:next w:val="1"/>
    <w:autoRedefine/>
    <w:qFormat/>
    <w:uiPriority w:val="0"/>
    <w:pPr>
      <w:widowControl/>
      <w:pBdr>
        <w:top w:val="single" w:color="auto" w:sz="6" w:space="1"/>
      </w:pBdr>
      <w:jc w:val="center"/>
    </w:pPr>
    <w:rPr>
      <w:rFonts w:ascii="Arial" w:hAnsi="Arial" w:eastAsia="Arial Unicode MS"/>
      <w:vanish/>
      <w:kern w:val="0"/>
      <w:sz w:val="16"/>
      <w:szCs w:val="16"/>
    </w:rPr>
  </w:style>
  <w:style w:type="paragraph" w:customStyle="1" w:styleId="2966">
    <w:name w:val="样式 正文"/>
    <w:basedOn w:val="1"/>
    <w:autoRedefine/>
    <w:qFormat/>
    <w:uiPriority w:val="0"/>
    <w:pPr>
      <w:spacing w:line="360" w:lineRule="auto"/>
      <w:ind w:firstLine="200" w:firstLineChars="200"/>
    </w:pPr>
    <w:rPr>
      <w:rFonts w:ascii="宋体" w:hAnsi="宋体" w:cs="宋体"/>
      <w:color w:val="000000"/>
      <w:sz w:val="28"/>
      <w:szCs w:val="28"/>
    </w:rPr>
  </w:style>
  <w:style w:type="paragraph" w:customStyle="1" w:styleId="2967">
    <w:name w:val="技术标题2"/>
    <w:basedOn w:val="1"/>
    <w:autoRedefine/>
    <w:qFormat/>
    <w:uiPriority w:val="0"/>
    <w:pPr>
      <w:keepNext/>
      <w:keepLines/>
      <w:adjustRightInd w:val="0"/>
      <w:snapToGrid w:val="0"/>
      <w:spacing w:beforeLines="150" w:afterLines="50"/>
      <w:outlineLvl w:val="3"/>
    </w:pPr>
    <w:rPr>
      <w:rFonts w:ascii="Arial" w:hAnsi="Arial"/>
      <w:b/>
      <w:bCs/>
      <w:color w:val="000000"/>
      <w:sz w:val="32"/>
      <w:szCs w:val="28"/>
    </w:rPr>
  </w:style>
  <w:style w:type="paragraph" w:customStyle="1" w:styleId="2968">
    <w:name w:val="Char Char Char Char Char Char Char Char Char1 Char Char Char Char Char Char1 Char Char Char Char"/>
    <w:basedOn w:val="1"/>
    <w:autoRedefine/>
    <w:qFormat/>
    <w:uiPriority w:val="0"/>
    <w:rPr>
      <w:szCs w:val="21"/>
    </w:rPr>
  </w:style>
  <w:style w:type="paragraph" w:customStyle="1" w:styleId="2969">
    <w:name w:val="样式 标题 1 + 小四 段前: 3 磅 段后: 3 磅 行距: 1.5 倍行距"/>
    <w:basedOn w:val="3"/>
    <w:autoRedefine/>
    <w:qFormat/>
    <w:uiPriority w:val="0"/>
    <w:pPr>
      <w:keepLines/>
      <w:overflowPunct/>
      <w:adjustRightInd w:val="0"/>
      <w:snapToGrid/>
      <w:spacing w:after="120" w:line="360" w:lineRule="auto"/>
      <w:ind w:left="0" w:firstLine="0"/>
      <w:jc w:val="left"/>
    </w:pPr>
    <w:rPr>
      <w:rFonts w:eastAsia="宋体" w:cs="宋体"/>
      <w:color w:val="auto"/>
      <w:sz w:val="24"/>
      <w:szCs w:val="20"/>
      <w:lang w:val="zh-CN"/>
    </w:rPr>
  </w:style>
  <w:style w:type="paragraph" w:customStyle="1" w:styleId="2970">
    <w:name w:val="图文文字"/>
    <w:autoRedefine/>
    <w:qFormat/>
    <w:uiPriority w:val="0"/>
    <w:pPr>
      <w:jc w:val="center"/>
    </w:pPr>
    <w:rPr>
      <w:rFonts w:ascii="Times New Roman" w:hAnsi="Times New Roman" w:eastAsia="宋体" w:cs="Times New Roman"/>
      <w:sz w:val="21"/>
      <w:lang w:val="en-US" w:eastAsia="zh-CN" w:bidi="ar-SA"/>
    </w:rPr>
  </w:style>
  <w:style w:type="paragraph" w:customStyle="1" w:styleId="2971">
    <w:name w:val="image_subtitle"/>
    <w:basedOn w:val="1"/>
    <w:autoRedefine/>
    <w:qFormat/>
    <w:uiPriority w:val="0"/>
    <w:pPr>
      <w:widowControl/>
      <w:jc w:val="left"/>
    </w:pPr>
    <w:rPr>
      <w:rFonts w:ascii="宋体" w:hAnsi="宋体" w:cs="宋体"/>
      <w:kern w:val="0"/>
      <w:sz w:val="15"/>
      <w:szCs w:val="15"/>
    </w:rPr>
  </w:style>
  <w:style w:type="paragraph" w:customStyle="1" w:styleId="2972">
    <w:name w:val="样式 标题1"/>
    <w:basedOn w:val="2966"/>
    <w:autoRedefine/>
    <w:qFormat/>
    <w:uiPriority w:val="0"/>
    <w:pPr>
      <w:tabs>
        <w:tab w:val="left" w:pos="0"/>
      </w:tabs>
      <w:ind w:firstLine="0" w:firstLineChars="0"/>
      <w:outlineLvl w:val="0"/>
    </w:pPr>
    <w:rPr>
      <w:b/>
    </w:rPr>
  </w:style>
  <w:style w:type="paragraph" w:customStyle="1" w:styleId="2973">
    <w:name w:val="样式 标题2"/>
    <w:basedOn w:val="2966"/>
    <w:autoRedefine/>
    <w:qFormat/>
    <w:uiPriority w:val="0"/>
    <w:pPr>
      <w:tabs>
        <w:tab w:val="left" w:pos="315"/>
      </w:tabs>
      <w:ind w:left="315" w:firstLine="0" w:firstLineChars="0"/>
      <w:outlineLvl w:val="1"/>
    </w:pPr>
    <w:rPr>
      <w:b/>
    </w:rPr>
  </w:style>
  <w:style w:type="paragraph" w:customStyle="1" w:styleId="2974">
    <w:name w:val="样式 标题4"/>
    <w:basedOn w:val="2966"/>
    <w:autoRedefine/>
    <w:qFormat/>
    <w:uiPriority w:val="0"/>
    <w:pPr>
      <w:tabs>
        <w:tab w:val="left" w:pos="105"/>
      </w:tabs>
      <w:ind w:left="105" w:firstLine="0" w:firstLineChars="0"/>
      <w:outlineLvl w:val="3"/>
    </w:pPr>
    <w:rPr>
      <w:rFonts w:hAnsi="Times New Roman"/>
    </w:rPr>
  </w:style>
  <w:style w:type="paragraph" w:customStyle="1" w:styleId="2975">
    <w:name w:val="样式 表格文字"/>
    <w:basedOn w:val="2966"/>
    <w:autoRedefine/>
    <w:qFormat/>
    <w:uiPriority w:val="0"/>
    <w:pPr>
      <w:spacing w:beforeLines="25" w:afterLines="25" w:line="240" w:lineRule="auto"/>
      <w:ind w:firstLine="0" w:firstLineChars="0"/>
    </w:pPr>
    <w:rPr>
      <w:sz w:val="24"/>
      <w:szCs w:val="24"/>
    </w:rPr>
  </w:style>
  <w:style w:type="paragraph" w:customStyle="1" w:styleId="2976">
    <w:name w:val="CM4"/>
    <w:basedOn w:val="143"/>
    <w:next w:val="143"/>
    <w:autoRedefine/>
    <w:qFormat/>
    <w:uiPriority w:val="0"/>
    <w:pPr>
      <w:spacing w:after="233"/>
    </w:pPr>
    <w:rPr>
      <w:rFonts w:ascii="Times New Roman" w:hAnsi="Times New Roman" w:eastAsia="宋体" w:cs="Times New Roman"/>
      <w:color w:val="auto"/>
    </w:rPr>
  </w:style>
  <w:style w:type="paragraph" w:customStyle="1" w:styleId="2977">
    <w:name w:val="CM5"/>
    <w:basedOn w:val="143"/>
    <w:next w:val="143"/>
    <w:autoRedefine/>
    <w:qFormat/>
    <w:uiPriority w:val="0"/>
    <w:pPr>
      <w:spacing w:after="458"/>
    </w:pPr>
    <w:rPr>
      <w:rFonts w:ascii="Times New Roman" w:hAnsi="Times New Roman" w:eastAsia="宋体" w:cs="Times New Roman"/>
      <w:color w:val="auto"/>
    </w:rPr>
  </w:style>
  <w:style w:type="paragraph" w:customStyle="1" w:styleId="2978">
    <w:name w:val="正文表头"/>
    <w:basedOn w:val="1"/>
    <w:next w:val="1"/>
    <w:autoRedefine/>
    <w:qFormat/>
    <w:uiPriority w:val="0"/>
    <w:pPr>
      <w:keepNext/>
      <w:tabs>
        <w:tab w:val="center" w:pos="4253"/>
        <w:tab w:val="center" w:pos="6804"/>
        <w:tab w:val="right" w:pos="8505"/>
      </w:tabs>
      <w:overflowPunct w:val="0"/>
      <w:adjustRightInd w:val="0"/>
      <w:spacing w:before="120" w:line="360" w:lineRule="auto"/>
      <w:jc w:val="center"/>
    </w:pPr>
    <w:rPr>
      <w:rFonts w:eastAsia="黑体"/>
      <w:kern w:val="0"/>
      <w:sz w:val="28"/>
      <w:szCs w:val="20"/>
    </w:rPr>
  </w:style>
  <w:style w:type="paragraph" w:customStyle="1" w:styleId="2979">
    <w:name w:val="标3"/>
    <w:basedOn w:val="5"/>
    <w:next w:val="42"/>
    <w:autoRedefine/>
    <w:qFormat/>
    <w:uiPriority w:val="0"/>
    <w:pPr>
      <w:tabs>
        <w:tab w:val="left" w:pos="578"/>
        <w:tab w:val="left" w:pos="1260"/>
        <w:tab w:val="center" w:pos="6804"/>
        <w:tab w:val="right" w:pos="7371"/>
      </w:tabs>
      <w:overflowPunct w:val="0"/>
      <w:spacing w:before="0" w:after="0" w:line="500" w:lineRule="exact"/>
      <w:ind w:left="1260" w:hanging="420"/>
    </w:pPr>
    <w:rPr>
      <w:rFonts w:ascii="宋体" w:hAnsi="宋体"/>
      <w:b w:val="0"/>
      <w:color w:val="0000FF"/>
      <w:sz w:val="28"/>
      <w:szCs w:val="20"/>
      <w:lang w:val="zh-CN"/>
    </w:rPr>
  </w:style>
  <w:style w:type="paragraph" w:customStyle="1" w:styleId="2980">
    <w:name w:val="Default Text:1"/>
    <w:basedOn w:val="1"/>
    <w:autoRedefine/>
    <w:qFormat/>
    <w:uiPriority w:val="0"/>
    <w:pPr>
      <w:widowControl/>
      <w:overflowPunct w:val="0"/>
      <w:autoSpaceDE w:val="0"/>
      <w:autoSpaceDN w:val="0"/>
      <w:adjustRightInd w:val="0"/>
      <w:jc w:val="left"/>
    </w:pPr>
    <w:rPr>
      <w:kern w:val="0"/>
      <w:sz w:val="24"/>
      <w:szCs w:val="20"/>
    </w:rPr>
  </w:style>
  <w:style w:type="paragraph" w:customStyle="1" w:styleId="2981">
    <w:name w:val="表格头"/>
    <w:autoRedefine/>
    <w:qFormat/>
    <w:uiPriority w:val="0"/>
    <w:pPr>
      <w:spacing w:before="120" w:after="120" w:line="480" w:lineRule="atLeast"/>
      <w:jc w:val="center"/>
    </w:pPr>
    <w:rPr>
      <w:rFonts w:ascii="Times New Roman" w:hAnsi="Times New Roman" w:eastAsia="宋体" w:cs="Times New Roman"/>
      <w:sz w:val="24"/>
      <w:lang w:val="en-US" w:eastAsia="zh-CN" w:bidi="ar-SA"/>
    </w:rPr>
  </w:style>
  <w:style w:type="paragraph" w:customStyle="1" w:styleId="2982">
    <w:name w:val="标准中文版式_正文"/>
    <w:basedOn w:val="1"/>
    <w:autoRedefine/>
    <w:qFormat/>
    <w:uiPriority w:val="0"/>
    <w:pPr>
      <w:spacing w:before="30" w:line="360" w:lineRule="auto"/>
    </w:pPr>
    <w:rPr>
      <w:rFonts w:ascii="Arial" w:hAnsi="Arial"/>
      <w:sz w:val="24"/>
      <w:szCs w:val="20"/>
    </w:rPr>
  </w:style>
  <w:style w:type="paragraph" w:customStyle="1" w:styleId="2983">
    <w:name w:val="正文文字3"/>
    <w:basedOn w:val="1"/>
    <w:autoRedefine/>
    <w:qFormat/>
    <w:uiPriority w:val="0"/>
    <w:pPr>
      <w:spacing w:before="60" w:after="60" w:line="500" w:lineRule="exact"/>
      <w:ind w:left="1021" w:firstLine="567"/>
    </w:pPr>
    <w:rPr>
      <w:sz w:val="28"/>
      <w:szCs w:val="20"/>
    </w:rPr>
  </w:style>
  <w:style w:type="paragraph" w:customStyle="1" w:styleId="2984">
    <w:name w:val="myfont9new"/>
    <w:basedOn w:val="1"/>
    <w:autoRedefine/>
    <w:qFormat/>
    <w:uiPriority w:val="0"/>
    <w:pPr>
      <w:widowControl/>
      <w:spacing w:before="100" w:beforeAutospacing="1" w:after="100" w:afterAutospacing="1"/>
      <w:jc w:val="left"/>
    </w:pPr>
    <w:rPr>
      <w:rFonts w:ascii="宋体" w:hAnsi="宋体"/>
      <w:kern w:val="0"/>
      <w:sz w:val="24"/>
    </w:rPr>
  </w:style>
  <w:style w:type="paragraph" w:customStyle="1" w:styleId="2985">
    <w:name w:val="文档标签"/>
    <w:basedOn w:val="1"/>
    <w:autoRedefine/>
    <w:qFormat/>
    <w:uiPriority w:val="0"/>
    <w:pPr>
      <w:keepNext/>
      <w:keepLines/>
      <w:widowControl/>
      <w:spacing w:before="400" w:after="120" w:line="240" w:lineRule="atLeast"/>
      <w:jc w:val="left"/>
    </w:pPr>
    <w:rPr>
      <w:rFonts w:ascii="Arial Black" w:hAnsi="Arial Black"/>
      <w:spacing w:val="-100"/>
      <w:kern w:val="28"/>
      <w:sz w:val="108"/>
      <w:szCs w:val="20"/>
    </w:rPr>
  </w:style>
  <w:style w:type="paragraph" w:customStyle="1" w:styleId="2986">
    <w:name w:val="说明1"/>
    <w:basedOn w:val="1"/>
    <w:autoRedefine/>
    <w:qFormat/>
    <w:uiPriority w:val="0"/>
    <w:pPr>
      <w:keepLines/>
      <w:widowControl/>
      <w:suppressLineNumbers/>
      <w:suppressAutoHyphens/>
      <w:spacing w:before="60" w:after="60" w:line="320" w:lineRule="atLeast"/>
    </w:pPr>
    <w:rPr>
      <w:kern w:val="21"/>
      <w:szCs w:val="20"/>
    </w:rPr>
  </w:style>
  <w:style w:type="paragraph" w:customStyle="1" w:styleId="2987">
    <w:name w:val="p9"/>
    <w:basedOn w:val="1"/>
    <w:autoRedefine/>
    <w:qFormat/>
    <w:uiPriority w:val="0"/>
    <w:pPr>
      <w:widowControl/>
      <w:spacing w:before="100" w:beforeAutospacing="1" w:after="100" w:afterAutospacing="1" w:line="432" w:lineRule="auto"/>
      <w:jc w:val="left"/>
    </w:pPr>
    <w:rPr>
      <w:rFonts w:ascii="ˎ̥" w:hAnsi="ˎ̥" w:cs="宋体"/>
      <w:color w:val="000000"/>
      <w:kern w:val="0"/>
      <w:sz w:val="18"/>
      <w:szCs w:val="18"/>
    </w:rPr>
  </w:style>
  <w:style w:type="paragraph" w:customStyle="1" w:styleId="2988">
    <w:name w:val="正文（首行缩进两字） Char Char Char Char Char Char Char Char Char Char Char Char Char Char Char Char Char Char Char Char Char Char Char Char Char Char Char Char Char Char Char Char Char Char Char Char Char Char Char Char"/>
    <w:basedOn w:val="1"/>
    <w:autoRedefine/>
    <w:qFormat/>
    <w:uiPriority w:val="0"/>
    <w:pPr>
      <w:spacing w:after="120"/>
      <w:ind w:left="1440" w:leftChars="700" w:right="1440" w:rightChars="700"/>
    </w:pPr>
  </w:style>
  <w:style w:type="paragraph" w:customStyle="1" w:styleId="2989">
    <w:name w:val="无间隔 Char Char"/>
    <w:autoRedefine/>
    <w:qFormat/>
    <w:uiPriority w:val="0"/>
    <w:rPr>
      <w:rFonts w:ascii="Calibri" w:hAnsi="Calibri" w:eastAsia="宋体" w:cs="Times New Roman"/>
      <w:sz w:val="22"/>
      <w:szCs w:val="21"/>
      <w:lang w:val="en-US" w:eastAsia="zh-CN" w:bidi="ar-SA"/>
    </w:rPr>
  </w:style>
  <w:style w:type="paragraph" w:customStyle="1" w:styleId="2990">
    <w:name w:val="TOC 标题11"/>
    <w:basedOn w:val="3"/>
    <w:next w:val="1"/>
    <w:autoRedefine/>
    <w:qFormat/>
    <w:uiPriority w:val="39"/>
    <w:pPr>
      <w:keepLines/>
      <w:widowControl/>
      <w:overflowPunct/>
      <w:snapToGrid/>
      <w:spacing w:before="480" w:after="0" w:line="276" w:lineRule="auto"/>
      <w:ind w:left="0" w:firstLine="0"/>
      <w:jc w:val="left"/>
      <w:outlineLvl w:val="9"/>
    </w:pPr>
    <w:rPr>
      <w:rFonts w:ascii="Cambria" w:hAnsi="Cambria" w:eastAsia="宋体"/>
      <w:color w:val="365F91"/>
      <w:kern w:val="0"/>
      <w:sz w:val="28"/>
      <w:szCs w:val="28"/>
      <w:lang w:val="zh-CN"/>
    </w:rPr>
  </w:style>
  <w:style w:type="paragraph" w:customStyle="1" w:styleId="2991">
    <w:name w:val="表格02左"/>
    <w:basedOn w:val="1"/>
    <w:autoRedefine/>
    <w:qFormat/>
    <w:uiPriority w:val="0"/>
    <w:pPr>
      <w:snapToGrid w:val="0"/>
      <w:spacing w:line="400" w:lineRule="exact"/>
      <w:jc w:val="left"/>
    </w:pPr>
    <w:rPr>
      <w:kern w:val="0"/>
      <w:sz w:val="24"/>
    </w:rPr>
  </w:style>
  <w:style w:type="paragraph" w:customStyle="1" w:styleId="2992">
    <w:name w:val="outline header 1"/>
    <w:basedOn w:val="1"/>
    <w:next w:val="1"/>
    <w:autoRedefine/>
    <w:qFormat/>
    <w:uiPriority w:val="0"/>
    <w:pPr>
      <w:widowControl/>
      <w:tabs>
        <w:tab w:val="left" w:pos="4260"/>
      </w:tabs>
      <w:ind w:right="-12"/>
    </w:pPr>
    <w:rPr>
      <w:rFonts w:ascii="Arial" w:hAnsi="Arial"/>
      <w:color w:val="0000FF"/>
      <w:kern w:val="0"/>
      <w:sz w:val="24"/>
      <w:szCs w:val="20"/>
      <w:lang w:eastAsia="en-US"/>
    </w:rPr>
  </w:style>
  <w:style w:type="paragraph" w:customStyle="1" w:styleId="2993">
    <w:name w:val="CM14"/>
    <w:basedOn w:val="1"/>
    <w:next w:val="1"/>
    <w:autoRedefine/>
    <w:qFormat/>
    <w:uiPriority w:val="0"/>
    <w:pPr>
      <w:autoSpaceDE w:val="0"/>
      <w:autoSpaceDN w:val="0"/>
      <w:adjustRightInd w:val="0"/>
      <w:spacing w:line="533" w:lineRule="atLeast"/>
      <w:jc w:val="left"/>
    </w:pPr>
    <w:rPr>
      <w:rFonts w:ascii="华文中宋" w:eastAsia="华文中宋" w:cs="华文中宋"/>
      <w:kern w:val="0"/>
      <w:sz w:val="24"/>
    </w:rPr>
  </w:style>
  <w:style w:type="paragraph" w:customStyle="1" w:styleId="2994">
    <w:name w:val="CM2"/>
    <w:basedOn w:val="143"/>
    <w:next w:val="143"/>
    <w:autoRedefine/>
    <w:qFormat/>
    <w:uiPriority w:val="0"/>
    <w:pPr>
      <w:spacing w:line="231" w:lineRule="atLeast"/>
    </w:pPr>
    <w:rPr>
      <w:rFonts w:ascii="Times New Roman" w:hAnsi="Times New Roman" w:eastAsia="宋体" w:cs="Times New Roman"/>
      <w:color w:val="auto"/>
    </w:rPr>
  </w:style>
  <w:style w:type="paragraph" w:customStyle="1" w:styleId="2995">
    <w:name w:val="CM83"/>
    <w:basedOn w:val="143"/>
    <w:next w:val="143"/>
    <w:autoRedefine/>
    <w:qFormat/>
    <w:uiPriority w:val="0"/>
    <w:pPr>
      <w:spacing w:line="626" w:lineRule="atLeast"/>
    </w:pPr>
    <w:rPr>
      <w:rFonts w:ascii="华文中宋" w:hAnsi="Times New Roman" w:eastAsia="华文中宋" w:cs="华文中宋"/>
      <w:color w:val="auto"/>
    </w:rPr>
  </w:style>
  <w:style w:type="paragraph" w:customStyle="1" w:styleId="2996">
    <w:name w:val="tinytext"/>
    <w:basedOn w:val="1"/>
    <w:autoRedefine/>
    <w:qFormat/>
    <w:uiPriority w:val="0"/>
    <w:pPr>
      <w:widowControl/>
      <w:spacing w:before="100" w:beforeAutospacing="1" w:after="100" w:afterAutospacing="1"/>
      <w:ind w:firstLine="480"/>
      <w:jc w:val="left"/>
    </w:pPr>
    <w:rPr>
      <w:rFonts w:ascii="宋体" w:hAnsi="宋体" w:cs="宋体"/>
      <w:kern w:val="0"/>
      <w:sz w:val="24"/>
    </w:rPr>
  </w:style>
  <w:style w:type="paragraph" w:customStyle="1" w:styleId="2997">
    <w:name w:val="样式 标题 2标题 2 Char2标题 2 Char1 Charb2 Char1 Char节标题 1.1 Char Ch..."/>
    <w:basedOn w:val="4"/>
    <w:autoRedefine/>
    <w:qFormat/>
    <w:uiPriority w:val="0"/>
    <w:pPr>
      <w:tabs>
        <w:tab w:val="left" w:pos="0"/>
        <w:tab w:val="left" w:pos="240"/>
      </w:tabs>
      <w:spacing w:before="0" w:after="0" w:line="360" w:lineRule="auto"/>
      <w:jc w:val="left"/>
    </w:pPr>
    <w:rPr>
      <w:rFonts w:ascii="Times New Roman" w:hAnsi="Times New Roman"/>
      <w:kern w:val="0"/>
      <w:sz w:val="24"/>
      <w:szCs w:val="24"/>
      <w:lang w:val="zh-CN"/>
    </w:rPr>
  </w:style>
  <w:style w:type="paragraph" w:customStyle="1" w:styleId="2998">
    <w:name w:val="a)"/>
    <w:basedOn w:val="1"/>
    <w:autoRedefine/>
    <w:qFormat/>
    <w:uiPriority w:val="0"/>
    <w:pPr>
      <w:autoSpaceDE w:val="0"/>
      <w:autoSpaceDN w:val="0"/>
      <w:adjustRightInd w:val="0"/>
      <w:spacing w:line="360" w:lineRule="auto"/>
      <w:ind w:firstLine="567"/>
    </w:pPr>
    <w:rPr>
      <w:kern w:val="0"/>
      <w:sz w:val="28"/>
      <w:szCs w:val="20"/>
    </w:rPr>
  </w:style>
  <w:style w:type="paragraph" w:customStyle="1" w:styleId="2999">
    <w:name w:val="CM70"/>
    <w:basedOn w:val="143"/>
    <w:next w:val="143"/>
    <w:qFormat/>
    <w:uiPriority w:val="0"/>
    <w:pPr>
      <w:spacing w:after="255"/>
    </w:pPr>
    <w:rPr>
      <w:rFonts w:ascii="Sim Hei" w:hAnsi="Times New Roman" w:eastAsia="Sim Hei" w:cs="Times New Roman"/>
      <w:color w:val="auto"/>
    </w:rPr>
  </w:style>
  <w:style w:type="paragraph" w:customStyle="1" w:styleId="3000">
    <w:name w:val="CM8"/>
    <w:basedOn w:val="143"/>
    <w:next w:val="143"/>
    <w:autoRedefine/>
    <w:qFormat/>
    <w:uiPriority w:val="0"/>
    <w:pPr>
      <w:spacing w:line="260" w:lineRule="atLeast"/>
    </w:pPr>
    <w:rPr>
      <w:rFonts w:ascii="Sim Hei" w:hAnsi="Times New Roman" w:eastAsia="Sim Hei" w:cs="Times New Roman"/>
      <w:color w:val="auto"/>
    </w:rPr>
  </w:style>
  <w:style w:type="paragraph" w:customStyle="1" w:styleId="3001">
    <w:name w:val="CM180"/>
    <w:basedOn w:val="143"/>
    <w:next w:val="143"/>
    <w:autoRedefine/>
    <w:qFormat/>
    <w:uiPriority w:val="0"/>
    <w:pPr>
      <w:spacing w:after="338"/>
    </w:pPr>
    <w:rPr>
      <w:rFonts w:ascii="华文中宋" w:hAnsi="Times New Roman" w:eastAsia="华文中宋" w:cs="华文中宋"/>
      <w:color w:val="auto"/>
    </w:rPr>
  </w:style>
  <w:style w:type="paragraph" w:customStyle="1" w:styleId="3002">
    <w:name w:val="表格右齐"/>
    <w:basedOn w:val="1"/>
    <w:autoRedefine/>
    <w:qFormat/>
    <w:uiPriority w:val="0"/>
    <w:pPr>
      <w:tabs>
        <w:tab w:val="left" w:pos="425"/>
      </w:tabs>
      <w:spacing w:line="360" w:lineRule="auto"/>
      <w:ind w:left="425" w:hanging="425"/>
    </w:pPr>
    <w:rPr>
      <w:b/>
      <w:bCs/>
      <w:sz w:val="28"/>
      <w:szCs w:val="28"/>
    </w:rPr>
  </w:style>
  <w:style w:type="paragraph" w:customStyle="1" w:styleId="3003">
    <w:name w:val="标书正文1"/>
    <w:basedOn w:val="1"/>
    <w:autoRedefine/>
    <w:qFormat/>
    <w:uiPriority w:val="0"/>
    <w:pPr>
      <w:spacing w:before="100" w:after="100" w:line="440" w:lineRule="atLeast"/>
      <w:ind w:left="180" w:leftChars="85" w:hanging="2"/>
    </w:pPr>
    <w:rPr>
      <w:rFonts w:ascii="仿宋_GB2312" w:hAnsi="宋体" w:eastAsia="仿宋_GB2312"/>
      <w:bCs/>
      <w:color w:val="000000"/>
      <w:spacing w:val="20"/>
      <w:sz w:val="28"/>
      <w:szCs w:val="20"/>
    </w:rPr>
  </w:style>
  <w:style w:type="paragraph" w:customStyle="1" w:styleId="3004">
    <w:name w:val="标书正文"/>
    <w:basedOn w:val="1"/>
    <w:autoRedefine/>
    <w:qFormat/>
    <w:uiPriority w:val="0"/>
    <w:pPr>
      <w:spacing w:before="100" w:after="100" w:line="440" w:lineRule="atLeast"/>
      <w:ind w:left="94" w:leftChars="45" w:firstLine="83" w:firstLineChars="26"/>
    </w:pPr>
    <w:rPr>
      <w:rFonts w:ascii="仿宋_GB2312" w:hAnsi="宋体" w:eastAsia="仿宋_GB2312"/>
      <w:bCs/>
      <w:color w:val="000000"/>
      <w:spacing w:val="20"/>
      <w:sz w:val="28"/>
      <w:szCs w:val="20"/>
    </w:rPr>
  </w:style>
  <w:style w:type="paragraph" w:customStyle="1" w:styleId="3005">
    <w:name w:val="正文1缩进"/>
    <w:basedOn w:val="343"/>
    <w:autoRedefine/>
    <w:qFormat/>
    <w:uiPriority w:val="0"/>
    <w:pPr>
      <w:spacing w:beforeLines="50" w:afterLines="50" w:line="380" w:lineRule="atLeast"/>
      <w:ind w:left="984" w:leftChars="410" w:firstLine="5" w:firstLineChars="2"/>
    </w:pPr>
    <w:rPr>
      <w:rFonts w:ascii="宋体" w:hAnsi="宋体"/>
      <w:color w:val="000000"/>
      <w:kern w:val="0"/>
      <w:sz w:val="24"/>
      <w:szCs w:val="24"/>
      <w:lang w:val="zh-CN"/>
    </w:rPr>
  </w:style>
  <w:style w:type="paragraph" w:customStyle="1" w:styleId="3006">
    <w:name w:val="StandardOhneEinzug"/>
    <w:basedOn w:val="1"/>
    <w:autoRedefine/>
    <w:qFormat/>
    <w:uiPriority w:val="0"/>
    <w:pPr>
      <w:widowControl/>
      <w:tabs>
        <w:tab w:val="left" w:pos="4776"/>
      </w:tabs>
      <w:spacing w:after="240" w:line="288" w:lineRule="auto"/>
      <w:ind w:left="4394" w:hanging="1418"/>
      <w:jc w:val="left"/>
    </w:pPr>
    <w:rPr>
      <w:rFonts w:ascii="Arial" w:hAnsi="Arial"/>
      <w:kern w:val="0"/>
      <w:sz w:val="22"/>
      <w:szCs w:val="20"/>
    </w:rPr>
  </w:style>
  <w:style w:type="paragraph" w:customStyle="1" w:styleId="3007">
    <w:name w:val="标题 2 黑体 小四"/>
    <w:basedOn w:val="40"/>
    <w:autoRedefine/>
    <w:qFormat/>
    <w:uiPriority w:val="0"/>
    <w:pPr>
      <w:spacing w:before="0"/>
      <w:ind w:firstLine="0"/>
    </w:pPr>
    <w:rPr>
      <w:rFonts w:ascii="宋体" w:hAnsi="宋体" w:eastAsia="黑体"/>
      <w:kern w:val="2"/>
      <w:sz w:val="24"/>
      <w:szCs w:val="24"/>
    </w:rPr>
  </w:style>
  <w:style w:type="paragraph" w:customStyle="1" w:styleId="3008">
    <w:name w:val="h_black"/>
    <w:basedOn w:val="1"/>
    <w:autoRedefine/>
    <w:qFormat/>
    <w:uiPriority w:val="0"/>
    <w:pPr>
      <w:widowControl/>
      <w:spacing w:before="100" w:beforeAutospacing="1" w:after="100" w:afterAutospacing="1" w:line="300" w:lineRule="atLeast"/>
      <w:jc w:val="left"/>
    </w:pPr>
    <w:rPr>
      <w:rFonts w:ascii="ˎ̥" w:hAnsi="ˎ̥"/>
      <w:color w:val="333333"/>
      <w:kern w:val="0"/>
      <w:sz w:val="18"/>
      <w:szCs w:val="18"/>
    </w:rPr>
  </w:style>
  <w:style w:type="paragraph" w:customStyle="1" w:styleId="3009">
    <w:name w:val="Char Char Char Char Char Char Char Char Char1 Char Char Char Char Char Char Char Char Char Char Char Char Char"/>
    <w:basedOn w:val="1"/>
    <w:autoRedefine/>
    <w:qFormat/>
    <w:uiPriority w:val="0"/>
    <w:rPr>
      <w:szCs w:val="21"/>
    </w:rPr>
  </w:style>
  <w:style w:type="paragraph" w:customStyle="1" w:styleId="3010">
    <w:name w:val="样式 表格文字 Char + 段前: 0.5 行"/>
    <w:basedOn w:val="1"/>
    <w:autoRedefine/>
    <w:qFormat/>
    <w:uiPriority w:val="0"/>
    <w:pPr>
      <w:spacing w:beforeLines="50"/>
      <w:jc w:val="center"/>
    </w:pPr>
    <w:rPr>
      <w:sz w:val="24"/>
      <w:szCs w:val="20"/>
    </w:rPr>
  </w:style>
  <w:style w:type="paragraph" w:customStyle="1" w:styleId="3011">
    <w:name w:val="附件标题-1"/>
    <w:basedOn w:val="1"/>
    <w:autoRedefine/>
    <w:qFormat/>
    <w:uiPriority w:val="0"/>
    <w:pPr>
      <w:spacing w:beforeLines="50" w:afterLines="50"/>
      <w:jc w:val="center"/>
    </w:pPr>
    <w:rPr>
      <w:rFonts w:eastAsia="黑体"/>
      <w:sz w:val="32"/>
    </w:rPr>
  </w:style>
  <w:style w:type="paragraph" w:customStyle="1" w:styleId="3012">
    <w:name w:val="Einruecken 0.4"/>
    <w:basedOn w:val="1"/>
    <w:autoRedefine/>
    <w:qFormat/>
    <w:uiPriority w:val="0"/>
    <w:pPr>
      <w:widowControl/>
      <w:tabs>
        <w:tab w:val="left" w:pos="2268"/>
        <w:tab w:val="left" w:pos="4253"/>
        <w:tab w:val="left" w:pos="4820"/>
      </w:tabs>
      <w:ind w:left="1361" w:right="851" w:hanging="227"/>
      <w:jc w:val="left"/>
    </w:pPr>
    <w:rPr>
      <w:rFonts w:ascii="Arial" w:hAnsi="Arial"/>
      <w:kern w:val="0"/>
      <w:sz w:val="20"/>
      <w:szCs w:val="20"/>
    </w:rPr>
  </w:style>
  <w:style w:type="paragraph" w:customStyle="1" w:styleId="3013">
    <w:name w:val="Einzeilig"/>
    <w:basedOn w:val="1"/>
    <w:autoRedefine/>
    <w:qFormat/>
    <w:uiPriority w:val="0"/>
    <w:pPr>
      <w:widowControl/>
      <w:spacing w:line="240" w:lineRule="atLeast"/>
      <w:jc w:val="left"/>
    </w:pPr>
    <w:rPr>
      <w:rFonts w:ascii="Arial" w:hAnsi="Arial"/>
      <w:kern w:val="0"/>
      <w:sz w:val="24"/>
      <w:szCs w:val="20"/>
    </w:rPr>
  </w:style>
  <w:style w:type="paragraph" w:customStyle="1" w:styleId="3014">
    <w:name w:val="Char Char Char Char1 Char Char Char Char Char Char Char Char Char Char"/>
    <w:basedOn w:val="1"/>
    <w:autoRedefine/>
    <w:qFormat/>
    <w:uiPriority w:val="0"/>
    <w:rPr>
      <w:szCs w:val="21"/>
    </w:rPr>
  </w:style>
  <w:style w:type="paragraph" w:customStyle="1" w:styleId="3015">
    <w:name w:val="样式 四号 首行缩进:  1.02 厘米 行距: 1.5 倍行距"/>
    <w:basedOn w:val="1"/>
    <w:autoRedefine/>
    <w:qFormat/>
    <w:uiPriority w:val="0"/>
    <w:pPr>
      <w:adjustRightInd w:val="0"/>
      <w:snapToGrid w:val="0"/>
      <w:spacing w:line="360" w:lineRule="auto"/>
      <w:ind w:firstLine="454"/>
    </w:pPr>
    <w:rPr>
      <w:sz w:val="24"/>
    </w:rPr>
  </w:style>
  <w:style w:type="paragraph" w:customStyle="1" w:styleId="3016">
    <w:name w:val="Char Char Char Char Char Char Char Char Char1 Char Char Char Char Char Char Char Char Char Char Char Char Char Char Char Char"/>
    <w:basedOn w:val="1"/>
    <w:autoRedefine/>
    <w:qFormat/>
    <w:uiPriority w:val="0"/>
    <w:rPr>
      <w:szCs w:val="21"/>
    </w:rPr>
  </w:style>
  <w:style w:type="paragraph" w:customStyle="1" w:styleId="3017">
    <w:name w:val="AODocTxt"/>
    <w:basedOn w:val="1"/>
    <w:autoRedefine/>
    <w:qFormat/>
    <w:uiPriority w:val="0"/>
    <w:pPr>
      <w:widowControl/>
      <w:tabs>
        <w:tab w:val="left" w:pos="1425"/>
      </w:tabs>
      <w:spacing w:before="240" w:line="260" w:lineRule="atLeast"/>
      <w:ind w:left="1425" w:hanging="720"/>
    </w:pPr>
    <w:rPr>
      <w:kern w:val="0"/>
      <w:sz w:val="22"/>
      <w:szCs w:val="20"/>
      <w:lang w:eastAsia="en-US"/>
    </w:rPr>
  </w:style>
  <w:style w:type="paragraph" w:customStyle="1" w:styleId="3018">
    <w:name w:val="Char91"/>
    <w:basedOn w:val="1"/>
    <w:autoRedefine/>
    <w:qFormat/>
    <w:uiPriority w:val="0"/>
    <w:rPr>
      <w:szCs w:val="21"/>
    </w:rPr>
  </w:style>
  <w:style w:type="paragraph" w:customStyle="1" w:styleId="3019">
    <w:name w:val="Standard_ip"/>
    <w:basedOn w:val="1"/>
    <w:next w:val="1"/>
    <w:autoRedefine/>
    <w:qFormat/>
    <w:uiPriority w:val="0"/>
    <w:pPr>
      <w:widowControl/>
      <w:tabs>
        <w:tab w:val="left" w:pos="2126"/>
        <w:tab w:val="right" w:pos="4678"/>
        <w:tab w:val="left" w:pos="6095"/>
        <w:tab w:val="right" w:pos="8505"/>
      </w:tabs>
      <w:ind w:left="992"/>
    </w:pPr>
    <w:rPr>
      <w:rFonts w:ascii="Arial" w:hAnsi="Arial"/>
      <w:kern w:val="0"/>
      <w:sz w:val="20"/>
      <w:szCs w:val="20"/>
    </w:rPr>
  </w:style>
  <w:style w:type="paragraph" w:customStyle="1" w:styleId="3020">
    <w:name w:val="Tech Data"/>
    <w:basedOn w:val="1"/>
    <w:autoRedefine/>
    <w:qFormat/>
    <w:uiPriority w:val="0"/>
    <w:pPr>
      <w:widowControl/>
      <w:tabs>
        <w:tab w:val="left" w:pos="6237"/>
      </w:tabs>
      <w:suppressAutoHyphens/>
      <w:spacing w:before="60" w:after="60"/>
    </w:pPr>
    <w:rPr>
      <w:rFonts w:ascii="Arial" w:hAnsi="Arial"/>
      <w:kern w:val="0"/>
      <w:sz w:val="24"/>
      <w:szCs w:val="20"/>
    </w:rPr>
  </w:style>
  <w:style w:type="paragraph" w:customStyle="1" w:styleId="3021">
    <w:name w:val="normal puces 2"/>
    <w:basedOn w:val="1"/>
    <w:autoRedefine/>
    <w:qFormat/>
    <w:uiPriority w:val="0"/>
    <w:pPr>
      <w:widowControl/>
      <w:tabs>
        <w:tab w:val="left" w:pos="432"/>
      </w:tabs>
      <w:spacing w:before="40"/>
      <w:ind w:left="432" w:hanging="432"/>
    </w:pPr>
    <w:rPr>
      <w:rFonts w:ascii="Arial" w:hAnsi="Arial"/>
      <w:kern w:val="0"/>
      <w:sz w:val="24"/>
      <w:szCs w:val="20"/>
    </w:rPr>
  </w:style>
  <w:style w:type="paragraph" w:customStyle="1" w:styleId="3022">
    <w:name w:val="Normal puces"/>
    <w:basedOn w:val="1"/>
    <w:autoRedefine/>
    <w:qFormat/>
    <w:uiPriority w:val="0"/>
    <w:pPr>
      <w:widowControl/>
      <w:tabs>
        <w:tab w:val="left" w:pos="360"/>
      </w:tabs>
      <w:spacing w:before="360"/>
      <w:ind w:left="360" w:hanging="360"/>
    </w:pPr>
    <w:rPr>
      <w:rFonts w:ascii="Arial" w:hAnsi="Arial"/>
      <w:b/>
      <w:kern w:val="0"/>
      <w:sz w:val="24"/>
      <w:szCs w:val="20"/>
    </w:rPr>
  </w:style>
  <w:style w:type="paragraph" w:customStyle="1" w:styleId="3023">
    <w:name w:val="normal puces"/>
    <w:basedOn w:val="1"/>
    <w:autoRedefine/>
    <w:qFormat/>
    <w:uiPriority w:val="0"/>
    <w:pPr>
      <w:widowControl/>
      <w:tabs>
        <w:tab w:val="left" w:pos="360"/>
      </w:tabs>
      <w:spacing w:before="40"/>
      <w:ind w:left="360" w:hanging="360"/>
    </w:pPr>
    <w:rPr>
      <w:rFonts w:ascii="Arial" w:hAnsi="Arial"/>
      <w:kern w:val="0"/>
      <w:sz w:val="24"/>
      <w:szCs w:val="20"/>
    </w:rPr>
  </w:style>
  <w:style w:type="paragraph" w:customStyle="1" w:styleId="3024">
    <w:name w:val="tech data"/>
    <w:basedOn w:val="1"/>
    <w:next w:val="1"/>
    <w:autoRedefine/>
    <w:qFormat/>
    <w:uiPriority w:val="0"/>
    <w:pPr>
      <w:widowControl/>
      <w:tabs>
        <w:tab w:val="left" w:pos="5670"/>
      </w:tabs>
      <w:spacing w:before="80"/>
    </w:pPr>
    <w:rPr>
      <w:rFonts w:ascii="Arial" w:hAnsi="Arial"/>
      <w:kern w:val="0"/>
      <w:sz w:val="24"/>
      <w:szCs w:val="20"/>
    </w:rPr>
  </w:style>
  <w:style w:type="paragraph" w:customStyle="1" w:styleId="3025">
    <w:name w:val="puces"/>
    <w:basedOn w:val="3022"/>
    <w:autoRedefine/>
    <w:qFormat/>
    <w:uiPriority w:val="0"/>
    <w:pPr>
      <w:spacing w:before="40" w:after="160" w:line="360" w:lineRule="auto"/>
    </w:pPr>
    <w:rPr>
      <w:sz w:val="22"/>
    </w:rPr>
  </w:style>
  <w:style w:type="paragraph" w:customStyle="1" w:styleId="3026">
    <w:name w:val="Normal 1"/>
    <w:basedOn w:val="1"/>
    <w:next w:val="1"/>
    <w:autoRedefine/>
    <w:qFormat/>
    <w:uiPriority w:val="0"/>
    <w:pPr>
      <w:widowControl/>
      <w:tabs>
        <w:tab w:val="left" w:pos="284"/>
        <w:tab w:val="left" w:pos="3168"/>
        <w:tab w:val="left" w:pos="7488"/>
        <w:tab w:val="left" w:pos="8208"/>
        <w:tab w:val="left" w:pos="8928"/>
        <w:tab w:val="left" w:pos="9648"/>
      </w:tabs>
      <w:spacing w:after="80"/>
    </w:pPr>
    <w:rPr>
      <w:rFonts w:ascii="Arial" w:hAnsi="Arial"/>
      <w:b/>
      <w:kern w:val="0"/>
      <w:sz w:val="24"/>
      <w:szCs w:val="20"/>
    </w:rPr>
  </w:style>
  <w:style w:type="paragraph" w:customStyle="1" w:styleId="3027">
    <w:name w:val="Adresse client"/>
    <w:basedOn w:val="1"/>
    <w:autoRedefine/>
    <w:qFormat/>
    <w:uiPriority w:val="0"/>
    <w:pPr>
      <w:widowControl/>
      <w:spacing w:before="120"/>
      <w:ind w:right="1021"/>
      <w:jc w:val="right"/>
    </w:pPr>
    <w:rPr>
      <w:rFonts w:ascii="Arial Gras" w:hAnsi="Arial Gras"/>
      <w:b/>
      <w:kern w:val="0"/>
      <w:sz w:val="36"/>
      <w:szCs w:val="20"/>
    </w:rPr>
  </w:style>
  <w:style w:type="paragraph" w:customStyle="1" w:styleId="3028">
    <w:name w:val="Liste puces 2"/>
    <w:basedOn w:val="1"/>
    <w:autoRedefine/>
    <w:qFormat/>
    <w:uiPriority w:val="0"/>
    <w:pPr>
      <w:widowControl/>
      <w:tabs>
        <w:tab w:val="left" w:pos="360"/>
      </w:tabs>
      <w:spacing w:before="40"/>
    </w:pPr>
    <w:rPr>
      <w:rFonts w:ascii="Arial" w:hAnsi="Arial"/>
      <w:kern w:val="0"/>
      <w:sz w:val="24"/>
      <w:szCs w:val="20"/>
    </w:rPr>
  </w:style>
  <w:style w:type="paragraph" w:customStyle="1" w:styleId="3029">
    <w:name w:val="Normal gras"/>
    <w:basedOn w:val="1"/>
    <w:next w:val="1"/>
    <w:autoRedefine/>
    <w:qFormat/>
    <w:uiPriority w:val="0"/>
    <w:pPr>
      <w:widowControl/>
      <w:tabs>
        <w:tab w:val="left" w:pos="288"/>
      </w:tabs>
      <w:suppressAutoHyphens/>
      <w:spacing w:after="120"/>
    </w:pPr>
    <w:rPr>
      <w:rFonts w:ascii="Arial" w:hAnsi="Arial"/>
      <w:b/>
      <w:kern w:val="0"/>
      <w:sz w:val="24"/>
      <w:szCs w:val="20"/>
    </w:rPr>
  </w:style>
  <w:style w:type="paragraph" w:customStyle="1" w:styleId="3030">
    <w:name w:val="Titres 1ère page offre"/>
    <w:basedOn w:val="1"/>
    <w:autoRedefine/>
    <w:qFormat/>
    <w:uiPriority w:val="0"/>
    <w:pPr>
      <w:widowControl/>
      <w:jc w:val="center"/>
    </w:pPr>
    <w:rPr>
      <w:rFonts w:ascii="Arial Gras" w:hAnsi="Arial Gras"/>
      <w:b/>
      <w:kern w:val="0"/>
      <w:sz w:val="36"/>
      <w:szCs w:val="20"/>
    </w:rPr>
  </w:style>
  <w:style w:type="paragraph" w:customStyle="1" w:styleId="3031">
    <w:name w:val="Légende1"/>
    <w:basedOn w:val="1"/>
    <w:next w:val="1"/>
    <w:autoRedefine/>
    <w:qFormat/>
    <w:uiPriority w:val="0"/>
    <w:pPr>
      <w:widowControl/>
      <w:tabs>
        <w:tab w:val="left" w:pos="1276"/>
      </w:tabs>
      <w:suppressAutoHyphens/>
      <w:spacing w:before="40" w:after="40"/>
    </w:pPr>
    <w:rPr>
      <w:rFonts w:ascii="Arial" w:hAnsi="Arial" w:cs="Arial"/>
      <w:b/>
      <w:bCs/>
      <w:kern w:val="0"/>
      <w:sz w:val="24"/>
      <w:lang w:eastAsia="ar-SA"/>
    </w:rPr>
  </w:style>
  <w:style w:type="paragraph" w:customStyle="1" w:styleId="3032">
    <w:name w:val="CM1"/>
    <w:basedOn w:val="1"/>
    <w:next w:val="1"/>
    <w:autoRedefine/>
    <w:qFormat/>
    <w:uiPriority w:val="0"/>
    <w:pPr>
      <w:autoSpaceDE w:val="0"/>
      <w:autoSpaceDN w:val="0"/>
      <w:adjustRightInd w:val="0"/>
      <w:spacing w:line="276" w:lineRule="atLeast"/>
      <w:jc w:val="left"/>
    </w:pPr>
    <w:rPr>
      <w:rFonts w:ascii="PFAMNC+Arial" w:eastAsia="PFAMNC+Arial"/>
      <w:kern w:val="0"/>
      <w:sz w:val="24"/>
    </w:rPr>
  </w:style>
  <w:style w:type="paragraph" w:customStyle="1" w:styleId="3033">
    <w:name w:val="Char Char1 Char Char Char"/>
    <w:basedOn w:val="1"/>
    <w:autoRedefine/>
    <w:qFormat/>
    <w:uiPriority w:val="0"/>
    <w:rPr>
      <w:szCs w:val="21"/>
    </w:rPr>
  </w:style>
  <w:style w:type="paragraph" w:customStyle="1" w:styleId="3034">
    <w:name w:val="Char Char Char Char Char Char Char Char Char1 Char Char Char1"/>
    <w:basedOn w:val="1"/>
    <w:autoRedefine/>
    <w:qFormat/>
    <w:uiPriority w:val="0"/>
    <w:rPr>
      <w:sz w:val="24"/>
    </w:rPr>
  </w:style>
  <w:style w:type="paragraph" w:customStyle="1" w:styleId="3035">
    <w:name w:val="Char Char Char41"/>
    <w:basedOn w:val="1"/>
    <w:autoRedefine/>
    <w:qFormat/>
    <w:uiPriority w:val="0"/>
    <w:rPr>
      <w:szCs w:val="21"/>
    </w:rPr>
  </w:style>
  <w:style w:type="paragraph" w:customStyle="1" w:styleId="3036">
    <w:name w:val="Char Char Char Char1 Char Char Char Char Char Char Char Char Char Char1"/>
    <w:basedOn w:val="1"/>
    <w:qFormat/>
    <w:uiPriority w:val="0"/>
    <w:rPr>
      <w:szCs w:val="21"/>
    </w:rPr>
  </w:style>
  <w:style w:type="paragraph" w:customStyle="1" w:styleId="3037">
    <w:name w:val="Char Char1 Char Char Char1"/>
    <w:basedOn w:val="1"/>
    <w:autoRedefine/>
    <w:qFormat/>
    <w:uiPriority w:val="0"/>
    <w:rPr>
      <w:szCs w:val="21"/>
    </w:rPr>
  </w:style>
  <w:style w:type="paragraph" w:customStyle="1" w:styleId="3038">
    <w:name w:val="Char Char Char Char Char Char Char Char Char1 Char Char Char Char Char Char1 Char Char Char Char1"/>
    <w:basedOn w:val="1"/>
    <w:qFormat/>
    <w:uiPriority w:val="0"/>
    <w:rPr>
      <w:szCs w:val="21"/>
    </w:rPr>
  </w:style>
  <w:style w:type="paragraph" w:customStyle="1" w:styleId="3039">
    <w:name w:val="Char Char2 Char1"/>
    <w:basedOn w:val="1"/>
    <w:autoRedefine/>
    <w:qFormat/>
    <w:uiPriority w:val="0"/>
    <w:rPr>
      <w:szCs w:val="21"/>
    </w:rPr>
  </w:style>
  <w:style w:type="paragraph" w:customStyle="1" w:styleId="3040">
    <w:name w:val="Char Char Char Char Char Char Char Char Char1 Char Char Char Char Char Char Char Char Char Char Char Char Char1"/>
    <w:basedOn w:val="1"/>
    <w:qFormat/>
    <w:uiPriority w:val="0"/>
    <w:rPr>
      <w:szCs w:val="21"/>
    </w:rPr>
  </w:style>
  <w:style w:type="paragraph" w:customStyle="1" w:styleId="3041">
    <w:name w:val="字元 字元11"/>
    <w:basedOn w:val="1"/>
    <w:qFormat/>
    <w:uiPriority w:val="0"/>
    <w:pPr>
      <w:tabs>
        <w:tab w:val="left" w:pos="780"/>
      </w:tabs>
      <w:ind w:left="780" w:hanging="360"/>
    </w:pPr>
    <w:rPr>
      <w:sz w:val="24"/>
    </w:rPr>
  </w:style>
  <w:style w:type="paragraph" w:customStyle="1" w:styleId="3042">
    <w:name w:val="Char Char Char Char Char Char Char Char Char1 Char Char Char1 Char1"/>
    <w:basedOn w:val="1"/>
    <w:autoRedefine/>
    <w:qFormat/>
    <w:uiPriority w:val="0"/>
    <w:rPr>
      <w:szCs w:val="21"/>
    </w:rPr>
  </w:style>
  <w:style w:type="paragraph" w:customStyle="1" w:styleId="3043">
    <w:name w:val="Char Char Char1 Char Char Char Char Char Char1"/>
    <w:basedOn w:val="1"/>
    <w:qFormat/>
    <w:uiPriority w:val="0"/>
    <w:rPr>
      <w:rFonts w:ascii="黑体" w:hAnsi="黑体" w:eastAsia="黑体"/>
      <w:b/>
      <w:spacing w:val="10"/>
      <w:sz w:val="28"/>
      <w:szCs w:val="20"/>
    </w:rPr>
  </w:style>
  <w:style w:type="paragraph" w:customStyle="1" w:styleId="3044">
    <w:name w:val="Char Char Char Char Char Char Char Char Char Char Char Char Char Char Char Char Char Char Char Char Char Char Char Char Char Char Char Char Char Char Char Char Char Char Char Char2"/>
    <w:basedOn w:val="1"/>
    <w:autoRedefine/>
    <w:qFormat/>
    <w:uiPriority w:val="0"/>
  </w:style>
  <w:style w:type="paragraph" w:customStyle="1" w:styleId="3045">
    <w:name w:val="Char Char Char Char Char Char Char Char Char3"/>
    <w:basedOn w:val="1"/>
    <w:qFormat/>
    <w:uiPriority w:val="0"/>
    <w:rPr>
      <w:sz w:val="24"/>
    </w:rPr>
  </w:style>
  <w:style w:type="paragraph" w:customStyle="1" w:styleId="3046">
    <w:name w:val="Char Char Char Char Char Char Char Char Char Char Char Char Char Char Char2 Char1"/>
    <w:basedOn w:val="1"/>
    <w:autoRedefine/>
    <w:qFormat/>
    <w:uiPriority w:val="0"/>
  </w:style>
  <w:style w:type="paragraph" w:customStyle="1" w:styleId="3047">
    <w:name w:val="正文首行缩进5"/>
    <w:basedOn w:val="33"/>
    <w:qFormat/>
    <w:uiPriority w:val="0"/>
    <w:pPr>
      <w:widowControl w:val="0"/>
      <w:snapToGrid/>
      <w:spacing w:before="0" w:after="0" w:line="500" w:lineRule="exact"/>
      <w:ind w:right="0" w:firstLine="420" w:firstLineChars="200"/>
    </w:pPr>
    <w:rPr>
      <w:kern w:val="2"/>
      <w:sz w:val="21"/>
      <w:lang w:val="zh-CN"/>
    </w:rPr>
  </w:style>
  <w:style w:type="paragraph" w:customStyle="1" w:styleId="3048">
    <w:name w:val="Normal_0"/>
    <w:autoRedefine/>
    <w:qFormat/>
    <w:uiPriority w:val="0"/>
    <w:pPr>
      <w:spacing w:before="120" w:after="240"/>
    </w:pPr>
    <w:rPr>
      <w:rFonts w:ascii="Calibri" w:hAnsi="Calibri" w:eastAsia="Calibri" w:cs="Times New Roman"/>
      <w:sz w:val="22"/>
      <w:szCs w:val="22"/>
      <w:lang w:val="ru-RU" w:eastAsia="en-US" w:bidi="ar-SA"/>
    </w:rPr>
  </w:style>
  <w:style w:type="paragraph" w:customStyle="1" w:styleId="3049">
    <w:name w:val="_Style 20"/>
    <w:basedOn w:val="1"/>
    <w:qFormat/>
    <w:uiPriority w:val="0"/>
    <w:pPr>
      <w:widowControl/>
      <w:spacing w:after="160" w:line="240" w:lineRule="exact"/>
      <w:jc w:val="left"/>
    </w:pPr>
    <w:rPr>
      <w:rFonts w:ascii="Verdana" w:hAnsi="Verdana"/>
      <w:kern w:val="0"/>
      <w:sz w:val="20"/>
      <w:szCs w:val="20"/>
      <w:lang w:eastAsia="en-US"/>
    </w:rPr>
  </w:style>
  <w:style w:type="character" w:customStyle="1" w:styleId="3050">
    <w:name w:val="表头编号 Char Char Char Char"/>
    <w:link w:val="3051"/>
    <w:qFormat/>
    <w:locked/>
    <w:uiPriority w:val="0"/>
    <w:rPr>
      <w:b/>
      <w:color w:val="000000"/>
      <w:spacing w:val="-2"/>
    </w:rPr>
  </w:style>
  <w:style w:type="paragraph" w:customStyle="1" w:styleId="3051">
    <w:name w:val="表头编号 Char"/>
    <w:basedOn w:val="1"/>
    <w:link w:val="3050"/>
    <w:autoRedefine/>
    <w:qFormat/>
    <w:uiPriority w:val="0"/>
    <w:pPr>
      <w:snapToGrid w:val="0"/>
      <w:spacing w:line="240" w:lineRule="atLeast"/>
      <w:ind w:left="498" w:hanging="498" w:hangingChars="200"/>
      <w:jc w:val="right"/>
    </w:pPr>
    <w:rPr>
      <w:b/>
      <w:color w:val="000000"/>
      <w:spacing w:val="-2"/>
      <w:kern w:val="0"/>
      <w:sz w:val="20"/>
      <w:szCs w:val="20"/>
    </w:rPr>
  </w:style>
  <w:style w:type="character" w:customStyle="1" w:styleId="3052">
    <w:name w:val="燕山正文 Char1"/>
    <w:link w:val="3053"/>
    <w:autoRedefine/>
    <w:qFormat/>
    <w:locked/>
    <w:uiPriority w:val="0"/>
    <w:rPr>
      <w:rFonts w:ascii="宋体" w:hAnsi="宋体"/>
      <w:sz w:val="24"/>
      <w:szCs w:val="24"/>
    </w:rPr>
  </w:style>
  <w:style w:type="paragraph" w:customStyle="1" w:styleId="3053">
    <w:name w:val="燕山正文"/>
    <w:basedOn w:val="1"/>
    <w:link w:val="3052"/>
    <w:qFormat/>
    <w:uiPriority w:val="0"/>
    <w:pPr>
      <w:tabs>
        <w:tab w:val="left" w:pos="4680"/>
      </w:tabs>
      <w:adjustRightInd w:val="0"/>
      <w:snapToGrid w:val="0"/>
      <w:spacing w:line="480" w:lineRule="exact"/>
    </w:pPr>
    <w:rPr>
      <w:rFonts w:ascii="宋体" w:hAnsi="宋体"/>
      <w:kern w:val="0"/>
      <w:sz w:val="24"/>
    </w:rPr>
  </w:style>
  <w:style w:type="character" w:customStyle="1" w:styleId="3054">
    <w:name w:val="样式 标题 3 + 黑体 小四 左侧:  0.86 厘米 首行缩进:  0 厘米 Char Char Char Char Char Char Char"/>
    <w:link w:val="3055"/>
    <w:qFormat/>
    <w:locked/>
    <w:uiPriority w:val="0"/>
    <w:rPr>
      <w:rFonts w:ascii="黑体" w:hAnsi="黑体" w:eastAsia="黑体"/>
      <w:b/>
      <w:bCs/>
      <w:color w:val="000000"/>
      <w:sz w:val="24"/>
      <w:szCs w:val="24"/>
      <w:lang w:val="en-GB"/>
    </w:rPr>
  </w:style>
  <w:style w:type="paragraph" w:customStyle="1" w:styleId="3055">
    <w:name w:val="样式 标题 3 + 黑体 小四 左侧:  0.86 厘米 首行缩进:  0 厘米 Char"/>
    <w:basedOn w:val="5"/>
    <w:link w:val="3054"/>
    <w:qFormat/>
    <w:uiPriority w:val="0"/>
    <w:pPr>
      <w:keepLines w:val="0"/>
      <w:spacing w:before="0" w:after="0" w:line="360" w:lineRule="auto"/>
      <w:jc w:val="left"/>
    </w:pPr>
    <w:rPr>
      <w:rFonts w:ascii="黑体" w:hAnsi="黑体" w:eastAsia="黑体"/>
      <w:color w:val="000000"/>
      <w:kern w:val="0"/>
      <w:sz w:val="24"/>
      <w:szCs w:val="24"/>
      <w:lang w:val="en-GB"/>
    </w:rPr>
  </w:style>
  <w:style w:type="character" w:customStyle="1" w:styleId="3056">
    <w:name w:val="样式 标题 3 + (西文) Times New Roman (中文) 宋体 Char Char"/>
    <w:link w:val="3057"/>
    <w:autoRedefine/>
    <w:qFormat/>
    <w:locked/>
    <w:uiPriority w:val="0"/>
    <w:rPr>
      <w:b/>
      <w:bCs/>
      <w:sz w:val="28"/>
      <w:szCs w:val="24"/>
    </w:rPr>
  </w:style>
  <w:style w:type="paragraph" w:customStyle="1" w:styleId="3057">
    <w:name w:val="样式 标题 3 + (西文) Times New Roman (中文) 宋体"/>
    <w:basedOn w:val="5"/>
    <w:link w:val="3056"/>
    <w:qFormat/>
    <w:uiPriority w:val="0"/>
    <w:pPr>
      <w:keepNext w:val="0"/>
      <w:keepLines w:val="0"/>
      <w:tabs>
        <w:tab w:val="left" w:pos="1260"/>
        <w:tab w:val="left" w:pos="1560"/>
      </w:tabs>
      <w:spacing w:beforeLines="20" w:afterLines="20" w:line="560" w:lineRule="atLeast"/>
    </w:pPr>
    <w:rPr>
      <w:kern w:val="0"/>
      <w:sz w:val="28"/>
      <w:szCs w:val="24"/>
    </w:rPr>
  </w:style>
  <w:style w:type="character" w:customStyle="1" w:styleId="3058">
    <w:name w:val="图题注 Char Char"/>
    <w:link w:val="3059"/>
    <w:autoRedefine/>
    <w:qFormat/>
    <w:locked/>
    <w:uiPriority w:val="0"/>
    <w:rPr>
      <w:rFonts w:ascii="黑体" w:hAnsi="Arial" w:eastAsia="黑体"/>
      <w:b/>
      <w:bCs/>
      <w:sz w:val="24"/>
      <w:szCs w:val="24"/>
    </w:rPr>
  </w:style>
  <w:style w:type="paragraph" w:customStyle="1" w:styleId="3059">
    <w:name w:val="图题注"/>
    <w:basedOn w:val="21"/>
    <w:link w:val="3058"/>
    <w:qFormat/>
    <w:uiPriority w:val="0"/>
    <w:pPr>
      <w:jc w:val="center"/>
    </w:pPr>
    <w:rPr>
      <w:rFonts w:ascii="黑体" w:cs="Times New Roman"/>
      <w:b/>
      <w:bCs/>
      <w:kern w:val="0"/>
      <w:sz w:val="24"/>
      <w:szCs w:val="24"/>
    </w:rPr>
  </w:style>
  <w:style w:type="character" w:customStyle="1" w:styleId="3060">
    <w:name w:val="正文修改 Char1"/>
    <w:link w:val="3061"/>
    <w:qFormat/>
    <w:locked/>
    <w:uiPriority w:val="0"/>
    <w:rPr>
      <w:rFonts w:ascii="宋体" w:hAnsi="宋体"/>
      <w:color w:val="000000"/>
      <w:sz w:val="24"/>
      <w:szCs w:val="24"/>
    </w:rPr>
  </w:style>
  <w:style w:type="paragraph" w:customStyle="1" w:styleId="3061">
    <w:name w:val="正文修改"/>
    <w:basedOn w:val="3053"/>
    <w:link w:val="3060"/>
    <w:autoRedefine/>
    <w:qFormat/>
    <w:uiPriority w:val="0"/>
    <w:rPr>
      <w:color w:val="000000"/>
    </w:rPr>
  </w:style>
  <w:style w:type="character" w:customStyle="1" w:styleId="3062">
    <w:name w:val="俺的正文 Char Char"/>
    <w:link w:val="3063"/>
    <w:qFormat/>
    <w:locked/>
    <w:uiPriority w:val="0"/>
    <w:rPr>
      <w:sz w:val="24"/>
      <w:szCs w:val="24"/>
    </w:rPr>
  </w:style>
  <w:style w:type="paragraph" w:customStyle="1" w:styleId="3063">
    <w:name w:val="俺的正文"/>
    <w:basedOn w:val="1"/>
    <w:link w:val="3062"/>
    <w:qFormat/>
    <w:uiPriority w:val="0"/>
    <w:pPr>
      <w:pBdr>
        <w:top w:val="single" w:color="auto" w:sz="4" w:space="1"/>
      </w:pBdr>
      <w:spacing w:line="460" w:lineRule="exact"/>
      <w:ind w:firstLine="200" w:firstLineChars="200"/>
    </w:pPr>
    <w:rPr>
      <w:kern w:val="0"/>
      <w:sz w:val="24"/>
    </w:rPr>
  </w:style>
  <w:style w:type="character" w:customStyle="1" w:styleId="3064">
    <w:name w:val="样式 正文缩进 + 宋体 黑色 Char Char"/>
    <w:link w:val="3065"/>
    <w:autoRedefine/>
    <w:qFormat/>
    <w:locked/>
    <w:uiPriority w:val="0"/>
    <w:rPr>
      <w:rFonts w:ascii="宋体" w:hAnsi="宋体"/>
      <w:color w:val="000000"/>
      <w:sz w:val="24"/>
      <w:szCs w:val="24"/>
    </w:rPr>
  </w:style>
  <w:style w:type="paragraph" w:customStyle="1" w:styleId="3065">
    <w:name w:val="样式 正文缩进 + 宋体 黑色"/>
    <w:basedOn w:val="12"/>
    <w:link w:val="3064"/>
    <w:autoRedefine/>
    <w:qFormat/>
    <w:uiPriority w:val="0"/>
    <w:pPr>
      <w:spacing w:line="360" w:lineRule="auto"/>
      <w:ind w:firstLine="200"/>
      <w:jc w:val="left"/>
    </w:pPr>
    <w:rPr>
      <w:rFonts w:ascii="宋体" w:hAnsi="宋体"/>
      <w:color w:val="000000"/>
      <w:kern w:val="0"/>
      <w:sz w:val="24"/>
    </w:rPr>
  </w:style>
  <w:style w:type="character" w:customStyle="1" w:styleId="3066">
    <w:name w:val="题3 Char Char"/>
    <w:link w:val="3067"/>
    <w:autoRedefine/>
    <w:qFormat/>
    <w:locked/>
    <w:uiPriority w:val="0"/>
    <w:rPr>
      <w:rFonts w:ascii="Arial" w:hAnsi="Arial" w:cs="Arial"/>
      <w:b/>
      <w:bCs/>
      <w:sz w:val="28"/>
      <w:szCs w:val="28"/>
    </w:rPr>
  </w:style>
  <w:style w:type="paragraph" w:customStyle="1" w:styleId="3067">
    <w:name w:val="题3"/>
    <w:basedOn w:val="75"/>
    <w:link w:val="3066"/>
    <w:qFormat/>
    <w:uiPriority w:val="0"/>
    <w:pPr>
      <w:adjustRightInd w:val="0"/>
      <w:snapToGrid w:val="0"/>
      <w:spacing w:before="120" w:after="120" w:line="360" w:lineRule="auto"/>
      <w:jc w:val="left"/>
      <w:outlineLvl w:val="2"/>
    </w:pPr>
    <w:rPr>
      <w:rFonts w:cs="Arial"/>
      <w:kern w:val="0"/>
      <w:sz w:val="28"/>
      <w:szCs w:val="28"/>
      <w:lang w:val="en-US"/>
    </w:rPr>
  </w:style>
  <w:style w:type="character" w:customStyle="1" w:styleId="3068">
    <w:name w:val="表头编号 Char1"/>
    <w:link w:val="3069"/>
    <w:qFormat/>
    <w:locked/>
    <w:uiPriority w:val="0"/>
    <w:rPr>
      <w:b/>
      <w:color w:val="000000"/>
      <w:spacing w:val="-2"/>
      <w:sz w:val="18"/>
    </w:rPr>
  </w:style>
  <w:style w:type="paragraph" w:customStyle="1" w:styleId="3069">
    <w:name w:val="表头编号"/>
    <w:basedOn w:val="1"/>
    <w:link w:val="3068"/>
    <w:qFormat/>
    <w:uiPriority w:val="0"/>
    <w:pPr>
      <w:snapToGrid w:val="0"/>
      <w:spacing w:line="240" w:lineRule="atLeast"/>
      <w:jc w:val="right"/>
    </w:pPr>
    <w:rPr>
      <w:b/>
      <w:color w:val="000000"/>
      <w:spacing w:val="-2"/>
      <w:kern w:val="0"/>
      <w:sz w:val="18"/>
      <w:szCs w:val="20"/>
    </w:rPr>
  </w:style>
  <w:style w:type="character" w:customStyle="1" w:styleId="3070">
    <w:name w:val="汇报材料正文 Char Char"/>
    <w:link w:val="3071"/>
    <w:autoRedefine/>
    <w:qFormat/>
    <w:locked/>
    <w:uiPriority w:val="0"/>
    <w:rPr>
      <w:rFonts w:ascii="宋体" w:hAnsi="宋体" w:cs="宋体"/>
      <w:bCs/>
      <w:spacing w:val="16"/>
      <w:sz w:val="24"/>
    </w:rPr>
  </w:style>
  <w:style w:type="paragraph" w:customStyle="1" w:styleId="3071">
    <w:name w:val="汇报材料正文"/>
    <w:basedOn w:val="1"/>
    <w:link w:val="3070"/>
    <w:qFormat/>
    <w:uiPriority w:val="0"/>
    <w:pPr>
      <w:adjustRightInd w:val="0"/>
      <w:snapToGrid w:val="0"/>
      <w:spacing w:line="360" w:lineRule="auto"/>
      <w:ind w:firstLine="530" w:firstLineChars="200"/>
      <w:jc w:val="left"/>
    </w:pPr>
    <w:rPr>
      <w:rFonts w:ascii="宋体" w:hAnsi="宋体" w:cs="宋体"/>
      <w:bCs/>
      <w:spacing w:val="16"/>
      <w:kern w:val="0"/>
      <w:sz w:val="24"/>
      <w:szCs w:val="20"/>
    </w:rPr>
  </w:style>
  <w:style w:type="character" w:customStyle="1" w:styleId="3072">
    <w:name w:val="T标题3级 Char Char"/>
    <w:link w:val="3073"/>
    <w:qFormat/>
    <w:locked/>
    <w:uiPriority w:val="0"/>
    <w:rPr>
      <w:rFonts w:ascii="宋体" w:hAnsi="宋体"/>
      <w:b/>
      <w:sz w:val="28"/>
      <w:szCs w:val="28"/>
    </w:rPr>
  </w:style>
  <w:style w:type="paragraph" w:customStyle="1" w:styleId="3073">
    <w:name w:val="T标题3级"/>
    <w:basedOn w:val="5"/>
    <w:next w:val="1"/>
    <w:link w:val="3072"/>
    <w:autoRedefine/>
    <w:qFormat/>
    <w:uiPriority w:val="0"/>
    <w:pPr>
      <w:widowControl/>
      <w:overflowPunct w:val="0"/>
      <w:spacing w:beforeLines="50" w:afterLines="50" w:line="360" w:lineRule="auto"/>
      <w:ind w:left="2100" w:hanging="420"/>
      <w:jc w:val="left"/>
    </w:pPr>
    <w:rPr>
      <w:rFonts w:ascii="宋体" w:hAnsi="宋体"/>
      <w:bCs w:val="0"/>
      <w:kern w:val="0"/>
      <w:sz w:val="28"/>
      <w:szCs w:val="28"/>
    </w:rPr>
  </w:style>
  <w:style w:type="character" w:customStyle="1" w:styleId="3074">
    <w:name w:val="yw正文文本缩进 Char Char"/>
    <w:link w:val="3075"/>
    <w:qFormat/>
    <w:locked/>
    <w:uiPriority w:val="0"/>
    <w:rPr>
      <w:rFonts w:ascii="仿宋_GB2312" w:eastAsia="仿宋_GB2312" w:cs="宋体"/>
      <w:sz w:val="24"/>
    </w:rPr>
  </w:style>
  <w:style w:type="paragraph" w:customStyle="1" w:styleId="3075">
    <w:name w:val="yw正文文本缩进"/>
    <w:basedOn w:val="1"/>
    <w:link w:val="3074"/>
    <w:qFormat/>
    <w:uiPriority w:val="0"/>
    <w:pPr>
      <w:widowControl/>
      <w:overflowPunct w:val="0"/>
      <w:autoSpaceDE w:val="0"/>
      <w:autoSpaceDN w:val="0"/>
      <w:adjustRightInd w:val="0"/>
      <w:snapToGrid w:val="0"/>
      <w:spacing w:line="360" w:lineRule="auto"/>
      <w:ind w:firstLine="200" w:firstLineChars="200"/>
    </w:pPr>
    <w:rPr>
      <w:rFonts w:ascii="仿宋_GB2312" w:eastAsia="仿宋_GB2312" w:cs="宋体"/>
      <w:kern w:val="0"/>
      <w:sz w:val="24"/>
      <w:szCs w:val="20"/>
    </w:rPr>
  </w:style>
  <w:style w:type="paragraph" w:customStyle="1" w:styleId="3076">
    <w:name w:val="正文31"/>
    <w:qFormat/>
    <w:uiPriority w:val="0"/>
    <w:pPr>
      <w:widowControl w:val="0"/>
      <w:adjustRightInd w:val="0"/>
      <w:spacing w:line="312" w:lineRule="atLeast"/>
      <w:jc w:val="both"/>
    </w:pPr>
    <w:rPr>
      <w:rFonts w:ascii="宋体" w:hAnsi="Times New Roman" w:eastAsia="宋体" w:cs="Times New Roman"/>
      <w:sz w:val="34"/>
      <w:lang w:val="en-US" w:eastAsia="zh-CN" w:bidi="ar-SA"/>
    </w:rPr>
  </w:style>
  <w:style w:type="character" w:customStyle="1" w:styleId="3077">
    <w:name w:val="明显参考2"/>
    <w:qFormat/>
    <w:uiPriority w:val="32"/>
    <w:rPr>
      <w:b/>
      <w:bCs/>
      <w:smallCaps/>
      <w:color w:val="C0504D"/>
      <w:spacing w:val="5"/>
      <w:u w:val="single"/>
    </w:rPr>
  </w:style>
  <w:style w:type="character" w:customStyle="1" w:styleId="3078">
    <w:name w:val="书籍标题2"/>
    <w:autoRedefine/>
    <w:qFormat/>
    <w:uiPriority w:val="0"/>
    <w:rPr>
      <w:b/>
      <w:bCs/>
      <w:smallCaps/>
      <w:spacing w:val="5"/>
    </w:rPr>
  </w:style>
  <w:style w:type="character" w:customStyle="1" w:styleId="3079">
    <w:name w:val="正文缩进22"/>
    <w:qFormat/>
    <w:uiPriority w:val="0"/>
    <w:rPr>
      <w:rFonts w:hint="eastAsia" w:ascii="仿宋_GB2312" w:eastAsia="仿宋_GB2312"/>
      <w:kern w:val="2"/>
      <w:sz w:val="28"/>
      <w:szCs w:val="24"/>
      <w:lang w:val="en-US" w:eastAsia="zh-CN" w:bidi="ar-SA"/>
    </w:rPr>
  </w:style>
  <w:style w:type="character" w:customStyle="1" w:styleId="3080">
    <w:name w:val="标题 312"/>
    <w:autoRedefine/>
    <w:qFormat/>
    <w:uiPriority w:val="0"/>
    <w:rPr>
      <w:rFonts w:hint="eastAsia" w:ascii="宋体" w:hAnsi="宋体" w:eastAsia="宋体" w:cs="Times New Roman"/>
      <w:sz w:val="28"/>
      <w:lang w:val="en-US" w:eastAsia="zh-CN" w:bidi="ar-SA"/>
    </w:rPr>
  </w:style>
  <w:style w:type="paragraph" w:customStyle="1" w:styleId="3081">
    <w:name w:val="z-窗体顶端2"/>
    <w:basedOn w:val="1"/>
    <w:next w:val="1"/>
    <w:link w:val="3082"/>
    <w:autoRedefine/>
    <w:unhideWhenUsed/>
    <w:qFormat/>
    <w:uiPriority w:val="99"/>
    <w:pPr>
      <w:pBdr>
        <w:bottom w:val="single" w:color="auto" w:sz="6" w:space="1"/>
      </w:pBdr>
      <w:jc w:val="center"/>
    </w:pPr>
    <w:rPr>
      <w:rFonts w:ascii="Arial" w:hAnsi="Arial"/>
      <w:vanish/>
      <w:sz w:val="16"/>
      <w:szCs w:val="16"/>
      <w:lang w:val="zh-CN"/>
    </w:rPr>
  </w:style>
  <w:style w:type="character" w:customStyle="1" w:styleId="3082">
    <w:name w:val="z-窗体顶端 Char3"/>
    <w:link w:val="3081"/>
    <w:autoRedefine/>
    <w:qFormat/>
    <w:uiPriority w:val="99"/>
    <w:rPr>
      <w:rFonts w:ascii="Arial" w:hAnsi="Arial"/>
      <w:vanish/>
      <w:kern w:val="2"/>
      <w:sz w:val="16"/>
      <w:szCs w:val="16"/>
      <w:lang w:val="zh-CN"/>
    </w:rPr>
  </w:style>
  <w:style w:type="paragraph" w:customStyle="1" w:styleId="3083">
    <w:name w:val="z-窗体底端2"/>
    <w:basedOn w:val="1"/>
    <w:next w:val="1"/>
    <w:link w:val="3084"/>
    <w:autoRedefine/>
    <w:unhideWhenUsed/>
    <w:qFormat/>
    <w:uiPriority w:val="99"/>
    <w:pPr>
      <w:pBdr>
        <w:top w:val="single" w:color="auto" w:sz="6" w:space="1"/>
      </w:pBdr>
      <w:jc w:val="center"/>
    </w:pPr>
    <w:rPr>
      <w:rFonts w:ascii="Arial" w:hAnsi="Arial"/>
      <w:vanish/>
      <w:sz w:val="16"/>
      <w:szCs w:val="16"/>
      <w:lang w:val="zh-CN"/>
    </w:rPr>
  </w:style>
  <w:style w:type="character" w:customStyle="1" w:styleId="3084">
    <w:name w:val="z-窗体底端 Char3"/>
    <w:link w:val="3083"/>
    <w:qFormat/>
    <w:uiPriority w:val="99"/>
    <w:rPr>
      <w:rFonts w:ascii="Arial" w:hAnsi="Arial"/>
      <w:vanish/>
      <w:kern w:val="2"/>
      <w:sz w:val="16"/>
      <w:szCs w:val="16"/>
      <w:lang w:val="zh-CN"/>
    </w:rPr>
  </w:style>
  <w:style w:type="character" w:customStyle="1" w:styleId="3085">
    <w:name w:val="company-content"/>
    <w:autoRedefine/>
    <w:qFormat/>
    <w:uiPriority w:val="0"/>
  </w:style>
  <w:style w:type="character" w:customStyle="1" w:styleId="3086">
    <w:name w:val="标题 32 Char"/>
    <w:autoRedefine/>
    <w:qFormat/>
    <w:uiPriority w:val="0"/>
    <w:rPr>
      <w:rFonts w:hint="eastAsia" w:ascii="黑体" w:hAnsi="黑体" w:eastAsia="黑体"/>
      <w:b/>
      <w:bCs/>
      <w:snapToGrid/>
      <w:color w:val="000000"/>
      <w:sz w:val="24"/>
      <w:szCs w:val="24"/>
      <w:lang w:val="en-US" w:eastAsia="zh-CN"/>
    </w:rPr>
  </w:style>
  <w:style w:type="character" w:customStyle="1" w:styleId="3087">
    <w:name w:val="font101"/>
    <w:autoRedefine/>
    <w:qFormat/>
    <w:uiPriority w:val="0"/>
    <w:rPr>
      <w:rFonts w:hint="eastAsia" w:ascii="宋体" w:hAnsi="宋体" w:eastAsia="宋体"/>
      <w:color w:val="000000"/>
      <w:sz w:val="21"/>
      <w:szCs w:val="21"/>
      <w:u w:val="none"/>
    </w:rPr>
  </w:style>
  <w:style w:type="character" w:customStyle="1" w:styleId="3088">
    <w:name w:val="font61"/>
    <w:qFormat/>
    <w:uiPriority w:val="0"/>
    <w:rPr>
      <w:rFonts w:hint="eastAsia" w:ascii="宋体" w:hAnsi="宋体" w:eastAsia="宋体"/>
      <w:color w:val="000000"/>
      <w:sz w:val="21"/>
      <w:szCs w:val="21"/>
      <w:u w:val="none"/>
    </w:rPr>
  </w:style>
  <w:style w:type="character" w:customStyle="1" w:styleId="3089">
    <w:name w:val="font91"/>
    <w:qFormat/>
    <w:uiPriority w:val="0"/>
    <w:rPr>
      <w:rFonts w:hint="eastAsia" w:ascii="宋体" w:hAnsi="宋体" w:eastAsia="宋体"/>
      <w:color w:val="000000"/>
      <w:sz w:val="21"/>
      <w:szCs w:val="21"/>
      <w:u w:val="none"/>
    </w:rPr>
  </w:style>
  <w:style w:type="character" w:customStyle="1" w:styleId="3090">
    <w:name w:val="Char Char4111"/>
    <w:autoRedefine/>
    <w:qFormat/>
    <w:uiPriority w:val="0"/>
    <w:rPr>
      <w:rFonts w:hint="eastAsia" w:ascii="宋体" w:hAnsi="宋体" w:eastAsia="宋体"/>
      <w:kern w:val="2"/>
      <w:sz w:val="21"/>
      <w:szCs w:val="24"/>
      <w:lang w:val="en-US" w:eastAsia="zh-CN" w:bidi="ar-SA"/>
    </w:rPr>
  </w:style>
  <w:style w:type="character" w:customStyle="1" w:styleId="3091">
    <w:name w:val="标题51"/>
    <w:qFormat/>
    <w:uiPriority w:val="0"/>
  </w:style>
  <w:style w:type="character" w:customStyle="1" w:styleId="3092">
    <w:name w:val="Char Char3111"/>
    <w:qFormat/>
    <w:uiPriority w:val="0"/>
    <w:rPr>
      <w:rFonts w:hint="default" w:ascii="Arial" w:hAnsi="Arial" w:eastAsia="宋体" w:cs="Arial"/>
      <w:b/>
      <w:bCs/>
      <w:kern w:val="2"/>
      <w:sz w:val="32"/>
      <w:szCs w:val="32"/>
      <w:lang w:val="en-US" w:eastAsia="zh-CN" w:bidi="ar-SA"/>
    </w:rPr>
  </w:style>
  <w:style w:type="character" w:customStyle="1" w:styleId="3093">
    <w:name w:val="bds_more1"/>
    <w:qFormat/>
    <w:uiPriority w:val="0"/>
    <w:rPr>
      <w:rFonts w:hint="eastAsia" w:ascii="宋体" w:hAnsi="宋体" w:eastAsia="宋体" w:cs="宋体"/>
    </w:rPr>
  </w:style>
  <w:style w:type="character" w:customStyle="1" w:styleId="3094">
    <w:name w:val="暂定图表名 Char Char Char1"/>
    <w:autoRedefine/>
    <w:qFormat/>
    <w:uiPriority w:val="0"/>
    <w:rPr>
      <w:rFonts w:hint="eastAsia" w:ascii="楷体_GB2312" w:eastAsia="楷体_GB2312"/>
      <w:b/>
      <w:color w:val="008000"/>
      <w:kern w:val="2"/>
      <w:sz w:val="28"/>
      <w:szCs w:val="28"/>
      <w:lang w:val="en-US" w:eastAsia="zh-CN" w:bidi="ar-SA"/>
    </w:rPr>
  </w:style>
  <w:style w:type="character" w:customStyle="1" w:styleId="3095">
    <w:name w:val="正文1 Char Char"/>
    <w:autoRedefine/>
    <w:qFormat/>
    <w:uiPriority w:val="0"/>
    <w:rPr>
      <w:kern w:val="2"/>
      <w:sz w:val="28"/>
    </w:rPr>
  </w:style>
  <w:style w:type="character" w:customStyle="1" w:styleId="3096">
    <w:name w:val="表头 Char Char"/>
    <w:qFormat/>
    <w:uiPriority w:val="0"/>
    <w:rPr>
      <w:rFonts w:hint="eastAsia" w:ascii="黑体" w:hAnsi="黑体" w:eastAsia="黑体"/>
      <w:color w:val="000000"/>
      <w:spacing w:val="-10"/>
      <w:sz w:val="21"/>
    </w:rPr>
  </w:style>
  <w:style w:type="character" w:customStyle="1" w:styleId="3097">
    <w:name w:val="正文文本 Char Char"/>
    <w:qFormat/>
    <w:uiPriority w:val="0"/>
    <w:rPr>
      <w:rFonts w:hint="eastAsia" w:ascii="宋体" w:hAnsi="宋体" w:eastAsia="宋体"/>
      <w:kern w:val="2"/>
      <w:sz w:val="24"/>
      <w:lang w:val="en-US" w:eastAsia="zh-CN" w:bidi="ar-SA"/>
    </w:rPr>
  </w:style>
  <w:style w:type="character" w:customStyle="1" w:styleId="3098">
    <w:name w:val="Char Char171"/>
    <w:autoRedefine/>
    <w:qFormat/>
    <w:uiPriority w:val="0"/>
    <w:rPr>
      <w:rFonts w:hint="eastAsia" w:ascii="宋体" w:hAnsi="宋体" w:eastAsia="宋体"/>
      <w:kern w:val="2"/>
      <w:sz w:val="24"/>
      <w:lang w:val="en-US" w:eastAsia="zh-CN" w:bidi="ar-SA"/>
    </w:rPr>
  </w:style>
  <w:style w:type="character" w:customStyle="1" w:styleId="3099">
    <w:name w:val="font51"/>
    <w:autoRedefine/>
    <w:qFormat/>
    <w:uiPriority w:val="0"/>
    <w:rPr>
      <w:rFonts w:hint="default" w:ascii="Times New Roman" w:hAnsi="Times New Roman" w:cs="Times New Roman"/>
      <w:color w:val="000000"/>
      <w:sz w:val="21"/>
      <w:szCs w:val="21"/>
      <w:u w:val="none"/>
    </w:rPr>
  </w:style>
  <w:style w:type="character" w:customStyle="1" w:styleId="3100">
    <w:name w:val="批注引用1"/>
    <w:autoRedefine/>
    <w:qFormat/>
    <w:uiPriority w:val="0"/>
    <w:rPr>
      <w:sz w:val="21"/>
      <w:szCs w:val="21"/>
    </w:rPr>
  </w:style>
  <w:style w:type="character" w:customStyle="1" w:styleId="3101">
    <w:name w:val="标题 4 Char Char Char Char Char Char Char Char Char Char Char Char Char Char Char Char Char Char Char"/>
    <w:autoRedefine/>
    <w:qFormat/>
    <w:uiPriority w:val="0"/>
    <w:rPr>
      <w:rFonts w:hint="default" w:ascii="Arial" w:hAnsi="Arial" w:eastAsia="黑体" w:cs="Arial"/>
      <w:b/>
      <w:bCs/>
      <w:snapToGrid/>
      <w:sz w:val="24"/>
      <w:szCs w:val="28"/>
      <w:lang w:val="en-US" w:eastAsia="zh-CN"/>
    </w:rPr>
  </w:style>
  <w:style w:type="character" w:customStyle="1" w:styleId="3102">
    <w:name w:val="google-src-text1"/>
    <w:autoRedefine/>
    <w:qFormat/>
    <w:uiPriority w:val="0"/>
    <w:rPr>
      <w:vanish/>
    </w:rPr>
  </w:style>
  <w:style w:type="character" w:customStyle="1" w:styleId="3103">
    <w:name w:val="明显参考11"/>
    <w:autoRedefine/>
    <w:qFormat/>
    <w:uiPriority w:val="32"/>
    <w:rPr>
      <w:b/>
      <w:bCs/>
      <w:smallCaps/>
      <w:color w:val="C0504D"/>
      <w:spacing w:val="5"/>
      <w:u w:val="single"/>
    </w:rPr>
  </w:style>
  <w:style w:type="character" w:customStyle="1" w:styleId="3104">
    <w:name w:val="t11"/>
    <w:qFormat/>
    <w:uiPriority w:val="0"/>
    <w:rPr>
      <w:color w:val="000000"/>
      <w:sz w:val="18"/>
      <w:szCs w:val="18"/>
    </w:rPr>
  </w:style>
  <w:style w:type="character" w:customStyle="1" w:styleId="3105">
    <w:name w:val="style181"/>
    <w:qFormat/>
    <w:uiPriority w:val="0"/>
    <w:rPr>
      <w:color w:val="000000"/>
    </w:rPr>
  </w:style>
  <w:style w:type="character" w:customStyle="1" w:styleId="3106">
    <w:name w:val="标题 5 Char2"/>
    <w:qFormat/>
    <w:uiPriority w:val="0"/>
    <w:rPr>
      <w:rFonts w:hint="default" w:ascii="Times New Roman" w:hAnsi="Times New Roman" w:eastAsia="宋体" w:cs="Times New Roman"/>
      <w:b/>
      <w:bCs/>
      <w:kern w:val="2"/>
      <w:sz w:val="28"/>
      <w:szCs w:val="28"/>
      <w:lang w:val="en-US" w:eastAsia="zh-CN" w:bidi="ar-SA"/>
    </w:rPr>
  </w:style>
  <w:style w:type="character" w:customStyle="1" w:styleId="3107">
    <w:name w:val="图表题 Char2"/>
    <w:qFormat/>
    <w:uiPriority w:val="0"/>
    <w:rPr>
      <w:rFonts w:hint="eastAsia" w:ascii="黑体" w:hAnsi="宋体" w:eastAsia="黑体" w:cs="宋体"/>
      <w:b/>
      <w:bCs/>
      <w:kern w:val="2"/>
      <w:sz w:val="24"/>
      <w:szCs w:val="24"/>
      <w:lang w:val="en-US" w:eastAsia="zh-CN" w:bidi="ar-SA"/>
    </w:rPr>
  </w:style>
  <w:style w:type="character" w:customStyle="1" w:styleId="3108">
    <w:name w:val="标题 2 Char21"/>
    <w:autoRedefine/>
    <w:qFormat/>
    <w:uiPriority w:val="0"/>
    <w:rPr>
      <w:rFonts w:hint="eastAsia" w:ascii="黑体" w:hAnsi="Arial" w:eastAsia="黑体"/>
      <w:b/>
      <w:bCs/>
      <w:kern w:val="2"/>
      <w:sz w:val="30"/>
      <w:szCs w:val="30"/>
      <w:lang w:val="en-US" w:eastAsia="zh-CN" w:bidi="ar-SA"/>
    </w:rPr>
  </w:style>
  <w:style w:type="character" w:customStyle="1" w:styleId="3109">
    <w:name w:val="Char Char510"/>
    <w:qFormat/>
    <w:uiPriority w:val="0"/>
    <w:rPr>
      <w:rFonts w:hint="eastAsia" w:ascii="黑体" w:hAnsi="宋体" w:eastAsia="黑体"/>
      <w:bCs/>
      <w:kern w:val="2"/>
      <w:sz w:val="28"/>
      <w:szCs w:val="28"/>
      <w:lang w:val="en-US" w:eastAsia="zh-CN" w:bidi="ar-SA"/>
    </w:rPr>
  </w:style>
  <w:style w:type="character" w:customStyle="1" w:styleId="3110">
    <w:name w:val="样式 标题 3 + 左侧:  0 厘米 首行缩进:  0 厘米 Char Char Char1"/>
    <w:qFormat/>
    <w:uiPriority w:val="0"/>
    <w:rPr>
      <w:rFonts w:hint="eastAsia" w:ascii="宋体" w:hAnsi="宋体" w:eastAsia="宋体"/>
      <w:b/>
      <w:bCs/>
      <w:kern w:val="32"/>
      <w:sz w:val="32"/>
      <w:szCs w:val="32"/>
      <w:lang w:val="en-US" w:eastAsia="zh-CN" w:bidi="ar-SA"/>
    </w:rPr>
  </w:style>
  <w:style w:type="character" w:customStyle="1" w:styleId="3111">
    <w:name w:val="燕山正文 Char111"/>
    <w:autoRedefine/>
    <w:qFormat/>
    <w:uiPriority w:val="0"/>
    <w:rPr>
      <w:rFonts w:hint="eastAsia" w:ascii="宋体" w:hAnsi="宋体" w:eastAsia="宋体" w:cs="宋体"/>
      <w:kern w:val="2"/>
      <w:sz w:val="24"/>
      <w:szCs w:val="24"/>
      <w:lang w:val="en-US" w:eastAsia="zh-CN" w:bidi="ar-SA"/>
    </w:rPr>
  </w:style>
  <w:style w:type="character" w:customStyle="1" w:styleId="3112">
    <w:name w:val="标题 4 Char2 Char"/>
    <w:autoRedefine/>
    <w:qFormat/>
    <w:uiPriority w:val="9"/>
    <w:rPr>
      <w:rFonts w:hint="default" w:ascii="Arial" w:hAnsi="Arial" w:eastAsia="黑体" w:cs="Arial"/>
      <w:b/>
      <w:bCs/>
      <w:kern w:val="2"/>
      <w:sz w:val="28"/>
      <w:szCs w:val="28"/>
      <w:lang w:val="en-US" w:eastAsia="zh-CN" w:bidi="ar-SA"/>
    </w:rPr>
  </w:style>
  <w:style w:type="character" w:customStyle="1" w:styleId="3113">
    <w:name w:val="批注框文本 Char5"/>
    <w:qFormat/>
    <w:uiPriority w:val="0"/>
    <w:rPr>
      <w:rFonts w:hint="eastAsia" w:ascii="宋体" w:hAnsi="宋体" w:eastAsia="宋体"/>
      <w:kern w:val="2"/>
      <w:sz w:val="18"/>
      <w:szCs w:val="18"/>
      <w:lang w:val="en-US" w:eastAsia="zh-CN" w:bidi="ar-SA"/>
    </w:rPr>
  </w:style>
  <w:style w:type="character" w:customStyle="1" w:styleId="3114">
    <w:name w:val="b14-1-no1"/>
    <w:autoRedefine/>
    <w:qFormat/>
    <w:uiPriority w:val="0"/>
    <w:rPr>
      <w:color w:val="2E2E2E"/>
      <w:sz w:val="20"/>
      <w:szCs w:val="20"/>
      <w:u w:val="none"/>
    </w:rPr>
  </w:style>
  <w:style w:type="character" w:customStyle="1" w:styleId="3115">
    <w:name w:val="9 Char Char Char Char"/>
    <w:qFormat/>
    <w:uiPriority w:val="0"/>
    <w:rPr>
      <w:rFonts w:hint="eastAsia" w:ascii="宋体" w:hAnsi="宋体" w:eastAsia="宋体"/>
      <w:kern w:val="2"/>
      <w:sz w:val="28"/>
      <w:szCs w:val="28"/>
      <w:lang w:val="en-US" w:eastAsia="zh-CN" w:bidi="ar-SA"/>
    </w:rPr>
  </w:style>
  <w:style w:type="character" w:customStyle="1" w:styleId="3116">
    <w:name w:val="HTML 地址 Char2"/>
    <w:autoRedefine/>
    <w:qFormat/>
    <w:locked/>
    <w:uiPriority w:val="0"/>
    <w:rPr>
      <w:rFonts w:ascii="Arial" w:hAnsi="Arial" w:eastAsia="仿宋_GB2312"/>
      <w:i/>
      <w:iCs/>
      <w:lang w:val="zh-CN"/>
    </w:rPr>
  </w:style>
  <w:style w:type="character" w:customStyle="1" w:styleId="3117">
    <w:name w:val="表格文本 Char"/>
    <w:link w:val="2709"/>
    <w:autoRedefine/>
    <w:qFormat/>
    <w:locked/>
    <w:uiPriority w:val="99"/>
    <w:rPr>
      <w:kern w:val="2"/>
      <w:sz w:val="21"/>
    </w:rPr>
  </w:style>
  <w:style w:type="character" w:customStyle="1" w:styleId="3118">
    <w:name w:val="表题 Char"/>
    <w:link w:val="158"/>
    <w:qFormat/>
    <w:locked/>
    <w:uiPriority w:val="99"/>
    <w:rPr>
      <w:b/>
      <w:kern w:val="2"/>
      <w:sz w:val="24"/>
      <w:szCs w:val="24"/>
    </w:rPr>
  </w:style>
  <w:style w:type="character" w:customStyle="1" w:styleId="3119">
    <w:name w:val="样式1 字符"/>
    <w:autoRedefine/>
    <w:qFormat/>
    <w:uiPriority w:val="0"/>
    <w:rPr>
      <w:rFonts w:cs="宋体"/>
      <w:sz w:val="24"/>
      <w:szCs w:val="21"/>
    </w:rPr>
  </w:style>
  <w:style w:type="character" w:customStyle="1" w:styleId="3120">
    <w:name w:val="表 字符"/>
    <w:link w:val="1700"/>
    <w:qFormat/>
    <w:uiPriority w:val="0"/>
    <w:rPr>
      <w:rFonts w:eastAsia="仿宋_GB2312"/>
      <w:color w:val="000000"/>
      <w:kern w:val="21"/>
      <w:sz w:val="21"/>
      <w:szCs w:val="24"/>
    </w:rPr>
  </w:style>
  <w:style w:type="paragraph" w:styleId="3121">
    <w:name w:val="List Paragraph"/>
    <w:basedOn w:val="1"/>
    <w:autoRedefine/>
    <w:qFormat/>
    <w:uiPriority w:val="99"/>
    <w:pPr>
      <w:ind w:firstLine="420" w:firstLineChars="200"/>
    </w:pPr>
  </w:style>
  <w:style w:type="character" w:styleId="3122">
    <w:name w:val="Placeholder Text"/>
    <w:basedOn w:val="80"/>
    <w:unhideWhenUsed/>
    <w:qFormat/>
    <w:uiPriority w:val="99"/>
    <w:rPr>
      <w:color w:val="808080"/>
    </w:rPr>
  </w:style>
  <w:style w:type="character" w:customStyle="1" w:styleId="3123">
    <w:name w:val="正文！！！ 字符"/>
    <w:link w:val="3124"/>
    <w:qFormat/>
    <w:uiPriority w:val="0"/>
    <w:rPr>
      <w:kern w:val="2"/>
      <w:sz w:val="21"/>
      <w:szCs w:val="24"/>
    </w:rPr>
  </w:style>
  <w:style w:type="paragraph" w:customStyle="1" w:styleId="3124">
    <w:name w:val="正文！！！"/>
    <w:basedOn w:val="1"/>
    <w:link w:val="3123"/>
    <w:qFormat/>
    <w:uiPriority w:val="0"/>
    <w:pPr>
      <w:spacing w:line="500" w:lineRule="exact"/>
      <w:ind w:firstLine="480" w:firstLineChars="200"/>
    </w:pPr>
  </w:style>
  <w:style w:type="character" w:customStyle="1" w:styleId="3125">
    <w:name w:val="样式 标题 3 + (符号) 宋体 Char"/>
    <w:link w:val="3126"/>
    <w:autoRedefine/>
    <w:qFormat/>
    <w:uiPriority w:val="0"/>
    <w:rPr>
      <w:b/>
      <w:bCs/>
      <w:kern w:val="2"/>
      <w:sz w:val="32"/>
      <w:szCs w:val="32"/>
    </w:rPr>
  </w:style>
  <w:style w:type="paragraph" w:customStyle="1" w:styleId="3126">
    <w:name w:val="样式 标题 3 + (符号) 宋体"/>
    <w:basedOn w:val="5"/>
    <w:link w:val="3125"/>
    <w:autoRedefine/>
    <w:qFormat/>
    <w:uiPriority w:val="0"/>
    <w:pPr>
      <w:tabs>
        <w:tab w:val="left" w:pos="720"/>
      </w:tabs>
      <w:spacing w:line="415" w:lineRule="auto"/>
      <w:ind w:left="720" w:hanging="720"/>
    </w:pPr>
  </w:style>
  <w:style w:type="paragraph" w:customStyle="1" w:styleId="3127">
    <w:name w:val="custom_unionstyle"/>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3128">
    <w:name w:val="A0正文"/>
    <w:basedOn w:val="1"/>
    <w:link w:val="3129"/>
    <w:qFormat/>
    <w:uiPriority w:val="0"/>
    <w:pPr>
      <w:spacing w:line="560" w:lineRule="exact"/>
      <w:ind w:firstLine="200" w:firstLineChars="200"/>
    </w:pPr>
    <w:rPr>
      <w:rFonts w:cs="宋体"/>
      <w:sz w:val="24"/>
      <w:szCs w:val="20"/>
      <w:lang w:val="zh-CN"/>
    </w:rPr>
  </w:style>
  <w:style w:type="character" w:customStyle="1" w:styleId="3129">
    <w:name w:val="A0正文 Char"/>
    <w:link w:val="3128"/>
    <w:qFormat/>
    <w:uiPriority w:val="0"/>
    <w:rPr>
      <w:rFonts w:cs="宋体"/>
      <w:kern w:val="2"/>
      <w:sz w:val="24"/>
      <w:lang w:val="zh-CN"/>
    </w:rPr>
  </w:style>
  <w:style w:type="paragraph" w:styleId="3130">
    <w:name w:val="No Spacing"/>
    <w:qFormat/>
    <w:uiPriority w:val="1"/>
    <w:pPr>
      <w:widowControl w:val="0"/>
      <w:jc w:val="both"/>
    </w:pPr>
    <w:rPr>
      <w:rFonts w:ascii="Times New Roman" w:hAnsi="Times New Roman" w:eastAsia="宋体" w:cstheme="minorBidi"/>
      <w:kern w:val="2"/>
      <w:sz w:val="18"/>
      <w:szCs w:val="22"/>
      <w:lang w:val="en-US" w:eastAsia="zh-CN" w:bidi="ar-SA"/>
    </w:rPr>
  </w:style>
  <w:style w:type="character" w:customStyle="1" w:styleId="3131">
    <w:name w:val="正文1 字符"/>
    <w:link w:val="343"/>
    <w:autoRedefine/>
    <w:qFormat/>
    <w:uiPriority w:val="0"/>
    <w:rPr>
      <w:color w:val="000000"/>
      <w:kern w:val="2"/>
      <w:sz w:val="24"/>
      <w:szCs w:val="24"/>
      <w:lang w:val="zh-CN"/>
    </w:rPr>
  </w:style>
  <w:style w:type="character" w:customStyle="1" w:styleId="3132">
    <w:name w:val="1表格 字符"/>
    <w:link w:val="2525"/>
    <w:autoRedefine/>
    <w:qFormat/>
    <w:uiPriority w:val="0"/>
    <w:rPr>
      <w:rFonts w:ascii="宋体" w:hAnsi="宋体" w:cs="宋体"/>
      <w:spacing w:val="4"/>
      <w:sz w:val="24"/>
    </w:rPr>
  </w:style>
  <w:style w:type="paragraph" w:customStyle="1" w:styleId="3133">
    <w:name w:val="01正文"/>
    <w:basedOn w:val="1"/>
    <w:autoRedefine/>
    <w:qFormat/>
    <w:uiPriority w:val="0"/>
    <w:pPr>
      <w:adjustRightInd w:val="0"/>
      <w:snapToGrid w:val="0"/>
      <w:spacing w:line="360" w:lineRule="auto"/>
      <w:ind w:firstLine="200" w:firstLineChars="200"/>
    </w:pPr>
    <w:rPr>
      <w:color w:val="3333FF"/>
      <w:sz w:val="24"/>
    </w:rPr>
  </w:style>
  <w:style w:type="paragraph" w:customStyle="1" w:styleId="3134">
    <w:name w:val="03表格正文"/>
    <w:basedOn w:val="1"/>
    <w:autoRedefine/>
    <w:qFormat/>
    <w:uiPriority w:val="0"/>
    <w:pPr>
      <w:adjustRightInd w:val="0"/>
      <w:snapToGrid w:val="0"/>
      <w:jc w:val="center"/>
    </w:pPr>
    <w:rPr>
      <w:color w:val="0000FF"/>
      <w:kern w:val="44"/>
      <w:sz w:val="20"/>
      <w:szCs w:val="20"/>
    </w:rPr>
  </w:style>
  <w:style w:type="paragraph" w:customStyle="1" w:styleId="3135">
    <w:name w:val="图表内容NJPEC"/>
    <w:basedOn w:val="1"/>
    <w:autoRedefine/>
    <w:qFormat/>
    <w:uiPriority w:val="0"/>
    <w:pPr>
      <w:spacing w:before="25" w:beforeLines="25" w:after="25" w:afterLines="25"/>
      <w:jc w:val="center"/>
    </w:pPr>
    <w:rPr>
      <w:rFonts w:ascii="Times New Roman" w:eastAsia="宋体"/>
      <w:spacing w:val="0"/>
      <w:kern w:val="2"/>
      <w:sz w:val="21"/>
      <w:szCs w:val="24"/>
    </w:rPr>
  </w:style>
  <w:style w:type="paragraph" w:customStyle="1" w:styleId="3136">
    <w:name w:val="图表 标题"/>
    <w:autoRedefine/>
    <w:qFormat/>
    <w:uiPriority w:val="0"/>
    <w:pPr>
      <w:widowControl w:val="0"/>
      <w:spacing w:beforeLines="20" w:afterLines="20"/>
      <w:jc w:val="center"/>
    </w:pPr>
    <w:rPr>
      <w:rFonts w:ascii="Times New Roman" w:hAnsi="Times New Roman" w:eastAsia="仿宋_GB2312" w:cs="Times New Roman"/>
      <w:b/>
      <w:kern w:val="2"/>
      <w:sz w:val="24"/>
      <w:szCs w:val="24"/>
      <w:lang w:val="en-US" w:eastAsia="zh-CN" w:bidi="ar-SA"/>
    </w:rPr>
  </w:style>
  <w:style w:type="paragraph" w:customStyle="1" w:styleId="3137">
    <w:name w:val="表格首行"/>
    <w:basedOn w:val="1"/>
    <w:autoRedefine/>
    <w:qFormat/>
    <w:uiPriority w:val="0"/>
    <w:pPr>
      <w:jc w:val="center"/>
    </w:pPr>
    <w:rPr>
      <w:rFonts w:ascii="Times New Roman" w:eastAsia="仿宋_GB2312"/>
      <w:b/>
      <w:spacing w:val="0"/>
      <w:kern w:val="2"/>
      <w:sz w:val="21"/>
      <w:szCs w:val="21"/>
    </w:rPr>
  </w:style>
  <w:style w:type="paragraph" w:customStyle="1" w:styleId="3138">
    <w:name w:val="表格普通"/>
    <w:basedOn w:val="1"/>
    <w:qFormat/>
    <w:uiPriority w:val="0"/>
    <w:pPr>
      <w:jc w:val="center"/>
    </w:pPr>
    <w:rPr>
      <w:rFonts w:ascii="Times New Roman" w:eastAsia="仿宋_GB2312"/>
      <w:spacing w:val="0"/>
      <w:kern w:val="2"/>
      <w:sz w:val="21"/>
      <w:szCs w:val="21"/>
    </w:rPr>
  </w:style>
  <w:style w:type="paragraph" w:customStyle="1" w:styleId="3139">
    <w:name w:val="样式36"/>
    <w:basedOn w:val="1"/>
    <w:autoRedefine/>
    <w:qFormat/>
    <w:uiPriority w:val="0"/>
    <w:pPr>
      <w:adjustRightInd w:val="0"/>
      <w:snapToGrid w:val="0"/>
      <w:spacing w:line="360" w:lineRule="auto"/>
      <w:ind w:firstLine="1040" w:firstLineChars="200"/>
    </w:pPr>
    <w:rPr>
      <w:rFonts w:ascii="Times New Roman" w:eastAsia="宋体"/>
      <w:spacing w:val="0"/>
      <w:kern w:val="2"/>
      <w:sz w:val="24"/>
      <w:szCs w:val="24"/>
    </w:rPr>
  </w:style>
  <w:style w:type="paragraph" w:customStyle="1" w:styleId="3140">
    <w:name w:val="lee正文"/>
    <w:basedOn w:val="1"/>
    <w:qFormat/>
    <w:uiPriority w:val="0"/>
    <w:pPr>
      <w:spacing w:line="500" w:lineRule="exact"/>
      <w:ind w:firstLine="200" w:firstLineChars="200"/>
    </w:pPr>
    <w:rPr>
      <w:sz w:val="24"/>
      <w:szCs w:val="21"/>
    </w:rPr>
  </w:style>
  <w:style w:type="paragraph" w:customStyle="1" w:styleId="3141">
    <w:name w:val="！lee表"/>
    <w:basedOn w:val="1"/>
    <w:autoRedefine/>
    <w:qFormat/>
    <w:uiPriority w:val="0"/>
    <w:pPr>
      <w:jc w:val="center"/>
    </w:pPr>
    <w:rPr>
      <w:kern w:val="0"/>
      <w:szCs w:val="20"/>
    </w:rPr>
  </w:style>
  <w:style w:type="character" w:customStyle="1" w:styleId="3142">
    <w:name w:val="表中文字 Char"/>
    <w:link w:val="1714"/>
    <w:autoRedefine/>
    <w:qFormat/>
    <w:uiPriority w:val="0"/>
    <w:rPr>
      <w:szCs w:val="20"/>
    </w:rPr>
  </w:style>
  <w:style w:type="character" w:customStyle="1" w:styleId="3143">
    <w:name w:val="小标题 Char"/>
    <w:link w:val="2647"/>
    <w:autoRedefine/>
    <w:qFormat/>
    <w:uiPriority w:val="0"/>
    <w:rPr>
      <w:rFonts w:ascii="Abadi MT Condensed" w:hAnsi="Abadi MT Condensed"/>
      <w:bCs/>
      <w:kern w:val="0"/>
      <w:sz w:val="24"/>
      <w:szCs w:val="20"/>
    </w:rPr>
  </w:style>
  <w:style w:type="character" w:customStyle="1" w:styleId="3144">
    <w:name w:val="正文 4 Char"/>
    <w:link w:val="3145"/>
    <w:autoRedefine/>
    <w:qFormat/>
    <w:locked/>
    <w:uiPriority w:val="0"/>
    <w:rPr>
      <w:rFonts w:asciiTheme="minorHAnsi" w:hAnsiTheme="minorHAnsi" w:eastAsiaTheme="minorEastAsia"/>
      <w:bCs/>
      <w:szCs w:val="24"/>
    </w:rPr>
  </w:style>
  <w:style w:type="paragraph" w:customStyle="1" w:styleId="3145">
    <w:name w:val="正文 4"/>
    <w:basedOn w:val="1"/>
    <w:link w:val="3144"/>
    <w:qFormat/>
    <w:uiPriority w:val="0"/>
    <w:pPr>
      <w:autoSpaceDE w:val="0"/>
      <w:autoSpaceDN w:val="0"/>
      <w:adjustRightInd w:val="0"/>
      <w:snapToGrid w:val="0"/>
      <w:spacing w:line="360" w:lineRule="auto"/>
      <w:ind w:firstLine="480"/>
    </w:pPr>
    <w:rPr>
      <w:rFonts w:asciiTheme="minorHAnsi" w:hAnsiTheme="minorHAnsi" w:eastAsiaTheme="minorEastAsia"/>
      <w:bCs/>
      <w:szCs w:val="24"/>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footer" Target="footer4.xml"/><Relationship Id="rId7" Type="http://schemas.openxmlformats.org/officeDocument/2006/relationships/footer" Target="footer3.xml"/><Relationship Id="rId66" Type="http://schemas.openxmlformats.org/officeDocument/2006/relationships/fontTable" Target="fontTable.xml"/><Relationship Id="rId65" Type="http://schemas.openxmlformats.org/officeDocument/2006/relationships/customXml" Target="../customXml/item2.xml"/><Relationship Id="rId64" Type="http://schemas.openxmlformats.org/officeDocument/2006/relationships/numbering" Target="numbering.xml"/><Relationship Id="rId63" Type="http://schemas.openxmlformats.org/officeDocument/2006/relationships/customXml" Target="../customXml/item1.xml"/><Relationship Id="rId62" Type="http://schemas.openxmlformats.org/officeDocument/2006/relationships/image" Target="media/image52.png"/><Relationship Id="rId61" Type="http://schemas.openxmlformats.org/officeDocument/2006/relationships/image" Target="media/image51.png"/><Relationship Id="rId60" Type="http://schemas.openxmlformats.org/officeDocument/2006/relationships/image" Target="media/image50.png"/><Relationship Id="rId6" Type="http://schemas.openxmlformats.org/officeDocument/2006/relationships/footer" Target="footer2.xml"/><Relationship Id="rId59" Type="http://schemas.openxmlformats.org/officeDocument/2006/relationships/image" Target="media/image49.png"/><Relationship Id="rId58" Type="http://schemas.openxmlformats.org/officeDocument/2006/relationships/image" Target="media/image48.emf"/><Relationship Id="rId57" Type="http://schemas.openxmlformats.org/officeDocument/2006/relationships/image" Target="media/image47.png"/><Relationship Id="rId56" Type="http://schemas.openxmlformats.org/officeDocument/2006/relationships/image" Target="media/image46.emf"/><Relationship Id="rId55" Type="http://schemas.openxmlformats.org/officeDocument/2006/relationships/image" Target="media/image45.png"/><Relationship Id="rId54" Type="http://schemas.openxmlformats.org/officeDocument/2006/relationships/image" Target="media/image44.png"/><Relationship Id="rId53" Type="http://schemas.openxmlformats.org/officeDocument/2006/relationships/image" Target="media/image43.png"/><Relationship Id="rId52" Type="http://schemas.openxmlformats.org/officeDocument/2006/relationships/image" Target="media/image42.png"/><Relationship Id="rId51" Type="http://schemas.openxmlformats.org/officeDocument/2006/relationships/image" Target="media/image41.png"/><Relationship Id="rId50" Type="http://schemas.openxmlformats.org/officeDocument/2006/relationships/image" Target="media/image40.png"/><Relationship Id="rId5" Type="http://schemas.openxmlformats.org/officeDocument/2006/relationships/footer" Target="footer1.xml"/><Relationship Id="rId49" Type="http://schemas.openxmlformats.org/officeDocument/2006/relationships/image" Target="media/image39.png"/><Relationship Id="rId48" Type="http://schemas.openxmlformats.org/officeDocument/2006/relationships/image" Target="media/image38.png"/><Relationship Id="rId47" Type="http://schemas.openxmlformats.org/officeDocument/2006/relationships/image" Target="media/image37.jpeg"/><Relationship Id="rId46" Type="http://schemas.openxmlformats.org/officeDocument/2006/relationships/image" Target="media/image36.jpeg"/><Relationship Id="rId45" Type="http://schemas.openxmlformats.org/officeDocument/2006/relationships/image" Target="media/image35.jpeg"/><Relationship Id="rId44" Type="http://schemas.openxmlformats.org/officeDocument/2006/relationships/image" Target="media/image34.jpeg"/><Relationship Id="rId43" Type="http://schemas.openxmlformats.org/officeDocument/2006/relationships/image" Target="media/image33.jpeg"/><Relationship Id="rId42" Type="http://schemas.openxmlformats.org/officeDocument/2006/relationships/image" Target="media/image32.jpeg"/><Relationship Id="rId41" Type="http://schemas.openxmlformats.org/officeDocument/2006/relationships/image" Target="media/image31.jpeg"/><Relationship Id="rId40" Type="http://schemas.openxmlformats.org/officeDocument/2006/relationships/image" Target="media/image30.jpeg"/><Relationship Id="rId4" Type="http://schemas.openxmlformats.org/officeDocument/2006/relationships/header" Target="header2.xml"/><Relationship Id="rId39" Type="http://schemas.openxmlformats.org/officeDocument/2006/relationships/image" Target="media/image29.jpeg"/><Relationship Id="rId38" Type="http://schemas.openxmlformats.org/officeDocument/2006/relationships/image" Target="media/image28.png"/><Relationship Id="rId37" Type="http://schemas.openxmlformats.org/officeDocument/2006/relationships/image" Target="media/image27.png"/><Relationship Id="rId36" Type="http://schemas.openxmlformats.org/officeDocument/2006/relationships/image" Target="media/image26.png"/><Relationship Id="rId35" Type="http://schemas.openxmlformats.org/officeDocument/2006/relationships/image" Target="media/image25.png"/><Relationship Id="rId34" Type="http://schemas.openxmlformats.org/officeDocument/2006/relationships/image" Target="media/image24.jpeg"/><Relationship Id="rId33" Type="http://schemas.openxmlformats.org/officeDocument/2006/relationships/image" Target="media/image23.jpeg"/><Relationship Id="rId32" Type="http://schemas.openxmlformats.org/officeDocument/2006/relationships/image" Target="media/image22.jpeg"/><Relationship Id="rId31" Type="http://schemas.openxmlformats.org/officeDocument/2006/relationships/image" Target="media/image21.jpeg"/><Relationship Id="rId30" Type="http://schemas.openxmlformats.org/officeDocument/2006/relationships/image" Target="media/image20.jpeg"/><Relationship Id="rId3" Type="http://schemas.openxmlformats.org/officeDocument/2006/relationships/header" Target="header1.xml"/><Relationship Id="rId29" Type="http://schemas.openxmlformats.org/officeDocument/2006/relationships/image" Target="media/image19.jpeg"/><Relationship Id="rId28" Type="http://schemas.openxmlformats.org/officeDocument/2006/relationships/image" Target="media/image18.jpeg"/><Relationship Id="rId27" Type="http://schemas.openxmlformats.org/officeDocument/2006/relationships/image" Target="media/image17.jpeg"/><Relationship Id="rId26" Type="http://schemas.openxmlformats.org/officeDocument/2006/relationships/image" Target="media/image16.jpeg"/><Relationship Id="rId25" Type="http://schemas.openxmlformats.org/officeDocument/2006/relationships/image" Target="media/image15.jpeg"/><Relationship Id="rId24" Type="http://schemas.openxmlformats.org/officeDocument/2006/relationships/image" Target="media/image14.jpeg"/><Relationship Id="rId23" Type="http://schemas.openxmlformats.org/officeDocument/2006/relationships/image" Target="media/image13.jpeg"/><Relationship Id="rId22" Type="http://schemas.openxmlformats.org/officeDocument/2006/relationships/image" Target="media/image12.png"/><Relationship Id="rId21" Type="http://schemas.openxmlformats.org/officeDocument/2006/relationships/image" Target="media/image11.png"/><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wmf"/><Relationship Id="rId18" Type="http://schemas.openxmlformats.org/officeDocument/2006/relationships/image" Target="media/image8.jpeg"/><Relationship Id="rId17" Type="http://schemas.openxmlformats.org/officeDocument/2006/relationships/image" Target="media/image7.jpeg"/><Relationship Id="rId16" Type="http://schemas.openxmlformats.org/officeDocument/2006/relationships/image" Target="media/image6.png"/><Relationship Id="rId15" Type="http://schemas.openxmlformats.org/officeDocument/2006/relationships/image" Target="media/image5.jpeg"/><Relationship Id="rId14" Type="http://schemas.openxmlformats.org/officeDocument/2006/relationships/image" Target="media/image4.jpeg"/><Relationship Id="rId13" Type="http://schemas.openxmlformats.org/officeDocument/2006/relationships/image" Target="media/image3.jpeg"/><Relationship Id="rId12" Type="http://schemas.openxmlformats.org/officeDocument/2006/relationships/image" Target="media/image2.jpeg"/><Relationship Id="rId11" Type="http://schemas.openxmlformats.org/officeDocument/2006/relationships/image" Target="media/image1.jpeg"/><Relationship Id="rId10" Type="http://schemas.openxmlformats.org/officeDocument/2006/relationships/theme" Target="theme/theme1.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85E8A5E-042F-4F22-B0DA-099EA7E8A2F5}">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136</Pages>
  <Words>12066</Words>
  <Characters>13068</Characters>
  <Lines>307</Lines>
  <Paragraphs>86</Paragraphs>
  <TotalTime>30</TotalTime>
  <ScaleCrop>false</ScaleCrop>
  <LinksUpToDate>false</LinksUpToDate>
  <CharactersWithSpaces>14952</CharactersWithSpaces>
  <Application>WPS Office_12.1.0.18608_F1E327BC-269C-435d-A152-05C5408002CA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2022-07-20T10:02:00Z</dcterms:created>
  <dc:creator>lhj</dc:creator>
  <cp:lastModifiedBy>任静</cp:lastModifiedBy>
  <cp:lastPrinted>2024-09-19T02:20:00Z</cp:lastPrinted>
  <dcterms:modified xsi:type="dcterms:W3CDTF">2024-10-16T01:33:50Z</dcterms:modified>
  <dc:title>附件2</dc:title>
  <cp:revision>84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2052-12.1.0.18608</vt:lpwstr>
  </property>
  <property fmtid="{D5CDD505-2E9C-101B-9397-08002B2CF9AE}" pid="3" name="ICV">
    <vt:lpwstr>0012208952E24D6A87D2037EDEA2F8A6_12</vt:lpwstr>
  </property>
</Properties>
</file>